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118F14AE"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9F3DEC">
        <w:rPr>
          <w:rFonts w:ascii="Times New Roman" w:hAnsi="Times New Roman"/>
          <w:b/>
          <w:u w:val="single"/>
        </w:rPr>
        <w:t>2</w:t>
      </w:r>
      <w:r w:rsidRPr="008A691B">
        <w:rPr>
          <w:rFonts w:ascii="Times New Roman" w:hAnsi="Times New Roman"/>
          <w:b/>
          <w:u w:val="single"/>
        </w:rPr>
        <w:t>:</w:t>
      </w:r>
    </w:p>
    <w:p w14:paraId="09373DC8" w14:textId="6CEEBD20"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0B005B">
        <w:rPr>
          <w:lang w:val="en-US"/>
        </w:rPr>
        <w:t>100</w:t>
      </w:r>
      <w:r w:rsidRPr="008A691B">
        <w:rPr>
          <w:lang w:val="en-US"/>
        </w:rPr>
        <w:t xml:space="preserve"> – </w:t>
      </w:r>
      <w:r w:rsidR="000B005B" w:rsidRPr="00BF7F5E">
        <w:t>Allow Generation Resources and Energy Storage Resources to Serve Customer Load When the Customer and the Resource are Disconnected from the ERCOT System</w:t>
      </w:r>
    </w:p>
    <w:p w14:paraId="2749D00A" w14:textId="3AF1EADB"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0B005B" w:rsidRPr="000B005B">
        <w:rPr>
          <w:b w:val="0"/>
          <w:lang w:val="en-US"/>
        </w:rPr>
        <w:t>clarifies that a Generation Resource or Energy Storage Resource (ESR) may serve Customer Load in any circumstance in which the Customer and the Resource are both disconnected from the ERCOT System due to an Outage of the transmission or distribution system.  It is limited to configurations where the Resource and Customer Load are using privately owned transmission and distribution infrastructure during the Private Microgrid Island (PMI) operation.  This is not a Private Use Network and the Load and Resource do not net during normal circumstances.  For PMIs with an ESR, after the initial Settlement of an Operating Day in which the private microgrid operated as a PMI, this NPRR ensures that consumption by the ESR prior to the PMI operation period and subsequently used to serve the Customer during private microgrid operation is no longer treated as Wholesale Storage Load (WSL).  This adjustment will recharacterize the Load from WSL to Non-WSL on an Operating Day basis for as many Operating Days as necessary to ensure that ESR Load not eligible for WSL treatment is not provided WSL treatment.</w:t>
      </w:r>
    </w:p>
    <w:p w14:paraId="55BED3D1" w14:textId="3B4C09FD"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0B005B">
        <w:rPr>
          <w:lang w:val="en-US"/>
        </w:rPr>
        <w:t>s</w:t>
      </w:r>
      <w:r w:rsidRPr="008A691B">
        <w:t>:</w:t>
      </w:r>
      <w:r>
        <w:rPr>
          <w:lang w:val="en-US"/>
        </w:rPr>
        <w:t xml:space="preserve">  </w:t>
      </w:r>
      <w:r w:rsidR="009F3DEC">
        <w:rPr>
          <w:lang w:val="en-US"/>
        </w:rPr>
        <w:t>2.1</w:t>
      </w:r>
      <w:r w:rsidR="000B005B">
        <w:rPr>
          <w:lang w:val="en-US"/>
        </w:rPr>
        <w:t xml:space="preserve"> and 2.2</w:t>
      </w:r>
    </w:p>
    <w:p w14:paraId="3EC0A28A" w14:textId="7D8292C1"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0B005B">
        <w:rPr>
          <w:rFonts w:ascii="Times New Roman" w:hAnsi="Times New Roman"/>
          <w:b/>
          <w:u w:val="single"/>
        </w:rPr>
        <w:t>3</w:t>
      </w:r>
      <w:r w:rsidRPr="008A691B">
        <w:rPr>
          <w:rFonts w:ascii="Times New Roman" w:hAnsi="Times New Roman"/>
          <w:b/>
          <w:u w:val="single"/>
        </w:rPr>
        <w:t>:</w:t>
      </w:r>
    </w:p>
    <w:p w14:paraId="6DEB036E" w14:textId="77777777" w:rsidR="000B005B" w:rsidRPr="008A691B" w:rsidRDefault="000B005B" w:rsidP="000B005B">
      <w:pPr>
        <w:pStyle w:val="PRRHeader"/>
        <w:widowControl w:val="0"/>
        <w:spacing w:after="100" w:afterAutospacing="1"/>
        <w:ind w:left="720" w:firstLine="0"/>
      </w:pPr>
      <w:r>
        <w:rPr>
          <w:lang w:val="en-US"/>
        </w:rPr>
        <w:t>NPRR1100</w:t>
      </w:r>
      <w:r w:rsidRPr="008A691B">
        <w:rPr>
          <w:lang w:val="en-US"/>
        </w:rPr>
        <w:t xml:space="preserve"> – </w:t>
      </w:r>
      <w:r w:rsidRPr="00BF7F5E">
        <w:t>Allow Generation Resources and Energy Storage Resources to Serve Customer Load When the Customer and the Resource are Disconnected from the ERCOT System</w:t>
      </w:r>
    </w:p>
    <w:p w14:paraId="49BC70B8" w14:textId="6EFA0578"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sidR="009F3DEC">
        <w:rPr>
          <w:b w:val="0"/>
          <w:i/>
          <w:lang w:val="en-US"/>
        </w:rPr>
        <w:t>2</w:t>
      </w:r>
      <w:r w:rsidRPr="008A691B">
        <w:rPr>
          <w:b w:val="0"/>
          <w:i/>
          <w:lang w:val="en-US"/>
        </w:rPr>
        <w:t xml:space="preserve"> above.</w:t>
      </w:r>
    </w:p>
    <w:p w14:paraId="74953C2B" w14:textId="40B87930" w:rsidR="00EC2299" w:rsidRP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0B005B">
        <w:rPr>
          <w:lang w:val="en-US"/>
        </w:rPr>
        <w:t>3.9.1</w:t>
      </w:r>
    </w:p>
    <w:p w14:paraId="3B5100F9" w14:textId="4854832C" w:rsidR="009F3DEC" w:rsidRPr="008A691B" w:rsidRDefault="009F3DEC" w:rsidP="009F3DEC">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457DA22E" w14:textId="77777777" w:rsidR="000B005B" w:rsidRPr="008A691B" w:rsidRDefault="000B005B" w:rsidP="000B005B">
      <w:pPr>
        <w:pStyle w:val="PRRHeader"/>
        <w:widowControl w:val="0"/>
        <w:spacing w:after="100" w:afterAutospacing="1"/>
        <w:ind w:left="720" w:firstLine="0"/>
      </w:pPr>
      <w:r>
        <w:rPr>
          <w:lang w:val="en-US"/>
        </w:rPr>
        <w:t>NPRR1100</w:t>
      </w:r>
      <w:r w:rsidRPr="008A691B">
        <w:rPr>
          <w:lang w:val="en-US"/>
        </w:rPr>
        <w:t xml:space="preserve"> – </w:t>
      </w:r>
      <w:r w:rsidRPr="00BF7F5E">
        <w:t>Allow Generation Resources and Energy Storage Resources to Serve Customer Load When the Customer and the Resource are Disconnected from the ERCOT System</w:t>
      </w:r>
    </w:p>
    <w:p w14:paraId="7FC3A715" w14:textId="77777777" w:rsidR="000B005B" w:rsidRPr="008A691B" w:rsidRDefault="000B005B" w:rsidP="000B005B">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FEDD1CF" w14:textId="1CB54C1B" w:rsidR="000B005B" w:rsidRPr="00ED0826" w:rsidRDefault="000B005B" w:rsidP="000B005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6.5.5.1 and 6.6.13 (new)</w:t>
      </w:r>
    </w:p>
    <w:p w14:paraId="7258F2B4" w14:textId="63032E6C" w:rsidR="00B731E8" w:rsidRPr="008A691B" w:rsidRDefault="00B731E8" w:rsidP="00B731E8">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F2264D">
        <w:rPr>
          <w:rFonts w:ascii="Times New Roman" w:hAnsi="Times New Roman"/>
          <w:b/>
          <w:u w:val="single"/>
        </w:rPr>
        <w:t>10</w:t>
      </w:r>
      <w:r w:rsidRPr="008A691B">
        <w:rPr>
          <w:rFonts w:ascii="Times New Roman" w:hAnsi="Times New Roman"/>
          <w:b/>
          <w:u w:val="single"/>
        </w:rPr>
        <w:t>:</w:t>
      </w:r>
    </w:p>
    <w:p w14:paraId="3B29AC72" w14:textId="77777777" w:rsidR="00F2264D" w:rsidRPr="008A691B" w:rsidRDefault="00F2264D" w:rsidP="00F2264D">
      <w:pPr>
        <w:pStyle w:val="PRRHeader"/>
        <w:widowControl w:val="0"/>
        <w:spacing w:after="100" w:afterAutospacing="1"/>
        <w:ind w:left="720" w:firstLine="0"/>
      </w:pPr>
      <w:r>
        <w:rPr>
          <w:lang w:val="en-US"/>
        </w:rPr>
        <w:t>NPRR1100</w:t>
      </w:r>
      <w:r w:rsidRPr="008A691B">
        <w:rPr>
          <w:lang w:val="en-US"/>
        </w:rPr>
        <w:t xml:space="preserve"> – </w:t>
      </w:r>
      <w:r w:rsidRPr="00BF7F5E">
        <w:t xml:space="preserve">Allow Generation Resources and Energy Storage Resources to Serve </w:t>
      </w:r>
      <w:r w:rsidRPr="00BF7F5E">
        <w:lastRenderedPageBreak/>
        <w:t>Customer Load When the Customer and the Resource are Disconnected from the ERCOT System</w:t>
      </w:r>
    </w:p>
    <w:p w14:paraId="48C96482" w14:textId="77777777" w:rsidR="00F2264D" w:rsidRPr="008A691B" w:rsidRDefault="00F2264D" w:rsidP="00F2264D">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7121B9EC" w14:textId="0091670F" w:rsidR="00F2264D" w:rsidRPr="00F2264D" w:rsidRDefault="00F2264D" w:rsidP="00F2264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10.3.2.3</w:t>
      </w:r>
    </w:p>
    <w:p w14:paraId="7367EE8A" w14:textId="20AB26B9" w:rsidR="00F2264D" w:rsidRPr="008A691B" w:rsidRDefault="00F2264D" w:rsidP="00F2264D">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27</w:t>
      </w:r>
      <w:r w:rsidRPr="008A691B">
        <w:rPr>
          <w:rFonts w:ascii="Times New Roman" w:hAnsi="Times New Roman"/>
          <w:b/>
          <w:u w:val="single"/>
        </w:rPr>
        <w:t>:</w:t>
      </w:r>
    </w:p>
    <w:p w14:paraId="7537192B" w14:textId="63C21EF6" w:rsidR="00F2264D" w:rsidRPr="008A691B" w:rsidRDefault="00F2264D" w:rsidP="00F2264D">
      <w:pPr>
        <w:pStyle w:val="PRRHeader"/>
        <w:widowControl w:val="0"/>
        <w:spacing w:after="100" w:afterAutospacing="1"/>
        <w:ind w:left="720" w:firstLine="0"/>
      </w:pPr>
      <w:r>
        <w:rPr>
          <w:lang w:val="en-US"/>
        </w:rPr>
        <w:t>NPRR1129</w:t>
      </w:r>
      <w:r w:rsidRPr="008A691B">
        <w:rPr>
          <w:lang w:val="en-US"/>
        </w:rPr>
        <w:t xml:space="preserve"> – </w:t>
      </w:r>
      <w:r w:rsidRPr="00FE288C">
        <w:t>Posting ESI IDs of Transmission-Voltage Customer Opt-Outs</w:t>
      </w:r>
    </w:p>
    <w:p w14:paraId="5DCD7C55" w14:textId="63C858C2" w:rsidR="00F2264D" w:rsidRDefault="00F2264D" w:rsidP="00F2264D">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F2264D">
        <w:rPr>
          <w:b w:val="0"/>
          <w:lang w:val="en-US"/>
        </w:rPr>
        <w:t xml:space="preserve">allows ERCOT to post on the ERCOT website a list of </w:t>
      </w:r>
      <w:r w:rsidR="00305030">
        <w:rPr>
          <w:b w:val="0"/>
          <w:lang w:val="en-US"/>
        </w:rPr>
        <w:t>Electric Service Identifiers (</w:t>
      </w:r>
      <w:r w:rsidRPr="00F2264D">
        <w:rPr>
          <w:b w:val="0"/>
          <w:lang w:val="en-US"/>
        </w:rPr>
        <w:t>ESI IDs</w:t>
      </w:r>
      <w:r w:rsidR="00305030">
        <w:rPr>
          <w:b w:val="0"/>
          <w:lang w:val="en-US"/>
        </w:rPr>
        <w:t>)</w:t>
      </w:r>
      <w:r w:rsidRPr="00F2264D">
        <w:rPr>
          <w:b w:val="0"/>
          <w:lang w:val="en-US"/>
        </w:rPr>
        <w:t xml:space="preserve"> of transmission-voltage Customer opt-outs as defined in the Debt Obligation Order (DOO) entered in Public Utility Commission of Texas (PUCT) Docket No. 52322, Application of Electric Reliability Council of Texas, Inc. for a Debt Obligation Order to Finance Uplift Balances Under PURA Chapter 39, Subchapter N, and for a Good Cause Exception.</w:t>
      </w:r>
    </w:p>
    <w:p w14:paraId="2F27B082" w14:textId="48F78A7F" w:rsidR="00F2264D" w:rsidRDefault="00F2264D" w:rsidP="00F2264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27.3</w:t>
      </w:r>
    </w:p>
    <w:p w14:paraId="101E18F8" w14:textId="77777777" w:rsidR="00A13C73" w:rsidRDefault="00A13C73" w:rsidP="00A13C73">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6DB08DD9" w14:textId="77777777" w:rsidR="00A13C73" w:rsidRPr="0012130C" w:rsidRDefault="00A13C73" w:rsidP="00A13C73">
      <w:pPr>
        <w:pStyle w:val="PRRHeader"/>
        <w:widowControl w:val="0"/>
        <w:tabs>
          <w:tab w:val="clear" w:pos="1152"/>
        </w:tabs>
        <w:spacing w:after="100" w:afterAutospacing="1"/>
        <w:ind w:left="720" w:firstLine="0"/>
        <w:rPr>
          <w:b w:val="0"/>
          <w:bCs w:val="0"/>
          <w:u w:val="single"/>
        </w:rPr>
      </w:pPr>
      <w:r w:rsidRPr="0012130C">
        <w:rPr>
          <w:b w:val="0"/>
          <w:bCs w:val="0"/>
        </w:rPr>
        <w:t xml:space="preserve">Non-substantive administrative changes were made such as spelling corrections, </w:t>
      </w:r>
      <w:r w:rsidRPr="0012130C">
        <w:rPr>
          <w:b w:val="0"/>
          <w:bCs w:val="0"/>
          <w:lang w:val="en-US"/>
        </w:rPr>
        <w:t>formatting</w:t>
      </w:r>
      <w:r w:rsidRPr="0012130C">
        <w:rPr>
          <w:b w:val="0"/>
          <w:bCs w:val="0"/>
        </w:rPr>
        <w:t>, and correcting Section numbering and references.</w:t>
      </w:r>
    </w:p>
    <w:p w14:paraId="293EC108" w14:textId="1801F51A" w:rsidR="00A13C73" w:rsidRPr="003160D5" w:rsidRDefault="00A13C73" w:rsidP="00A13C73">
      <w:pPr>
        <w:pStyle w:val="PRRHeader"/>
        <w:widowControl w:val="0"/>
        <w:spacing w:after="100" w:afterAutospacing="1"/>
        <w:ind w:left="720" w:firstLine="0"/>
        <w:rPr>
          <w:lang w:val="en-US"/>
        </w:rPr>
      </w:pPr>
      <w:r w:rsidRPr="000E6E60">
        <w:t>Revised</w:t>
      </w:r>
      <w:r>
        <w:rPr>
          <w:lang w:val="en-US"/>
        </w:rPr>
        <w:t xml:space="preserve"> Subsection</w:t>
      </w:r>
      <w:r w:rsidR="00305030">
        <w:rPr>
          <w:lang w:val="en-US"/>
        </w:rPr>
        <w:t>s</w:t>
      </w:r>
      <w:r>
        <w:rPr>
          <w:lang w:val="en-US"/>
        </w:rPr>
        <w:t>:  3.14.5, 9.5.3, 25.5.5</w:t>
      </w:r>
    </w:p>
    <w:p w14:paraId="5B890F37" w14:textId="77777777" w:rsidR="00A13C73" w:rsidRPr="00A13C73" w:rsidRDefault="00A13C73" w:rsidP="00A13C73">
      <w:pPr>
        <w:pStyle w:val="Description"/>
        <w:ind w:left="0"/>
        <w:rPr>
          <w:lang w:eastAsia="x-none"/>
        </w:rPr>
      </w:pPr>
    </w:p>
    <w:p w14:paraId="11E4236D" w14:textId="14BD3F14" w:rsidR="00564B9F" w:rsidRPr="00B520D5" w:rsidRDefault="00564B9F" w:rsidP="00F2264D">
      <w:pPr>
        <w:pStyle w:val="PRRHeader"/>
        <w:widowControl w:val="0"/>
        <w:spacing w:after="100" w:afterAutospacing="1"/>
        <w:ind w:left="720" w:firstLine="0"/>
        <w:rPr>
          <w:lang w:val="en-US"/>
        </w:rPr>
      </w:pPr>
    </w:p>
    <w:sectPr w:rsidR="00564B9F" w:rsidRPr="00B520D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25BC0E23"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1A5116">
      <w:rPr>
        <w:rFonts w:ascii="Times New Roman Bold" w:hAnsi="Times New Roman Bold"/>
        <w:b w:val="0"/>
      </w:rPr>
      <w:t>July 15</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030"/>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3C73"/>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6A10"/>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427</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2022-07-14T13:51:00Z</dcterms:created>
  <dcterms:modified xsi:type="dcterms:W3CDTF">2022-07-14T13:51:00Z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