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15"/>
        <w:gridCol w:w="1129"/>
        <w:gridCol w:w="6513"/>
        <w:gridCol w:w="23"/>
      </w:tblGrid>
      <w:tr w:rsidR="00803B12" w:rsidRPr="00CB287F" w14:paraId="2D63CCF1" w14:textId="77777777" w:rsidTr="00CB287F"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E298DA" w14:textId="77777777" w:rsidR="00803B12" w:rsidRPr="00CB287F" w:rsidRDefault="00803B12" w:rsidP="00803B12">
            <w:pPr>
              <w:pStyle w:val="Header"/>
              <w:rPr>
                <w:rFonts w:cs="Arial"/>
                <w:sz w:val="22"/>
              </w:rPr>
            </w:pPr>
            <w:r w:rsidRPr="00CB287F">
              <w:rPr>
                <w:rFonts w:cs="Arial"/>
              </w:rPr>
              <w:t>OBDRR Number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3E0E90C1" w14:textId="77777777" w:rsidR="00803B12" w:rsidRPr="00CB287F" w:rsidRDefault="00FC6A03" w:rsidP="00803B12">
            <w:pPr>
              <w:pStyle w:val="Header"/>
              <w:rPr>
                <w:rFonts w:cs="Arial"/>
              </w:rPr>
            </w:pPr>
            <w:hyperlink r:id="rId7" w:history="1">
              <w:r w:rsidR="00803B12" w:rsidRPr="00CB287F">
                <w:rPr>
                  <w:rStyle w:val="Hyperlink"/>
                  <w:rFonts w:cs="Arial"/>
                </w:rPr>
                <w:t>041</w:t>
              </w:r>
            </w:hyperlink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D4005F" w14:textId="77777777" w:rsidR="00803B12" w:rsidRPr="00CB287F" w:rsidRDefault="00803B12" w:rsidP="00803B12">
            <w:pPr>
              <w:pStyle w:val="Header"/>
              <w:rPr>
                <w:rFonts w:cs="Arial"/>
              </w:rPr>
            </w:pPr>
            <w:r w:rsidRPr="00CB287F">
              <w:rPr>
                <w:rFonts w:cs="Arial"/>
              </w:rPr>
              <w:t>OBDRR Title</w:t>
            </w:r>
          </w:p>
        </w:tc>
        <w:tc>
          <w:tcPr>
            <w:tcW w:w="6536" w:type="dxa"/>
            <w:gridSpan w:val="2"/>
            <w:tcBorders>
              <w:bottom w:val="single" w:sz="4" w:space="0" w:color="auto"/>
            </w:tcBorders>
            <w:vAlign w:val="center"/>
          </w:tcPr>
          <w:p w14:paraId="131F2890" w14:textId="77777777" w:rsidR="00803B12" w:rsidRPr="00CB287F" w:rsidRDefault="00803B12" w:rsidP="00803B12">
            <w:pPr>
              <w:pStyle w:val="Header"/>
              <w:rPr>
                <w:rFonts w:cs="Arial"/>
              </w:rPr>
            </w:pPr>
            <w:r w:rsidRPr="00CB287F">
              <w:rPr>
                <w:rFonts w:cs="Arial"/>
              </w:rPr>
              <w:t>Updates to Requirements for Aggregate Load Participation in the ERCOT Markets</w:t>
            </w:r>
          </w:p>
        </w:tc>
      </w:tr>
      <w:tr w:rsidR="00152993" w:rsidRPr="00CB287F" w14:paraId="71A032D6" w14:textId="77777777" w:rsidTr="00CB287F">
        <w:trPr>
          <w:gridAfter w:val="1"/>
          <w:wAfter w:w="23" w:type="dxa"/>
          <w:trHeight w:val="413"/>
        </w:trPr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BA0EF8" w14:textId="77777777" w:rsidR="00152993" w:rsidRPr="00CB287F" w:rsidRDefault="00152993">
            <w:pPr>
              <w:pStyle w:val="NormalArial"/>
              <w:rPr>
                <w:rFonts w:cs="Arial"/>
              </w:rPr>
            </w:pP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DD1CA1" w14:textId="77777777" w:rsidR="00152993" w:rsidRPr="00CB287F" w:rsidRDefault="00152993">
            <w:pPr>
              <w:pStyle w:val="NormalArial"/>
              <w:rPr>
                <w:rFonts w:cs="Arial"/>
              </w:rPr>
            </w:pPr>
          </w:p>
        </w:tc>
      </w:tr>
      <w:tr w:rsidR="00152993" w:rsidRPr="00CB287F" w14:paraId="5A46CCF9" w14:textId="77777777" w:rsidTr="00CB287F">
        <w:trPr>
          <w:gridAfter w:val="1"/>
          <w:wAfter w:w="23" w:type="dxa"/>
          <w:trHeight w:val="440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4097" w14:textId="77777777" w:rsidR="00152993" w:rsidRPr="00CB287F" w:rsidRDefault="00152993">
            <w:pPr>
              <w:pStyle w:val="Header"/>
              <w:rPr>
                <w:rFonts w:cs="Arial"/>
              </w:rPr>
            </w:pPr>
            <w:r w:rsidRPr="00CB287F">
              <w:rPr>
                <w:rFonts w:cs="Arial"/>
              </w:rPr>
              <w:t>Date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BCA4" w14:textId="091EF6CA" w:rsidR="00152993" w:rsidRPr="00CB287F" w:rsidRDefault="00CB287F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July 8, 2022</w:t>
            </w:r>
          </w:p>
        </w:tc>
      </w:tr>
      <w:tr w:rsidR="00152993" w:rsidRPr="00CB287F" w14:paraId="0E69379E" w14:textId="77777777" w:rsidTr="00CB287F">
        <w:trPr>
          <w:trHeight w:val="467"/>
        </w:trPr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324DC9" w14:textId="77777777" w:rsidR="00152993" w:rsidRPr="00CB287F" w:rsidRDefault="00152993">
            <w:pPr>
              <w:pStyle w:val="NormalArial"/>
              <w:rPr>
                <w:rFonts w:cs="Arial"/>
              </w:rPr>
            </w:pPr>
          </w:p>
        </w:tc>
        <w:tc>
          <w:tcPr>
            <w:tcW w:w="76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F1659" w14:textId="77777777" w:rsidR="00152993" w:rsidRPr="00CB287F" w:rsidRDefault="00152993">
            <w:pPr>
              <w:pStyle w:val="NormalArial"/>
              <w:rPr>
                <w:rFonts w:cs="Arial"/>
              </w:rPr>
            </w:pPr>
          </w:p>
        </w:tc>
      </w:tr>
      <w:tr w:rsidR="00152993" w:rsidRPr="00CB287F" w14:paraId="62FC67A4" w14:textId="77777777" w:rsidTr="0DFBB2D1">
        <w:trPr>
          <w:trHeight w:val="440"/>
        </w:trPr>
        <w:tc>
          <w:tcPr>
            <w:tcW w:w="10440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874F5C" w14:textId="77777777" w:rsidR="00152993" w:rsidRPr="00CB287F" w:rsidRDefault="00152993">
            <w:pPr>
              <w:pStyle w:val="Header"/>
              <w:jc w:val="center"/>
              <w:rPr>
                <w:rFonts w:cs="Arial"/>
              </w:rPr>
            </w:pPr>
            <w:r w:rsidRPr="00CB287F">
              <w:rPr>
                <w:rFonts w:cs="Arial"/>
              </w:rPr>
              <w:t>Submitter’s Information</w:t>
            </w:r>
          </w:p>
        </w:tc>
      </w:tr>
      <w:tr w:rsidR="00152993" w:rsidRPr="00CB287F" w14:paraId="11275BD8" w14:textId="77777777" w:rsidTr="00CB287F">
        <w:trPr>
          <w:trHeight w:val="350"/>
        </w:trPr>
        <w:tc>
          <w:tcPr>
            <w:tcW w:w="2775" w:type="dxa"/>
            <w:gridSpan w:val="2"/>
            <w:shd w:val="clear" w:color="auto" w:fill="FFFFFF" w:themeFill="background1"/>
            <w:vAlign w:val="center"/>
          </w:tcPr>
          <w:p w14:paraId="0820FC16" w14:textId="77777777" w:rsidR="00152993" w:rsidRPr="00CB287F" w:rsidRDefault="00152993" w:rsidP="00EC55B3">
            <w:pPr>
              <w:pStyle w:val="Header"/>
              <w:rPr>
                <w:rFonts w:cs="Arial"/>
              </w:rPr>
            </w:pPr>
            <w:r w:rsidRPr="00CB287F">
              <w:rPr>
                <w:rFonts w:cs="Arial"/>
              </w:rPr>
              <w:t>Name</w:t>
            </w:r>
          </w:p>
        </w:tc>
        <w:tc>
          <w:tcPr>
            <w:tcW w:w="7665" w:type="dxa"/>
            <w:gridSpan w:val="3"/>
            <w:vAlign w:val="center"/>
          </w:tcPr>
          <w:p w14:paraId="747394FB" w14:textId="53F49470" w:rsidR="00152993" w:rsidRPr="00CB287F" w:rsidRDefault="00911815">
            <w:pPr>
              <w:pStyle w:val="NormalArial"/>
              <w:rPr>
                <w:rFonts w:cs="Arial"/>
              </w:rPr>
            </w:pPr>
            <w:r w:rsidRPr="00CB287F">
              <w:rPr>
                <w:rFonts w:cs="Arial"/>
              </w:rPr>
              <w:t>Ignacio Guajardo</w:t>
            </w:r>
          </w:p>
        </w:tc>
      </w:tr>
      <w:tr w:rsidR="00152993" w:rsidRPr="00CB287F" w14:paraId="52D7B56B" w14:textId="77777777" w:rsidTr="00CB287F">
        <w:trPr>
          <w:trHeight w:val="350"/>
        </w:trPr>
        <w:tc>
          <w:tcPr>
            <w:tcW w:w="2775" w:type="dxa"/>
            <w:gridSpan w:val="2"/>
            <w:shd w:val="clear" w:color="auto" w:fill="FFFFFF" w:themeFill="background1"/>
            <w:vAlign w:val="center"/>
          </w:tcPr>
          <w:p w14:paraId="2DFB2E48" w14:textId="77777777" w:rsidR="00152993" w:rsidRPr="00CB287F" w:rsidRDefault="00152993" w:rsidP="00EC55B3">
            <w:pPr>
              <w:pStyle w:val="Header"/>
              <w:rPr>
                <w:rFonts w:cs="Arial"/>
              </w:rPr>
            </w:pPr>
            <w:r w:rsidRPr="00CB287F">
              <w:rPr>
                <w:rFonts w:cs="Arial"/>
              </w:rPr>
              <w:t>E-mail Address</w:t>
            </w:r>
          </w:p>
        </w:tc>
        <w:tc>
          <w:tcPr>
            <w:tcW w:w="7665" w:type="dxa"/>
            <w:gridSpan w:val="3"/>
            <w:vAlign w:val="center"/>
          </w:tcPr>
          <w:p w14:paraId="182B5E92" w14:textId="0F401A47" w:rsidR="00152993" w:rsidRPr="00CB287F" w:rsidRDefault="00CB287F">
            <w:pPr>
              <w:pStyle w:val="NormalArial"/>
              <w:rPr>
                <w:rFonts w:cs="Arial"/>
              </w:rPr>
            </w:pPr>
            <w:hyperlink r:id="rId8" w:history="1">
              <w:r w:rsidRPr="00CB287F">
                <w:rPr>
                  <w:rStyle w:val="Hyperlink"/>
                  <w:rFonts w:cs="Arial"/>
                </w:rPr>
                <w:t>iguajardo@texasadvancedenergy.org</w:t>
              </w:r>
            </w:hyperlink>
          </w:p>
        </w:tc>
      </w:tr>
      <w:tr w:rsidR="00152993" w:rsidRPr="00CB287F" w14:paraId="08A1B265" w14:textId="77777777" w:rsidTr="00CB287F">
        <w:trPr>
          <w:trHeight w:val="350"/>
        </w:trPr>
        <w:tc>
          <w:tcPr>
            <w:tcW w:w="2775" w:type="dxa"/>
            <w:gridSpan w:val="2"/>
            <w:shd w:val="clear" w:color="auto" w:fill="FFFFFF" w:themeFill="background1"/>
            <w:vAlign w:val="center"/>
          </w:tcPr>
          <w:p w14:paraId="3857B46B" w14:textId="77777777" w:rsidR="00152993" w:rsidRPr="00CB287F" w:rsidRDefault="00152993" w:rsidP="00EC55B3">
            <w:pPr>
              <w:pStyle w:val="Header"/>
              <w:rPr>
                <w:rFonts w:cs="Arial"/>
              </w:rPr>
            </w:pPr>
            <w:r w:rsidRPr="00CB287F">
              <w:rPr>
                <w:rFonts w:cs="Arial"/>
              </w:rPr>
              <w:t>Company</w:t>
            </w:r>
          </w:p>
        </w:tc>
        <w:tc>
          <w:tcPr>
            <w:tcW w:w="7665" w:type="dxa"/>
            <w:gridSpan w:val="3"/>
            <w:vAlign w:val="center"/>
          </w:tcPr>
          <w:p w14:paraId="17B151F4" w14:textId="44A736DF" w:rsidR="00152993" w:rsidRPr="00CB287F" w:rsidRDefault="3D12C928">
            <w:pPr>
              <w:pStyle w:val="NormalArial"/>
              <w:rPr>
                <w:rFonts w:cs="Arial"/>
              </w:rPr>
            </w:pPr>
            <w:r w:rsidRPr="00CB287F">
              <w:rPr>
                <w:rFonts w:cs="Arial"/>
              </w:rPr>
              <w:t>Texas Advanced Energy Business Alliance (TAEBA)</w:t>
            </w:r>
          </w:p>
        </w:tc>
      </w:tr>
      <w:tr w:rsidR="00152993" w:rsidRPr="00CB287F" w14:paraId="6F8074A1" w14:textId="77777777" w:rsidTr="00CB287F">
        <w:trPr>
          <w:trHeight w:val="350"/>
        </w:trPr>
        <w:tc>
          <w:tcPr>
            <w:tcW w:w="27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457B5F" w14:textId="77777777" w:rsidR="00152993" w:rsidRPr="00CB287F" w:rsidRDefault="00152993" w:rsidP="00EC55B3">
            <w:pPr>
              <w:pStyle w:val="Header"/>
              <w:rPr>
                <w:rFonts w:cs="Arial"/>
              </w:rPr>
            </w:pPr>
            <w:r w:rsidRPr="00CB287F">
              <w:rPr>
                <w:rFonts w:cs="Arial"/>
              </w:rPr>
              <w:t>Phone Number</w:t>
            </w:r>
          </w:p>
        </w:tc>
        <w:tc>
          <w:tcPr>
            <w:tcW w:w="7665" w:type="dxa"/>
            <w:gridSpan w:val="3"/>
            <w:tcBorders>
              <w:bottom w:val="single" w:sz="4" w:space="0" w:color="auto"/>
            </w:tcBorders>
            <w:vAlign w:val="center"/>
          </w:tcPr>
          <w:p w14:paraId="0A9ACB93" w14:textId="631F7BEB" w:rsidR="00152993" w:rsidRPr="00CB287F" w:rsidRDefault="00911815">
            <w:pPr>
              <w:pStyle w:val="NormalArial"/>
              <w:rPr>
                <w:rFonts w:cs="Arial"/>
              </w:rPr>
            </w:pPr>
            <w:r w:rsidRPr="00CB287F">
              <w:rPr>
                <w:rFonts w:cs="Arial"/>
              </w:rPr>
              <w:t>956.285.4974</w:t>
            </w:r>
          </w:p>
        </w:tc>
      </w:tr>
      <w:tr w:rsidR="00152993" w:rsidRPr="00CB287F" w14:paraId="7C7C76CC" w14:textId="77777777" w:rsidTr="00CB287F">
        <w:trPr>
          <w:trHeight w:val="350"/>
        </w:trPr>
        <w:tc>
          <w:tcPr>
            <w:tcW w:w="2775" w:type="dxa"/>
            <w:gridSpan w:val="2"/>
            <w:shd w:val="clear" w:color="auto" w:fill="FFFFFF" w:themeFill="background1"/>
            <w:vAlign w:val="center"/>
          </w:tcPr>
          <w:p w14:paraId="2E074777" w14:textId="77777777" w:rsidR="00152993" w:rsidRPr="00CB287F" w:rsidRDefault="00075A94" w:rsidP="00EC55B3">
            <w:pPr>
              <w:pStyle w:val="Header"/>
              <w:rPr>
                <w:rFonts w:cs="Arial"/>
              </w:rPr>
            </w:pPr>
            <w:r w:rsidRPr="00CB287F">
              <w:rPr>
                <w:rFonts w:cs="Arial"/>
              </w:rPr>
              <w:t xml:space="preserve">Cell </w:t>
            </w:r>
            <w:r w:rsidR="00152993" w:rsidRPr="00CB287F">
              <w:rPr>
                <w:rFonts w:cs="Arial"/>
              </w:rPr>
              <w:t>Number</w:t>
            </w:r>
          </w:p>
        </w:tc>
        <w:tc>
          <w:tcPr>
            <w:tcW w:w="7665" w:type="dxa"/>
            <w:gridSpan w:val="3"/>
            <w:vAlign w:val="center"/>
          </w:tcPr>
          <w:p w14:paraId="684D672F" w14:textId="6AEA3EBD" w:rsidR="00152993" w:rsidRPr="00CB287F" w:rsidRDefault="0DFBB2D1">
            <w:pPr>
              <w:pStyle w:val="NormalArial"/>
              <w:rPr>
                <w:rFonts w:cs="Arial"/>
              </w:rPr>
            </w:pPr>
            <w:r w:rsidRPr="00CB287F">
              <w:rPr>
                <w:rFonts w:cs="Arial"/>
              </w:rPr>
              <w:t>202.380.1950 ext 3031</w:t>
            </w:r>
          </w:p>
        </w:tc>
      </w:tr>
      <w:tr w:rsidR="00075A94" w:rsidRPr="00CB287F" w14:paraId="68A11446" w14:textId="77777777" w:rsidTr="00CB287F">
        <w:trPr>
          <w:trHeight w:val="350"/>
        </w:trPr>
        <w:tc>
          <w:tcPr>
            <w:tcW w:w="27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E6728F" w14:textId="77777777" w:rsidR="00075A94" w:rsidRPr="00CB287F" w:rsidDel="00075A94" w:rsidRDefault="00075A94" w:rsidP="00EC55B3">
            <w:pPr>
              <w:pStyle w:val="Header"/>
              <w:rPr>
                <w:rFonts w:cs="Arial"/>
              </w:rPr>
            </w:pPr>
            <w:r w:rsidRPr="00CB287F">
              <w:rPr>
                <w:rFonts w:cs="Arial"/>
              </w:rPr>
              <w:t>Market Segment</w:t>
            </w:r>
          </w:p>
        </w:tc>
        <w:tc>
          <w:tcPr>
            <w:tcW w:w="7665" w:type="dxa"/>
            <w:gridSpan w:val="3"/>
            <w:tcBorders>
              <w:bottom w:val="single" w:sz="4" w:space="0" w:color="auto"/>
            </w:tcBorders>
            <w:vAlign w:val="center"/>
          </w:tcPr>
          <w:p w14:paraId="1CC5BAEF" w14:textId="65DF9E48" w:rsidR="00075A94" w:rsidRPr="00CB287F" w:rsidRDefault="00EC7529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Not applicable</w:t>
            </w:r>
          </w:p>
        </w:tc>
      </w:tr>
    </w:tbl>
    <w:p w14:paraId="0693BD24" w14:textId="5686EAAE" w:rsidR="00152993" w:rsidRPr="00CB287F" w:rsidRDefault="00152993">
      <w:pPr>
        <w:pStyle w:val="NormalArial"/>
        <w:rPr>
          <w:rFonts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B287F" w:rsidRPr="00CB287F" w14:paraId="54404ED7" w14:textId="77777777" w:rsidTr="00AE3A89">
        <w:trPr>
          <w:trHeight w:val="7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CA703B" w14:textId="4DADD69C" w:rsidR="00CB287F" w:rsidRPr="00CB287F" w:rsidRDefault="00CB287F" w:rsidP="00CB287F">
            <w:pPr>
              <w:pStyle w:val="Header"/>
              <w:spacing w:before="60" w:after="60"/>
              <w:jc w:val="center"/>
              <w:rPr>
                <w:rFonts w:cs="Arial"/>
              </w:rPr>
            </w:pPr>
            <w:r w:rsidRPr="00CB287F">
              <w:rPr>
                <w:rFonts w:cs="Arial"/>
              </w:rPr>
              <w:t>Comments</w:t>
            </w:r>
          </w:p>
        </w:tc>
      </w:tr>
    </w:tbl>
    <w:p w14:paraId="10E5E8E9" w14:textId="5F24E1FF" w:rsidR="00CB287F" w:rsidRPr="00CB287F" w:rsidRDefault="00CB287F">
      <w:pPr>
        <w:pStyle w:val="NormalArial"/>
        <w:rPr>
          <w:rFonts w:cs="Arial"/>
        </w:rPr>
      </w:pPr>
    </w:p>
    <w:p w14:paraId="60AF2DA3" w14:textId="760F8FDE" w:rsidR="00911815" w:rsidRPr="00CB287F" w:rsidRDefault="00911815" w:rsidP="00911815">
      <w:pPr>
        <w:rPr>
          <w:rFonts w:ascii="Arial" w:hAnsi="Arial" w:cs="Arial"/>
          <w:color w:val="000000"/>
        </w:rPr>
      </w:pPr>
      <w:r w:rsidRPr="00CB287F">
        <w:rPr>
          <w:rFonts w:ascii="Arial" w:hAnsi="Arial" w:cs="Arial"/>
          <w:color w:val="000000" w:themeColor="text1"/>
        </w:rPr>
        <w:t xml:space="preserve">Texas Advanced Energy Business Alliance (TAEBA) hereby submits these comments on </w:t>
      </w:r>
      <w:r w:rsidR="00CB287F">
        <w:rPr>
          <w:rFonts w:ascii="Arial" w:hAnsi="Arial" w:cs="Arial"/>
          <w:color w:val="000000" w:themeColor="text1"/>
        </w:rPr>
        <w:t>Other Binding Document Revision Request (</w:t>
      </w:r>
      <w:r w:rsidRPr="00CB287F">
        <w:rPr>
          <w:rFonts w:ascii="Arial" w:hAnsi="Arial" w:cs="Arial"/>
          <w:color w:val="000000" w:themeColor="text1"/>
        </w:rPr>
        <w:t>OBDRR</w:t>
      </w:r>
      <w:r w:rsidR="00CB287F">
        <w:rPr>
          <w:rFonts w:ascii="Arial" w:hAnsi="Arial" w:cs="Arial"/>
          <w:color w:val="000000" w:themeColor="text1"/>
        </w:rPr>
        <w:t xml:space="preserve">) </w:t>
      </w:r>
      <w:r w:rsidRPr="00CB287F">
        <w:rPr>
          <w:rFonts w:ascii="Arial" w:hAnsi="Arial" w:cs="Arial"/>
          <w:color w:val="000000" w:themeColor="text1"/>
        </w:rPr>
        <w:t xml:space="preserve">041, which was submitted by Tesla to modify Aggregate Load Resource (ALR) </w:t>
      </w:r>
      <w:r w:rsidR="0B205D54" w:rsidRPr="00CB287F">
        <w:rPr>
          <w:rFonts w:ascii="Arial" w:hAnsi="Arial" w:cs="Arial"/>
          <w:color w:val="000000" w:themeColor="text1"/>
        </w:rPr>
        <w:t>requirements.</w:t>
      </w:r>
      <w:r w:rsidRPr="00CB287F">
        <w:rPr>
          <w:rFonts w:ascii="Arial" w:hAnsi="Arial" w:cs="Arial"/>
          <w:color w:val="000000" w:themeColor="text1"/>
        </w:rPr>
        <w:t xml:space="preserve"> </w:t>
      </w:r>
      <w:r w:rsidR="00CB287F">
        <w:rPr>
          <w:rFonts w:ascii="Arial" w:hAnsi="Arial" w:cs="Arial"/>
          <w:color w:val="000000" w:themeColor="text1"/>
        </w:rPr>
        <w:t xml:space="preserve"> </w:t>
      </w:r>
      <w:r w:rsidRPr="00CB287F">
        <w:rPr>
          <w:rFonts w:ascii="Arial" w:hAnsi="Arial" w:cs="Arial"/>
          <w:color w:val="000000" w:themeColor="text1"/>
        </w:rPr>
        <w:t xml:space="preserve">TAEBA includes local and national advanced energy companies seeking to make Texas’s energy system secure, clean, reliable, and affordable. </w:t>
      </w:r>
      <w:r w:rsidR="00CB287F">
        <w:rPr>
          <w:rFonts w:ascii="Arial" w:hAnsi="Arial" w:cs="Arial"/>
          <w:color w:val="000000" w:themeColor="text1"/>
        </w:rPr>
        <w:t xml:space="preserve"> </w:t>
      </w:r>
      <w:r w:rsidRPr="00CB287F">
        <w:rPr>
          <w:rFonts w:ascii="Arial" w:hAnsi="Arial" w:cs="Arial"/>
          <w:color w:val="000000" w:themeColor="text1"/>
        </w:rPr>
        <w:t xml:space="preserve">Advanced energy technologies include energy efficiency, energy storage, demand response, solar, wind, hydro, nuclear, and electric vehicles (EVs). </w:t>
      </w:r>
      <w:r w:rsidR="00CB287F">
        <w:rPr>
          <w:rFonts w:ascii="Arial" w:hAnsi="Arial" w:cs="Arial"/>
          <w:color w:val="000000" w:themeColor="text1"/>
        </w:rPr>
        <w:t xml:space="preserve"> </w:t>
      </w:r>
      <w:r w:rsidRPr="00CB287F">
        <w:rPr>
          <w:rFonts w:ascii="Arial" w:hAnsi="Arial" w:cs="Arial"/>
          <w:color w:val="000000" w:themeColor="text1"/>
        </w:rPr>
        <w:t xml:space="preserve">Used together, these technologies and services will create and maintain a higher performing energy system — one that is reliable and resilient, diverse and cost effective — while also improving the availability and quality of customer facing services. </w:t>
      </w:r>
      <w:r w:rsidR="00CB287F">
        <w:rPr>
          <w:rFonts w:ascii="Arial" w:hAnsi="Arial" w:cs="Arial"/>
          <w:color w:val="000000" w:themeColor="text1"/>
        </w:rPr>
        <w:t xml:space="preserve"> </w:t>
      </w:r>
      <w:r w:rsidRPr="00CB287F">
        <w:rPr>
          <w:rFonts w:ascii="Arial" w:hAnsi="Arial" w:cs="Arial"/>
          <w:color w:val="000000" w:themeColor="text1"/>
        </w:rPr>
        <w:t>TAEBA’s membership also includes advanced energy buyers, representing the interests of large electricity consumers interested in increasing their purchases of advanced energy to meet clean energy and sustainability goals.</w:t>
      </w:r>
    </w:p>
    <w:p w14:paraId="3B76B2F0" w14:textId="77777777" w:rsidR="00911815" w:rsidRPr="00CB287F" w:rsidRDefault="00911815" w:rsidP="00911815">
      <w:pPr>
        <w:rPr>
          <w:rFonts w:ascii="Arial" w:hAnsi="Arial" w:cs="Arial"/>
          <w:color w:val="000000"/>
        </w:rPr>
      </w:pPr>
    </w:p>
    <w:p w14:paraId="53BB6A2B" w14:textId="31224B65" w:rsidR="00911815" w:rsidRPr="00CB287F" w:rsidRDefault="00911815" w:rsidP="3A0A0838">
      <w:pPr>
        <w:rPr>
          <w:rFonts w:ascii="Arial" w:hAnsi="Arial" w:cs="Arial"/>
          <w:color w:val="000000"/>
        </w:rPr>
      </w:pPr>
      <w:r w:rsidRPr="00CB287F">
        <w:rPr>
          <w:rFonts w:ascii="Arial" w:hAnsi="Arial" w:cs="Arial"/>
          <w:color w:val="000000"/>
        </w:rPr>
        <w:t xml:space="preserve">TAEBA </w:t>
      </w:r>
      <w:r w:rsidR="0B205D54" w:rsidRPr="00CB287F">
        <w:rPr>
          <w:rFonts w:ascii="Arial" w:hAnsi="Arial" w:cs="Arial"/>
          <w:color w:val="000000"/>
        </w:rPr>
        <w:t>supports</w:t>
      </w:r>
      <w:r w:rsidRPr="00CB287F">
        <w:rPr>
          <w:rFonts w:ascii="Arial" w:hAnsi="Arial" w:cs="Arial"/>
          <w:color w:val="000000"/>
        </w:rPr>
        <w:t xml:space="preserve"> allowing aggregations of </w:t>
      </w:r>
      <w:r w:rsidR="00A05179">
        <w:rPr>
          <w:rFonts w:ascii="Arial" w:hAnsi="Arial" w:cs="Arial"/>
          <w:color w:val="000000"/>
        </w:rPr>
        <w:t>d</w:t>
      </w:r>
      <w:r w:rsidRPr="00CB287F">
        <w:rPr>
          <w:rFonts w:ascii="Arial" w:hAnsi="Arial" w:cs="Arial"/>
          <w:color w:val="000000"/>
        </w:rPr>
        <w:t xml:space="preserve">istributed </w:t>
      </w:r>
      <w:r w:rsidR="00A05179">
        <w:rPr>
          <w:rFonts w:ascii="Arial" w:hAnsi="Arial" w:cs="Arial"/>
          <w:color w:val="000000"/>
        </w:rPr>
        <w:t>e</w:t>
      </w:r>
      <w:r w:rsidRPr="00CB287F">
        <w:rPr>
          <w:rFonts w:ascii="Arial" w:hAnsi="Arial" w:cs="Arial"/>
          <w:color w:val="000000"/>
        </w:rPr>
        <w:t>nergy Resources (</w:t>
      </w:r>
      <w:r w:rsidR="00A05179">
        <w:rPr>
          <w:rFonts w:ascii="Arial" w:hAnsi="Arial" w:cs="Arial"/>
          <w:color w:val="000000"/>
        </w:rPr>
        <w:t>“</w:t>
      </w:r>
      <w:r w:rsidRPr="00CB287F">
        <w:rPr>
          <w:rFonts w:ascii="Arial" w:hAnsi="Arial" w:cs="Arial"/>
          <w:color w:val="000000"/>
        </w:rPr>
        <w:t>DERs</w:t>
      </w:r>
      <w:r w:rsidR="00A05179">
        <w:rPr>
          <w:rFonts w:ascii="Arial" w:hAnsi="Arial" w:cs="Arial"/>
          <w:color w:val="000000"/>
        </w:rPr>
        <w:t>”</w:t>
      </w:r>
      <w:r w:rsidRPr="00CB287F">
        <w:rPr>
          <w:rFonts w:ascii="Arial" w:hAnsi="Arial" w:cs="Arial"/>
          <w:color w:val="000000"/>
        </w:rPr>
        <w:t xml:space="preserve">) to fully participate in wholesale energy and </w:t>
      </w:r>
      <w:r w:rsidR="00FC6A03">
        <w:rPr>
          <w:rFonts w:ascii="Arial" w:hAnsi="Arial" w:cs="Arial"/>
          <w:color w:val="000000" w:themeColor="text1"/>
        </w:rPr>
        <w:t>A</w:t>
      </w:r>
      <w:r w:rsidRPr="00CB287F">
        <w:rPr>
          <w:rFonts w:ascii="Arial" w:hAnsi="Arial" w:cs="Arial"/>
          <w:color w:val="000000"/>
        </w:rPr>
        <w:t xml:space="preserve">ncillary </w:t>
      </w:r>
      <w:r w:rsidR="00FC6A03">
        <w:rPr>
          <w:rFonts w:ascii="Arial" w:hAnsi="Arial" w:cs="Arial"/>
          <w:color w:val="000000" w:themeColor="text1"/>
        </w:rPr>
        <w:t>S</w:t>
      </w:r>
      <w:r w:rsidRPr="00CB287F">
        <w:rPr>
          <w:rFonts w:ascii="Arial" w:hAnsi="Arial" w:cs="Arial"/>
          <w:color w:val="000000"/>
        </w:rPr>
        <w:t xml:space="preserve">ervice markets. </w:t>
      </w:r>
      <w:r w:rsidR="00CB287F">
        <w:rPr>
          <w:rFonts w:ascii="Arial" w:hAnsi="Arial" w:cs="Arial"/>
          <w:color w:val="000000"/>
        </w:rPr>
        <w:t xml:space="preserve"> </w:t>
      </w:r>
      <w:r w:rsidR="3A0A0838" w:rsidRPr="00CB287F">
        <w:rPr>
          <w:rFonts w:ascii="Arial" w:hAnsi="Arial" w:cs="Arial"/>
        </w:rPr>
        <w:t>DERs are smaller, more flexible technologies or systems installed on the distribution system or behind a customer meter, including energy efficiency measures, distributed generation such as solar, battery storage, demand response, and electric vehicles and their charging equipment.</w:t>
      </w:r>
      <w:r w:rsidR="3A0A0838" w:rsidRPr="00CB287F">
        <w:rPr>
          <w:rFonts w:ascii="Arial" w:hAnsi="Arial" w:cs="Arial"/>
          <w:color w:val="000000"/>
        </w:rPr>
        <w:t xml:space="preserve"> </w:t>
      </w:r>
      <w:r w:rsidR="0B205D54" w:rsidRPr="00CB287F">
        <w:rPr>
          <w:rFonts w:ascii="Arial" w:hAnsi="Arial" w:cs="Arial"/>
          <w:color w:val="000000" w:themeColor="text1"/>
        </w:rPr>
        <w:t>OBDRR041</w:t>
      </w:r>
      <w:r w:rsidRPr="00CB287F">
        <w:rPr>
          <w:rFonts w:ascii="Arial" w:hAnsi="Arial" w:cs="Arial"/>
          <w:color w:val="000000" w:themeColor="text1"/>
        </w:rPr>
        <w:t xml:space="preserve"> </w:t>
      </w:r>
      <w:r w:rsidRPr="00CB287F">
        <w:rPr>
          <w:rFonts w:ascii="Arial" w:hAnsi="Arial" w:cs="Arial"/>
          <w:color w:val="000000"/>
        </w:rPr>
        <w:t>would</w:t>
      </w:r>
      <w:r w:rsidRPr="00CB287F">
        <w:rPr>
          <w:rFonts w:ascii="Arial" w:hAnsi="Arial" w:cs="Arial"/>
          <w:color w:val="000000" w:themeColor="text1"/>
        </w:rPr>
        <w:t xml:space="preserve"> provide an </w:t>
      </w:r>
      <w:r w:rsidRPr="00CB287F">
        <w:rPr>
          <w:rFonts w:ascii="Arial" w:hAnsi="Arial" w:cs="Arial"/>
          <w:color w:val="000000"/>
        </w:rPr>
        <w:t xml:space="preserve">immediate </w:t>
      </w:r>
      <w:r w:rsidRPr="00CB287F">
        <w:rPr>
          <w:rFonts w:ascii="Arial" w:hAnsi="Arial" w:cs="Arial"/>
          <w:color w:val="000000" w:themeColor="text1"/>
        </w:rPr>
        <w:t>opportunity to increase DER</w:t>
      </w:r>
      <w:r w:rsidRPr="00CB287F">
        <w:rPr>
          <w:rFonts w:ascii="Arial" w:hAnsi="Arial" w:cs="Arial"/>
          <w:color w:val="000000"/>
        </w:rPr>
        <w:t xml:space="preserve"> participation in ERCOT markets and support electric reliability in Texas</w:t>
      </w:r>
      <w:r w:rsidRPr="00CB287F">
        <w:rPr>
          <w:rFonts w:ascii="Arial" w:hAnsi="Arial" w:cs="Arial"/>
          <w:color w:val="000000" w:themeColor="text1"/>
        </w:rPr>
        <w:t xml:space="preserve">. </w:t>
      </w:r>
      <w:r w:rsidR="00CB287F">
        <w:rPr>
          <w:rFonts w:ascii="Arial" w:hAnsi="Arial" w:cs="Arial"/>
          <w:color w:val="000000" w:themeColor="text1"/>
        </w:rPr>
        <w:t xml:space="preserve"> </w:t>
      </w:r>
      <w:r w:rsidRPr="00CB287F">
        <w:rPr>
          <w:rFonts w:ascii="Arial" w:hAnsi="Arial" w:cs="Arial"/>
          <w:color w:val="000000" w:themeColor="text1"/>
        </w:rPr>
        <w:t>OBDRR041 would not facilitate full participation by DERs in ERCOT markets, but it is readily implementable and would provide opportunities for learning that would inform future efforts on DER participation.</w:t>
      </w:r>
      <w:r w:rsidRPr="00CB287F">
        <w:rPr>
          <w:rFonts w:ascii="Arial" w:hAnsi="Arial" w:cs="Arial"/>
          <w:color w:val="000000"/>
        </w:rPr>
        <w:t xml:space="preserve"> </w:t>
      </w:r>
      <w:r w:rsidR="00CB287F">
        <w:rPr>
          <w:rFonts w:ascii="Arial" w:hAnsi="Arial" w:cs="Arial"/>
          <w:color w:val="000000"/>
        </w:rPr>
        <w:t xml:space="preserve"> </w:t>
      </w:r>
      <w:r w:rsidRPr="00CB287F">
        <w:rPr>
          <w:rFonts w:ascii="Arial" w:hAnsi="Arial" w:cs="Arial"/>
          <w:color w:val="000000" w:themeColor="text1"/>
        </w:rPr>
        <w:t xml:space="preserve">TAEBA also recognizes that OBDRR041 </w:t>
      </w:r>
      <w:r w:rsidR="0B205D54" w:rsidRPr="00CB287F">
        <w:rPr>
          <w:rFonts w:ascii="Arial" w:hAnsi="Arial" w:cs="Arial"/>
          <w:color w:val="000000" w:themeColor="text1"/>
        </w:rPr>
        <w:t>is</w:t>
      </w:r>
      <w:r w:rsidRPr="00CB287F">
        <w:rPr>
          <w:rFonts w:ascii="Arial" w:hAnsi="Arial" w:cs="Arial"/>
          <w:color w:val="000000" w:themeColor="text1"/>
        </w:rPr>
        <w:t xml:space="preserve"> </w:t>
      </w:r>
      <w:r w:rsidRPr="00CB287F">
        <w:rPr>
          <w:rFonts w:ascii="Arial" w:hAnsi="Arial" w:cs="Arial"/>
          <w:color w:val="000000"/>
        </w:rPr>
        <w:t>intended as</w:t>
      </w:r>
      <w:r w:rsidRPr="00CB287F">
        <w:rPr>
          <w:rFonts w:ascii="Arial" w:hAnsi="Arial" w:cs="Arial"/>
          <w:color w:val="000000" w:themeColor="text1"/>
        </w:rPr>
        <w:t xml:space="preserve"> </w:t>
      </w:r>
      <w:r w:rsidR="0B205D54" w:rsidRPr="00CB287F">
        <w:rPr>
          <w:rFonts w:ascii="Arial" w:hAnsi="Arial" w:cs="Arial"/>
          <w:color w:val="000000" w:themeColor="text1"/>
        </w:rPr>
        <w:t>an interim measure</w:t>
      </w:r>
      <w:r w:rsidRPr="00CB287F">
        <w:rPr>
          <w:rFonts w:ascii="Arial" w:hAnsi="Arial" w:cs="Arial"/>
          <w:color w:val="000000" w:themeColor="text1"/>
        </w:rPr>
        <w:t xml:space="preserve">, </w:t>
      </w:r>
      <w:r w:rsidRPr="00CB287F">
        <w:rPr>
          <w:rFonts w:ascii="Arial" w:hAnsi="Arial" w:cs="Arial"/>
          <w:color w:val="000000"/>
        </w:rPr>
        <w:t xml:space="preserve">and that </w:t>
      </w:r>
      <w:r w:rsidRPr="00CB287F">
        <w:rPr>
          <w:rFonts w:ascii="Arial" w:hAnsi="Arial" w:cs="Arial"/>
          <w:color w:val="000000" w:themeColor="text1"/>
        </w:rPr>
        <w:t xml:space="preserve">more action is needed to fully realize the benefits of DERs to strengthen the reliability and resiliency of the Texas grid, as discussed in TAEBA’s June </w:t>
      </w:r>
      <w:r w:rsidRPr="00CB287F">
        <w:rPr>
          <w:rFonts w:ascii="Arial" w:hAnsi="Arial" w:cs="Arial"/>
          <w:color w:val="000000" w:themeColor="text1"/>
        </w:rPr>
        <w:lastRenderedPageBreak/>
        <w:t>2022 report titled “Future Proofing the Texas Grid with Distributed Energy Resources</w:t>
      </w:r>
      <w:r w:rsidR="00824E24" w:rsidRPr="00CB287F">
        <w:rPr>
          <w:rFonts w:ascii="Arial" w:hAnsi="Arial" w:cs="Arial"/>
          <w:color w:val="000000" w:themeColor="text1"/>
        </w:rPr>
        <w:t>.</w:t>
      </w:r>
      <w:r w:rsidR="00824E24" w:rsidRPr="00CB287F">
        <w:rPr>
          <w:rFonts w:ascii="Arial" w:hAnsi="Arial" w:cs="Arial"/>
          <w:color w:val="000000"/>
        </w:rPr>
        <w:t>”</w:t>
      </w:r>
      <w:r w:rsidRPr="00CB287F">
        <w:rPr>
          <w:rStyle w:val="FootnoteReference"/>
          <w:rFonts w:ascii="Arial" w:hAnsi="Arial" w:cs="Arial"/>
          <w:color w:val="000000" w:themeColor="text1"/>
        </w:rPr>
        <w:footnoteReference w:id="2"/>
      </w:r>
      <w:r w:rsidR="6E1292A7" w:rsidRPr="00CB287F">
        <w:rPr>
          <w:rFonts w:ascii="Arial" w:hAnsi="Arial" w:cs="Arial"/>
          <w:color w:val="000000" w:themeColor="text1"/>
        </w:rPr>
        <w:t xml:space="preserve"> There is enormous potential for DERs at all scales, including residential, corporate, and industrial sites. </w:t>
      </w:r>
      <w:r w:rsidR="20E5877F" w:rsidRPr="00CB287F">
        <w:rPr>
          <w:rFonts w:ascii="Arial" w:hAnsi="Arial" w:cs="Arial"/>
          <w:color w:val="000000" w:themeColor="text1"/>
        </w:rPr>
        <w:t xml:space="preserve">With </w:t>
      </w:r>
      <w:r w:rsidR="6E1292A7" w:rsidRPr="00CB287F">
        <w:rPr>
          <w:rFonts w:ascii="Arial" w:hAnsi="Arial" w:cs="Arial"/>
          <w:color w:val="000000" w:themeColor="text1"/>
        </w:rPr>
        <w:t>DERs coming online</w:t>
      </w:r>
      <w:r w:rsidR="20E5877F" w:rsidRPr="00CB287F">
        <w:rPr>
          <w:rFonts w:ascii="Arial" w:hAnsi="Arial" w:cs="Arial"/>
          <w:color w:val="000000" w:themeColor="text1"/>
        </w:rPr>
        <w:t>,</w:t>
      </w:r>
      <w:r w:rsidR="6E1292A7" w:rsidRPr="00CB287F">
        <w:rPr>
          <w:rFonts w:ascii="Arial" w:hAnsi="Arial" w:cs="Arial"/>
          <w:color w:val="000000" w:themeColor="text1"/>
        </w:rPr>
        <w:t xml:space="preserve"> optimizing these resources </w:t>
      </w:r>
      <w:r w:rsidR="20E5877F" w:rsidRPr="00CB287F">
        <w:rPr>
          <w:rFonts w:ascii="Arial" w:hAnsi="Arial" w:cs="Arial"/>
          <w:color w:val="000000" w:themeColor="text1"/>
        </w:rPr>
        <w:t xml:space="preserve">as soon as possible </w:t>
      </w:r>
      <w:r w:rsidR="6E1292A7" w:rsidRPr="00CB287F">
        <w:rPr>
          <w:rFonts w:ascii="Arial" w:hAnsi="Arial" w:cs="Arial"/>
          <w:color w:val="000000" w:themeColor="text1"/>
        </w:rPr>
        <w:t xml:space="preserve">will ensure reliability and cost-effectiveness. </w:t>
      </w:r>
    </w:p>
    <w:p w14:paraId="57E4CA50" w14:textId="77777777" w:rsidR="00911815" w:rsidRPr="00CB287F" w:rsidRDefault="00911815" w:rsidP="00911815">
      <w:pPr>
        <w:rPr>
          <w:rFonts w:ascii="Arial" w:hAnsi="Arial" w:cs="Arial"/>
          <w:color w:val="000000"/>
        </w:rPr>
      </w:pPr>
    </w:p>
    <w:p w14:paraId="7F323EF8" w14:textId="362A4184" w:rsidR="00911815" w:rsidRPr="00CB287F" w:rsidRDefault="00911815" w:rsidP="00911815">
      <w:pPr>
        <w:rPr>
          <w:rFonts w:ascii="Arial" w:hAnsi="Arial" w:cs="Arial"/>
          <w:color w:val="000000"/>
        </w:rPr>
      </w:pPr>
      <w:r w:rsidRPr="00CB287F">
        <w:rPr>
          <w:rFonts w:ascii="Arial" w:hAnsi="Arial" w:cs="Arial"/>
          <w:color w:val="000000" w:themeColor="text1"/>
        </w:rPr>
        <w:t xml:space="preserve">TAEBA supports ERCOT’s proposal from its June 17, 2022 comments on OBDRR041 to create a new participation model to aggregate distribution-connected generators and batteries for participation in the wholesale energy and </w:t>
      </w:r>
      <w:r w:rsidR="00FC6A03">
        <w:rPr>
          <w:rFonts w:ascii="Arial" w:hAnsi="Arial" w:cs="Arial"/>
          <w:color w:val="000000" w:themeColor="text1"/>
        </w:rPr>
        <w:t>A</w:t>
      </w:r>
      <w:r w:rsidRPr="00CB287F">
        <w:rPr>
          <w:rFonts w:ascii="Arial" w:hAnsi="Arial" w:cs="Arial"/>
          <w:color w:val="000000" w:themeColor="text1"/>
        </w:rPr>
        <w:t xml:space="preserve">ncillary </w:t>
      </w:r>
      <w:r w:rsidR="00FC6A03">
        <w:rPr>
          <w:rFonts w:ascii="Arial" w:hAnsi="Arial" w:cs="Arial"/>
          <w:color w:val="000000" w:themeColor="text1"/>
        </w:rPr>
        <w:t>S</w:t>
      </w:r>
      <w:r w:rsidRPr="00CB287F">
        <w:rPr>
          <w:rFonts w:ascii="Arial" w:hAnsi="Arial" w:cs="Arial"/>
          <w:color w:val="000000" w:themeColor="text1"/>
        </w:rPr>
        <w:t xml:space="preserve">ervice markets. </w:t>
      </w:r>
      <w:r w:rsidR="00CB287F">
        <w:rPr>
          <w:rFonts w:ascii="Arial" w:hAnsi="Arial" w:cs="Arial"/>
          <w:color w:val="000000" w:themeColor="text1"/>
        </w:rPr>
        <w:t xml:space="preserve"> </w:t>
      </w:r>
      <w:r w:rsidRPr="00CB287F">
        <w:rPr>
          <w:rFonts w:ascii="Arial" w:hAnsi="Arial" w:cs="Arial"/>
          <w:color w:val="000000" w:themeColor="text1"/>
        </w:rPr>
        <w:t xml:space="preserve">TAEBA also supports the proposal offered during the June 16, 2022 Public Utility Commission of Texas (PUCT) Open Meeting outlining a pilot program to test aggregations of distribution-connected load, generation, and energy storage systems. TAEBA views the pilot program as an opportunity to provide testing of aggregations while further revisions are being considered. </w:t>
      </w:r>
      <w:r w:rsidR="00A05179">
        <w:rPr>
          <w:rFonts w:ascii="Arial" w:hAnsi="Arial" w:cs="Arial"/>
          <w:color w:val="000000" w:themeColor="text1"/>
        </w:rPr>
        <w:t xml:space="preserve"> </w:t>
      </w:r>
      <w:r w:rsidRPr="00CB287F">
        <w:rPr>
          <w:rFonts w:ascii="Arial" w:hAnsi="Arial" w:cs="Arial"/>
          <w:color w:val="000000" w:themeColor="text1"/>
        </w:rPr>
        <w:t xml:space="preserve">Solutions to expand DER access to ERCOT markets should consider all DER technologies and business </w:t>
      </w:r>
      <w:r w:rsidR="007470E0" w:rsidRPr="00CB287F">
        <w:rPr>
          <w:rFonts w:ascii="Arial" w:hAnsi="Arial" w:cs="Arial"/>
          <w:color w:val="000000" w:themeColor="text1"/>
        </w:rPr>
        <w:t>models and</w:t>
      </w:r>
      <w:r w:rsidRPr="00CB287F">
        <w:rPr>
          <w:rFonts w:ascii="Arial" w:hAnsi="Arial" w:cs="Arial"/>
          <w:color w:val="000000" w:themeColor="text1"/>
        </w:rPr>
        <w:t xml:space="preserve"> address the numerous sites where they can participate. TAEBA looks forward to engaging with ERCOT, the PUCT, and stakeholders to advance participation by aggregated DERs in ERCOT markets.</w:t>
      </w:r>
    </w:p>
    <w:p w14:paraId="2EC45DAE" w14:textId="344DB3F0" w:rsidR="00715D38" w:rsidRPr="00CB287F" w:rsidRDefault="00715D38" w:rsidP="6E1292A7">
      <w:pPr>
        <w:pStyle w:val="NormalArial"/>
        <w:rPr>
          <w:rFonts w:cs="Arial"/>
          <w:color w:val="000000" w:themeColor="text1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15D38" w:rsidRPr="00CB287F" w14:paraId="31414CD6" w14:textId="77777777" w:rsidTr="00CB287F">
        <w:trPr>
          <w:trHeight w:val="3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42E468" w14:textId="77777777" w:rsidR="00715D38" w:rsidRPr="00CB287F" w:rsidRDefault="00715D38" w:rsidP="00717913">
            <w:pPr>
              <w:pStyle w:val="Header"/>
              <w:jc w:val="center"/>
              <w:rPr>
                <w:rFonts w:cs="Arial"/>
              </w:rPr>
            </w:pPr>
            <w:r w:rsidRPr="00CB287F">
              <w:rPr>
                <w:rFonts w:cs="Arial"/>
              </w:rPr>
              <w:t>Revised Cover Page Language</w:t>
            </w:r>
          </w:p>
        </w:tc>
      </w:tr>
    </w:tbl>
    <w:p w14:paraId="312D8C87" w14:textId="43A9B703" w:rsidR="00715D38" w:rsidRPr="00CB287F" w:rsidRDefault="00F87CEC" w:rsidP="00715D38">
      <w:pPr>
        <w:pStyle w:val="BodyText"/>
        <w:rPr>
          <w:rFonts w:ascii="Arial" w:hAnsi="Arial" w:cs="Arial"/>
          <w:b/>
        </w:rPr>
      </w:pPr>
      <w:r w:rsidRPr="00CB287F">
        <w:rPr>
          <w:rFonts w:ascii="Arial" w:hAnsi="Arial" w:cs="Arial"/>
          <w:bCs/>
        </w:rPr>
        <w:t>None.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:rsidRPr="00CB287F" w14:paraId="02A478B3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78F6E4" w14:textId="77777777" w:rsidR="00152993" w:rsidRPr="00CB287F" w:rsidRDefault="00152993" w:rsidP="00067699">
            <w:pPr>
              <w:pStyle w:val="Header"/>
              <w:jc w:val="center"/>
              <w:rPr>
                <w:rFonts w:cs="Arial"/>
              </w:rPr>
            </w:pPr>
            <w:r w:rsidRPr="00CB287F">
              <w:rPr>
                <w:rFonts w:cs="Arial"/>
              </w:rPr>
              <w:t xml:space="preserve">Revised Proposed </w:t>
            </w:r>
            <w:r w:rsidR="00067699" w:rsidRPr="00CB287F">
              <w:rPr>
                <w:rFonts w:cs="Arial"/>
              </w:rPr>
              <w:t>Other Binding Document</w:t>
            </w:r>
            <w:r w:rsidRPr="00CB287F">
              <w:rPr>
                <w:rFonts w:cs="Arial"/>
              </w:rPr>
              <w:t xml:space="preserve"> Language</w:t>
            </w:r>
          </w:p>
        </w:tc>
      </w:tr>
    </w:tbl>
    <w:p w14:paraId="7AB725D8" w14:textId="0D3202DB" w:rsidR="00152993" w:rsidRPr="00CB287F" w:rsidRDefault="00F87CEC">
      <w:pPr>
        <w:pStyle w:val="BodyText"/>
        <w:rPr>
          <w:rFonts w:ascii="Arial" w:hAnsi="Arial" w:cs="Arial"/>
          <w:b/>
        </w:rPr>
      </w:pPr>
      <w:r w:rsidRPr="00CB287F">
        <w:rPr>
          <w:rFonts w:ascii="Arial" w:hAnsi="Arial" w:cs="Arial"/>
          <w:bCs/>
        </w:rPr>
        <w:t>None.</w:t>
      </w:r>
    </w:p>
    <w:p w14:paraId="5F33BFDD" w14:textId="77777777" w:rsidR="00152993" w:rsidRPr="00CB287F" w:rsidRDefault="00152993">
      <w:pPr>
        <w:pStyle w:val="BodyText"/>
        <w:rPr>
          <w:rFonts w:ascii="Arial" w:hAnsi="Arial" w:cs="Arial"/>
        </w:rPr>
      </w:pPr>
    </w:p>
    <w:p w14:paraId="5F545D85" w14:textId="77777777" w:rsidR="00152993" w:rsidRPr="00CB287F" w:rsidRDefault="00152993">
      <w:pPr>
        <w:pStyle w:val="BodyText"/>
        <w:rPr>
          <w:rFonts w:ascii="Arial" w:hAnsi="Arial" w:cs="Arial"/>
        </w:rPr>
      </w:pPr>
    </w:p>
    <w:sectPr w:rsidR="00152993" w:rsidRPr="00CB287F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175C" w14:textId="77777777" w:rsidR="00F5181E" w:rsidRDefault="00F5181E">
      <w:r>
        <w:separator/>
      </w:r>
    </w:p>
  </w:endnote>
  <w:endnote w:type="continuationSeparator" w:id="0">
    <w:p w14:paraId="4D4DD22D" w14:textId="77777777" w:rsidR="00F5181E" w:rsidRDefault="00F5181E">
      <w:r>
        <w:continuationSeparator/>
      </w:r>
    </w:p>
  </w:endnote>
  <w:endnote w:type="continuationNotice" w:id="1">
    <w:p w14:paraId="304A6190" w14:textId="77777777" w:rsidR="00F5181E" w:rsidRDefault="00F518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8920" w14:textId="4D4D7D49" w:rsidR="00EE6681" w:rsidRDefault="002671D7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041OBDRR-</w:t>
    </w:r>
    <w:r w:rsidR="006C3DB2">
      <w:rPr>
        <w:rFonts w:ascii="Arial" w:hAnsi="Arial"/>
        <w:sz w:val="18"/>
      </w:rPr>
      <w:t>11</w:t>
    </w:r>
    <w:r>
      <w:rPr>
        <w:rFonts w:ascii="Arial" w:hAnsi="Arial"/>
        <w:sz w:val="18"/>
      </w:rPr>
      <w:t xml:space="preserve"> </w:t>
    </w:r>
    <w:r w:rsidR="00A05179">
      <w:rPr>
        <w:rFonts w:ascii="Arial" w:hAnsi="Arial"/>
        <w:sz w:val="18"/>
      </w:rPr>
      <w:t>TAEBA</w:t>
    </w:r>
    <w:r>
      <w:rPr>
        <w:rFonts w:ascii="Arial" w:hAnsi="Arial"/>
        <w:sz w:val="18"/>
      </w:rPr>
      <w:t xml:space="preserve"> Comments </w:t>
    </w:r>
    <w:r w:rsidR="00F85D02">
      <w:rPr>
        <w:rFonts w:ascii="Arial" w:hAnsi="Arial"/>
        <w:sz w:val="18"/>
      </w:rPr>
      <w:t>0708</w:t>
    </w:r>
    <w:r>
      <w:rPr>
        <w:rFonts w:ascii="Arial" w:hAnsi="Arial"/>
        <w:sz w:val="18"/>
      </w:rPr>
      <w:t>22</w:t>
    </w:r>
    <w:r w:rsidR="00EE6681">
      <w:rPr>
        <w:rFonts w:ascii="Arial" w:hAnsi="Arial"/>
        <w:sz w:val="18"/>
      </w:rPr>
      <w:t xml:space="preserve"> 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067699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067699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182C8A89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D57DB" w14:textId="77777777" w:rsidR="00F5181E" w:rsidRDefault="00F5181E">
      <w:r>
        <w:separator/>
      </w:r>
    </w:p>
  </w:footnote>
  <w:footnote w:type="continuationSeparator" w:id="0">
    <w:p w14:paraId="201E0318" w14:textId="77777777" w:rsidR="00F5181E" w:rsidRDefault="00F5181E">
      <w:r>
        <w:continuationSeparator/>
      </w:r>
    </w:p>
  </w:footnote>
  <w:footnote w:type="continuationNotice" w:id="1">
    <w:p w14:paraId="7C3F7698" w14:textId="77777777" w:rsidR="00F5181E" w:rsidRDefault="00F5181E"/>
  </w:footnote>
  <w:footnote w:id="2">
    <w:p w14:paraId="07EF1659" w14:textId="7F48C315" w:rsidR="000B21F6" w:rsidRPr="00CB287F" w:rsidRDefault="000B21F6">
      <w:pPr>
        <w:rPr>
          <w:rFonts w:ascii="Arial" w:hAnsi="Arial" w:cs="Arial"/>
        </w:rPr>
      </w:pPr>
    </w:p>
    <w:p w14:paraId="23E64677" w14:textId="668A0EAF" w:rsidR="00911815" w:rsidRPr="008B474A" w:rsidRDefault="00911815" w:rsidP="00911815">
      <w:pPr>
        <w:pStyle w:val="FootnoteText"/>
        <w:rPr>
          <w:rFonts w:ascii="Times New Roman" w:hAnsi="Times New Roman" w:cs="Times New Roman"/>
        </w:rPr>
      </w:pPr>
      <w:r w:rsidRPr="00CB287F">
        <w:rPr>
          <w:rStyle w:val="FootnoteReference"/>
          <w:rFonts w:ascii="Arial" w:hAnsi="Arial" w:cs="Arial"/>
        </w:rPr>
        <w:footnoteRef/>
      </w:r>
      <w:r w:rsidRPr="00CB287F">
        <w:rPr>
          <w:rFonts w:ascii="Arial" w:hAnsi="Arial" w:cs="Arial"/>
        </w:rPr>
        <w:t xml:space="preserve"> </w:t>
      </w:r>
      <w:r w:rsidR="00894D32" w:rsidRPr="00CB287F">
        <w:rPr>
          <w:rFonts w:ascii="Arial" w:hAnsi="Arial" w:cs="Arial"/>
        </w:rPr>
        <w:t>TAEBA, “</w:t>
      </w:r>
      <w:r w:rsidR="000578C9" w:rsidRPr="00CB287F">
        <w:rPr>
          <w:rFonts w:ascii="Arial" w:hAnsi="Arial" w:cs="Arial"/>
        </w:rPr>
        <w:t>Future Proofing the Texas Grid with Distributed Energy Resources.”</w:t>
      </w:r>
      <w:r w:rsidR="003D6C13" w:rsidRPr="00CB287F">
        <w:rPr>
          <w:rFonts w:ascii="Arial" w:hAnsi="Arial" w:cs="Arial"/>
        </w:rPr>
        <w:t xml:space="preserve"> June 2022.</w:t>
      </w:r>
      <w:r w:rsidR="003D6C13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6284" w14:textId="77777777" w:rsidR="00EE6681" w:rsidRPr="00067699" w:rsidRDefault="00416696" w:rsidP="00067699">
    <w:pPr>
      <w:pStyle w:val="Header"/>
      <w:jc w:val="center"/>
      <w:rPr>
        <w:sz w:val="32"/>
      </w:rPr>
    </w:pPr>
    <w:r>
      <w:rPr>
        <w:sz w:val="32"/>
      </w:rPr>
      <w:t>OBDRR</w:t>
    </w:r>
    <w:r w:rsidR="00EE6681">
      <w:rPr>
        <w:sz w:val="32"/>
      </w:rPr>
      <w:t xml:space="preserve">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23B76"/>
    <w:rsid w:val="00037668"/>
    <w:rsid w:val="00037DD4"/>
    <w:rsid w:val="000578C9"/>
    <w:rsid w:val="0006172A"/>
    <w:rsid w:val="00067699"/>
    <w:rsid w:val="00075A94"/>
    <w:rsid w:val="000841DD"/>
    <w:rsid w:val="000B21F6"/>
    <w:rsid w:val="000D73B8"/>
    <w:rsid w:val="00132855"/>
    <w:rsid w:val="00152993"/>
    <w:rsid w:val="00170297"/>
    <w:rsid w:val="001A227D"/>
    <w:rsid w:val="001B662A"/>
    <w:rsid w:val="001C0170"/>
    <w:rsid w:val="001E2032"/>
    <w:rsid w:val="002047C7"/>
    <w:rsid w:val="00214317"/>
    <w:rsid w:val="002671D7"/>
    <w:rsid w:val="003010C0"/>
    <w:rsid w:val="00332A97"/>
    <w:rsid w:val="0034730A"/>
    <w:rsid w:val="00350C00"/>
    <w:rsid w:val="00366113"/>
    <w:rsid w:val="00373917"/>
    <w:rsid w:val="003908D1"/>
    <w:rsid w:val="003A0159"/>
    <w:rsid w:val="003A7BC1"/>
    <w:rsid w:val="003C270C"/>
    <w:rsid w:val="003C69C0"/>
    <w:rsid w:val="003D0994"/>
    <w:rsid w:val="003D6C13"/>
    <w:rsid w:val="00416696"/>
    <w:rsid w:val="00423824"/>
    <w:rsid w:val="0043567D"/>
    <w:rsid w:val="004941B2"/>
    <w:rsid w:val="004B7B90"/>
    <w:rsid w:val="004E2C19"/>
    <w:rsid w:val="00517C48"/>
    <w:rsid w:val="005A0F0F"/>
    <w:rsid w:val="005C6065"/>
    <w:rsid w:val="005C7BF4"/>
    <w:rsid w:val="005D284C"/>
    <w:rsid w:val="00613E97"/>
    <w:rsid w:val="00633E23"/>
    <w:rsid w:val="00647879"/>
    <w:rsid w:val="0066743F"/>
    <w:rsid w:val="00673B94"/>
    <w:rsid w:val="00680AC6"/>
    <w:rsid w:val="006835D8"/>
    <w:rsid w:val="006B71AF"/>
    <w:rsid w:val="006C014F"/>
    <w:rsid w:val="006C316E"/>
    <w:rsid w:val="006C3DB2"/>
    <w:rsid w:val="006D0F7C"/>
    <w:rsid w:val="006D3BF0"/>
    <w:rsid w:val="00700E96"/>
    <w:rsid w:val="0070503B"/>
    <w:rsid w:val="00715D38"/>
    <w:rsid w:val="00717913"/>
    <w:rsid w:val="007269C4"/>
    <w:rsid w:val="0074209E"/>
    <w:rsid w:val="00743431"/>
    <w:rsid w:val="007470E0"/>
    <w:rsid w:val="00756EA7"/>
    <w:rsid w:val="00766481"/>
    <w:rsid w:val="007F2CA8"/>
    <w:rsid w:val="007F7161"/>
    <w:rsid w:val="00803B12"/>
    <w:rsid w:val="00824E24"/>
    <w:rsid w:val="00845F20"/>
    <w:rsid w:val="0085559E"/>
    <w:rsid w:val="00894D32"/>
    <w:rsid w:val="00896B1B"/>
    <w:rsid w:val="008A0334"/>
    <w:rsid w:val="008E559E"/>
    <w:rsid w:val="00911603"/>
    <w:rsid w:val="00911815"/>
    <w:rsid w:val="00912D1F"/>
    <w:rsid w:val="00914B2E"/>
    <w:rsid w:val="00916080"/>
    <w:rsid w:val="00921A68"/>
    <w:rsid w:val="00942927"/>
    <w:rsid w:val="009467F3"/>
    <w:rsid w:val="009B2527"/>
    <w:rsid w:val="00A015C4"/>
    <w:rsid w:val="00A05179"/>
    <w:rsid w:val="00A15172"/>
    <w:rsid w:val="00A33515"/>
    <w:rsid w:val="00A459BA"/>
    <w:rsid w:val="00A827FC"/>
    <w:rsid w:val="00AA5E79"/>
    <w:rsid w:val="00AD4754"/>
    <w:rsid w:val="00AE2664"/>
    <w:rsid w:val="00B01C91"/>
    <w:rsid w:val="00B06B0E"/>
    <w:rsid w:val="00B126D6"/>
    <w:rsid w:val="00B34E94"/>
    <w:rsid w:val="00B40DA2"/>
    <w:rsid w:val="00B477B0"/>
    <w:rsid w:val="00B65FB0"/>
    <w:rsid w:val="00B943AE"/>
    <w:rsid w:val="00BB033C"/>
    <w:rsid w:val="00C0598D"/>
    <w:rsid w:val="00C11956"/>
    <w:rsid w:val="00C253AB"/>
    <w:rsid w:val="00C41557"/>
    <w:rsid w:val="00C602E5"/>
    <w:rsid w:val="00C748FD"/>
    <w:rsid w:val="00CB287F"/>
    <w:rsid w:val="00CD382A"/>
    <w:rsid w:val="00D312D5"/>
    <w:rsid w:val="00D4046E"/>
    <w:rsid w:val="00D4362F"/>
    <w:rsid w:val="00D64BFF"/>
    <w:rsid w:val="00DA2FA6"/>
    <w:rsid w:val="00DD4739"/>
    <w:rsid w:val="00DE5F33"/>
    <w:rsid w:val="00E07B54"/>
    <w:rsid w:val="00E11F78"/>
    <w:rsid w:val="00E3092A"/>
    <w:rsid w:val="00E617C3"/>
    <w:rsid w:val="00E621E1"/>
    <w:rsid w:val="00E846BE"/>
    <w:rsid w:val="00EC55B3"/>
    <w:rsid w:val="00EC7529"/>
    <w:rsid w:val="00EE6681"/>
    <w:rsid w:val="00F031C0"/>
    <w:rsid w:val="00F50EB0"/>
    <w:rsid w:val="00F5181E"/>
    <w:rsid w:val="00F84910"/>
    <w:rsid w:val="00F85D02"/>
    <w:rsid w:val="00F87CEC"/>
    <w:rsid w:val="00F96FB2"/>
    <w:rsid w:val="00FB51D8"/>
    <w:rsid w:val="00FC6A03"/>
    <w:rsid w:val="00FD08E8"/>
    <w:rsid w:val="012E0C04"/>
    <w:rsid w:val="016844BA"/>
    <w:rsid w:val="03A1443A"/>
    <w:rsid w:val="09615513"/>
    <w:rsid w:val="0B205D54"/>
    <w:rsid w:val="0DE76DC7"/>
    <w:rsid w:val="0DFBB2D1"/>
    <w:rsid w:val="0F3960E0"/>
    <w:rsid w:val="13405427"/>
    <w:rsid w:val="1590A3DC"/>
    <w:rsid w:val="169A9D68"/>
    <w:rsid w:val="1D6D24A8"/>
    <w:rsid w:val="20E5877F"/>
    <w:rsid w:val="2B4BD285"/>
    <w:rsid w:val="2C7AEF2D"/>
    <w:rsid w:val="2DEF9FA5"/>
    <w:rsid w:val="31274067"/>
    <w:rsid w:val="335D3D5E"/>
    <w:rsid w:val="340FE038"/>
    <w:rsid w:val="365853A9"/>
    <w:rsid w:val="3A019BC0"/>
    <w:rsid w:val="3A0A0838"/>
    <w:rsid w:val="3D12C928"/>
    <w:rsid w:val="409556C3"/>
    <w:rsid w:val="4BAE1062"/>
    <w:rsid w:val="4E15AA09"/>
    <w:rsid w:val="5043513F"/>
    <w:rsid w:val="51DF21A0"/>
    <w:rsid w:val="58C42562"/>
    <w:rsid w:val="5D0DF18A"/>
    <w:rsid w:val="5D78C2BE"/>
    <w:rsid w:val="6B62C8C8"/>
    <w:rsid w:val="6DD3604A"/>
    <w:rsid w:val="6E1292A7"/>
    <w:rsid w:val="737793C4"/>
    <w:rsid w:val="745E4FB3"/>
    <w:rsid w:val="7B8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73CBA"/>
  <w15:chartTrackingRefBased/>
  <w15:docId w15:val="{661155E6-9681-5F45-A4DA-805ED412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uiPriority w:val="99"/>
    <w:semiHidden/>
    <w:unhideWhenUsed/>
    <w:rsid w:val="00803B1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911815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1815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911815"/>
    <w:rPr>
      <w:vertAlign w:val="superscript"/>
    </w:rPr>
  </w:style>
  <w:style w:type="character" w:styleId="FollowedHyperlink">
    <w:name w:val="FollowedHyperlink"/>
    <w:basedOn w:val="DefaultParagraphFont"/>
    <w:rsid w:val="00C253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uajardo@texasadvancedenerg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OBDRR0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3828</CharactersWithSpaces>
  <SharedDoc>false</SharedDoc>
  <HLinks>
    <vt:vector size="6" baseType="variant">
      <vt:variant>
        <vt:i4>8126498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https://www.ercot.com/mktrules/issues/OBDRR041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4</cp:revision>
  <cp:lastPrinted>2001-06-20T13:28:00Z</cp:lastPrinted>
  <dcterms:created xsi:type="dcterms:W3CDTF">2022-07-08T21:55:00Z</dcterms:created>
  <dcterms:modified xsi:type="dcterms:W3CDTF">2022-07-08T21:56:00Z</dcterms:modified>
</cp:coreProperties>
</file>