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4CA1A472" w:rsidR="00C97625" w:rsidRPr="00595DDC" w:rsidRDefault="0099792A" w:rsidP="0099792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6305EC" w:rsidRPr="006305EC">
                <w:rPr>
                  <w:rStyle w:val="Hyperlink"/>
                </w:rPr>
                <w:t>1085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24D69C46" w:rsidR="00C97625" w:rsidRPr="009F3D0E" w:rsidRDefault="006305E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305EC">
              <w:rPr>
                <w:szCs w:val="23"/>
              </w:rPr>
              <w:t>Ensuring Continuous Validity of Physical Responsive Capability (PRC) and Dispatch through Timely Changes to Resource Telemetry and Current Operating Plans (COPs)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622A7F78" w:rsidR="00FC0BDC" w:rsidRPr="009F3D0E" w:rsidRDefault="0099792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5, 2022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E0E575A" w14:textId="77777777" w:rsidR="006305EC" w:rsidRPr="006305EC" w:rsidRDefault="006305EC" w:rsidP="006305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5EC">
              <w:rPr>
                <w:rFonts w:ascii="Arial" w:hAnsi="Arial" w:cs="Arial"/>
              </w:rPr>
              <w:t>Between $100k and $150k</w:t>
            </w:r>
          </w:p>
          <w:p w14:paraId="5B6A9F24" w14:textId="48C6818B" w:rsidR="00124420" w:rsidRPr="002D68CF" w:rsidRDefault="006305EC" w:rsidP="006305E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305EC">
              <w:rPr>
                <w:rFonts w:ascii="Arial" w:hAnsi="Arial" w:cs="Arial"/>
              </w:rPr>
              <w:t>See Comments.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15C" w14:textId="710A11F6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</w:t>
            </w:r>
          </w:p>
          <w:p w14:paraId="52E5C28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53659AE6" w14:textId="124327D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6305EC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6305EC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0FC20E42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6305EC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3889C7B" w14:textId="2E3C2DAA" w:rsidR="00EF3E50" w:rsidRPr="006305EC" w:rsidRDefault="006305EC" w:rsidP="006305EC">
            <w:pPr>
              <w:pStyle w:val="NormalArial"/>
              <w:numPr>
                <w:ilvl w:val="0"/>
                <w:numId w:val="7"/>
              </w:numPr>
            </w:pPr>
            <w:r w:rsidRPr="006305EC">
              <w:t>Settlements &amp; Billing Systems</w:t>
            </w:r>
            <w:r>
              <w:t xml:space="preserve">                  43%</w:t>
            </w:r>
          </w:p>
          <w:p w14:paraId="40B194B4" w14:textId="7BC3DE2D" w:rsidR="006305EC" w:rsidRPr="006305EC" w:rsidRDefault="006305EC" w:rsidP="006305EC">
            <w:pPr>
              <w:pStyle w:val="NormalArial"/>
              <w:numPr>
                <w:ilvl w:val="0"/>
                <w:numId w:val="7"/>
              </w:numPr>
            </w:pPr>
            <w:r w:rsidRPr="006305EC">
              <w:t>Energy Management Systems</w:t>
            </w:r>
            <w:r>
              <w:t xml:space="preserve">                  25%</w:t>
            </w:r>
          </w:p>
          <w:p w14:paraId="3E94F9B6" w14:textId="27CDD222" w:rsidR="006305EC" w:rsidRPr="006305EC" w:rsidRDefault="006305EC" w:rsidP="006305EC">
            <w:pPr>
              <w:pStyle w:val="NormalArial"/>
              <w:numPr>
                <w:ilvl w:val="0"/>
                <w:numId w:val="7"/>
              </w:numPr>
            </w:pPr>
            <w:r w:rsidRPr="006305EC">
              <w:t>Data Management &amp; Analytic Systems</w:t>
            </w:r>
            <w:r>
              <w:t xml:space="preserve">     18%</w:t>
            </w:r>
          </w:p>
          <w:p w14:paraId="3AD90C01" w14:textId="50B77832" w:rsidR="006305EC" w:rsidRPr="006305EC" w:rsidRDefault="006305EC" w:rsidP="006305EC">
            <w:pPr>
              <w:pStyle w:val="NormalArial"/>
              <w:numPr>
                <w:ilvl w:val="0"/>
                <w:numId w:val="7"/>
              </w:numPr>
            </w:pPr>
            <w:r w:rsidRPr="006305EC">
              <w:t>Grid Decision Support Systems</w:t>
            </w:r>
            <w:r>
              <w:t xml:space="preserve">                  9%</w:t>
            </w:r>
          </w:p>
          <w:p w14:paraId="10D843D6" w14:textId="63DAC54A" w:rsidR="006305EC" w:rsidRPr="006305EC" w:rsidRDefault="006305EC" w:rsidP="006305EC">
            <w:pPr>
              <w:pStyle w:val="NormalArial"/>
              <w:numPr>
                <w:ilvl w:val="0"/>
                <w:numId w:val="7"/>
              </w:numPr>
            </w:pPr>
            <w:r w:rsidRPr="006305EC">
              <w:t>Market Operation Systems</w:t>
            </w:r>
            <w:r>
              <w:t xml:space="preserve">                          6%</w:t>
            </w:r>
          </w:p>
          <w:p w14:paraId="3964C7B3" w14:textId="4CC085C2" w:rsidR="006305EC" w:rsidRPr="006305EC" w:rsidRDefault="006305EC" w:rsidP="006305EC">
            <w:pPr>
              <w:pStyle w:val="NormalArial"/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44A140DD" w:rsidR="004E7041" w:rsidRPr="00D54DC7" w:rsidRDefault="006305E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6305EC">
              <w:rPr>
                <w:b w:val="0"/>
              </w:rPr>
              <w:t>ERCOT will update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0FAD31C2" w:rsidR="000A2646" w:rsidRPr="00A36BDB" w:rsidRDefault="006305EC" w:rsidP="0088379F">
            <w:pPr>
              <w:pStyle w:val="NormalArial"/>
            </w:pPr>
            <w:r w:rsidRPr="006305EC">
              <w:t>ERCOT may consider a phased approach in order to expedite the implementation of the new resource status code.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730D0578" w:rsidR="006B0C5E" w:rsidRDefault="0099792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1085NPRR-20 Revised Impact Analysis 070522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CE6A08"/>
    <w:multiLevelType w:val="hybridMultilevel"/>
    <w:tmpl w:val="DFFE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05EC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23BD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9792A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1465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2022-07-05T20:40:00Z</dcterms:created>
  <dcterms:modified xsi:type="dcterms:W3CDTF">2022-07-05T20:42:00Z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