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5C15" w14:textId="7DD12935" w:rsidR="004B52B8" w:rsidRDefault="004C43D3">
      <w:r>
        <w:t>LFL-11</w:t>
      </w:r>
    </w:p>
    <w:p w14:paraId="5C26D0C3" w14:textId="5823A214" w:rsidR="004C43D3" w:rsidRDefault="004C43D3"/>
    <w:p w14:paraId="6A0DBFEA" w14:textId="50811FF9" w:rsidR="004C43D3" w:rsidRDefault="004C43D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t>“</w:t>
      </w:r>
      <w:r w:rsidRPr="004C43D3">
        <w:rPr>
          <w:rFonts w:ascii="Calibri" w:eastAsia="Times New Roman" w:hAnsi="Calibri" w:cs="Calibri"/>
          <w:color w:val="000000"/>
          <w:sz w:val="22"/>
          <w:szCs w:val="22"/>
        </w:rPr>
        <w:t>Evaluate the need for rules prohibiting the switching between CLR and non-CLR participation and/or nodal and Load Zone settlement</w:t>
      </w:r>
      <w:r>
        <w:rPr>
          <w:rFonts w:ascii="Calibri" w:eastAsia="Times New Roman" w:hAnsi="Calibri" w:cs="Calibri"/>
          <w:color w:val="000000"/>
          <w:sz w:val="22"/>
          <w:szCs w:val="22"/>
        </w:rPr>
        <w:t>”</w:t>
      </w:r>
    </w:p>
    <w:p w14:paraId="04B46595" w14:textId="28DB5DBD" w:rsidR="004C43D3" w:rsidRDefault="004C43D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2A7E731" w14:textId="2FFC9833" w:rsidR="004C43D3" w:rsidRDefault="004C43D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Team: Eric Goff,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Lancium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. Shams Siddiqui</w:t>
      </w:r>
    </w:p>
    <w:p w14:paraId="74E7C3C3" w14:textId="107ADD76" w:rsidR="00FE0641" w:rsidRDefault="004C43D3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Allowing a load to switch between nodal and zonal pricing can create opportunities for gaming and uneconomic arbitrage. However, a load that is registered as both a CLR and LR for the provision of ancillary services</w:t>
      </w:r>
      <w:r w:rsidR="00FE0641">
        <w:rPr>
          <w:rFonts w:ascii="Calibri" w:eastAsia="Times New Roman" w:hAnsi="Calibri" w:cs="Calibri"/>
          <w:color w:val="000000"/>
          <w:sz w:val="22"/>
          <w:szCs w:val="22"/>
        </w:rPr>
        <w:t>. Therefore, a load resource that is associated with a CLR should also get nodal pricing to avoid switching between the two pricing types.</w:t>
      </w:r>
    </w:p>
    <w:p w14:paraId="548E9FF4" w14:textId="7E9B344B" w:rsidR="00FE0641" w:rsidRDefault="00FE064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3322D97" w14:textId="77777777" w:rsidR="00FE0641" w:rsidRPr="004C43D3" w:rsidRDefault="00FE0641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FE0641" w:rsidRPr="004C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D3"/>
    <w:rsid w:val="0018739C"/>
    <w:rsid w:val="004B52B8"/>
    <w:rsid w:val="004C43D3"/>
    <w:rsid w:val="00594DA2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E0DB0"/>
  <w15:chartTrackingRefBased/>
  <w15:docId w15:val="{37AB8E17-FD52-7647-ADEA-A1EB80D1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goff</dc:creator>
  <cp:keywords/>
  <dc:description/>
  <cp:lastModifiedBy>Eric goff</cp:lastModifiedBy>
  <cp:revision>1</cp:revision>
  <dcterms:created xsi:type="dcterms:W3CDTF">2022-05-30T18:31:00Z</dcterms:created>
  <dcterms:modified xsi:type="dcterms:W3CDTF">2022-05-30T18:37:00Z</dcterms:modified>
</cp:coreProperties>
</file>