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1170"/>
        <w:gridCol w:w="6390"/>
      </w:tblGrid>
      <w:tr w:rsidR="00E30BB3" w:rsidRPr="00516FA6" w14:paraId="2C33CBF3" w14:textId="77777777">
        <w:tc>
          <w:tcPr>
            <w:tcW w:w="1620" w:type="dxa"/>
            <w:tcBorders>
              <w:bottom w:val="single" w:sz="4" w:space="0" w:color="000000"/>
            </w:tcBorders>
            <w:shd w:val="clear" w:color="auto" w:fill="FFFFFF"/>
            <w:tcMar>
              <w:top w:w="0" w:type="dxa"/>
              <w:bottom w:w="0" w:type="dxa"/>
            </w:tcMar>
            <w:vAlign w:val="center"/>
          </w:tcPr>
          <w:p w14:paraId="49791F00" w14:textId="77777777" w:rsidR="00E30BB3" w:rsidRPr="00516FA6" w:rsidRDefault="002E5EDA">
            <w:pPr>
              <w:pBdr>
                <w:top w:val="nil"/>
                <w:left w:val="nil"/>
                <w:bottom w:val="nil"/>
                <w:right w:val="nil"/>
                <w:between w:val="nil"/>
              </w:pBdr>
              <w:tabs>
                <w:tab w:val="center" w:pos="4320"/>
                <w:tab w:val="right" w:pos="8640"/>
              </w:tabs>
              <w:rPr>
                <w:rFonts w:ascii="Arial" w:eastAsia="Verdana" w:hAnsi="Arial" w:cs="Arial"/>
                <w:b/>
                <w:color w:val="000000"/>
              </w:rPr>
            </w:pPr>
            <w:r w:rsidRPr="00516FA6">
              <w:rPr>
                <w:rFonts w:ascii="Arial" w:eastAsia="Arial" w:hAnsi="Arial" w:cs="Arial"/>
                <w:b/>
                <w:color w:val="000000"/>
              </w:rPr>
              <w:t>OBDRR Number</w:t>
            </w:r>
          </w:p>
        </w:tc>
        <w:tc>
          <w:tcPr>
            <w:tcW w:w="1260" w:type="dxa"/>
            <w:tcBorders>
              <w:bottom w:val="single" w:sz="4" w:space="0" w:color="000000"/>
            </w:tcBorders>
            <w:tcMar>
              <w:top w:w="0" w:type="dxa"/>
              <w:bottom w:w="0" w:type="dxa"/>
            </w:tcMar>
            <w:vAlign w:val="center"/>
          </w:tcPr>
          <w:p w14:paraId="46A72BAD" w14:textId="77777777" w:rsidR="00E30BB3" w:rsidRPr="00516FA6" w:rsidRDefault="00145FB7">
            <w:pPr>
              <w:pBdr>
                <w:top w:val="nil"/>
                <w:left w:val="nil"/>
                <w:bottom w:val="nil"/>
                <w:right w:val="nil"/>
                <w:between w:val="nil"/>
              </w:pBdr>
              <w:tabs>
                <w:tab w:val="center" w:pos="4320"/>
                <w:tab w:val="right" w:pos="8640"/>
              </w:tabs>
              <w:rPr>
                <w:rFonts w:ascii="Arial" w:eastAsia="Arial" w:hAnsi="Arial" w:cs="Arial"/>
                <w:b/>
                <w:color w:val="000000"/>
              </w:rPr>
            </w:pPr>
            <w:hyperlink r:id="rId8">
              <w:r w:rsidR="002E5EDA" w:rsidRPr="00516FA6">
                <w:rPr>
                  <w:rFonts w:ascii="Arial" w:eastAsia="Arial" w:hAnsi="Arial" w:cs="Arial"/>
                  <w:b/>
                  <w:color w:val="0000FF"/>
                  <w:u w:val="single"/>
                </w:rPr>
                <w:t>041</w:t>
              </w:r>
            </w:hyperlink>
          </w:p>
        </w:tc>
        <w:tc>
          <w:tcPr>
            <w:tcW w:w="1170" w:type="dxa"/>
            <w:tcBorders>
              <w:bottom w:val="single" w:sz="4" w:space="0" w:color="000000"/>
            </w:tcBorders>
            <w:shd w:val="clear" w:color="auto" w:fill="FFFFFF"/>
            <w:tcMar>
              <w:top w:w="0" w:type="dxa"/>
              <w:bottom w:w="0" w:type="dxa"/>
            </w:tcMar>
            <w:vAlign w:val="center"/>
          </w:tcPr>
          <w:p w14:paraId="16435C2C"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OBDRR Title</w:t>
            </w:r>
          </w:p>
        </w:tc>
        <w:tc>
          <w:tcPr>
            <w:tcW w:w="6390" w:type="dxa"/>
            <w:tcBorders>
              <w:bottom w:val="single" w:sz="4" w:space="0" w:color="000000"/>
            </w:tcBorders>
            <w:tcMar>
              <w:top w:w="0" w:type="dxa"/>
              <w:bottom w:w="0" w:type="dxa"/>
            </w:tcMar>
            <w:vAlign w:val="center"/>
          </w:tcPr>
          <w:p w14:paraId="3133D309"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Updates to Requirements for Aggregate Load Participation in the ERCOT Markets</w:t>
            </w:r>
          </w:p>
        </w:tc>
      </w:tr>
      <w:tr w:rsidR="00E30BB3" w:rsidRPr="00516FA6" w14:paraId="5B5327D3" w14:textId="77777777">
        <w:trPr>
          <w:trHeight w:val="135"/>
        </w:trPr>
        <w:tc>
          <w:tcPr>
            <w:tcW w:w="2880" w:type="dxa"/>
            <w:gridSpan w:val="2"/>
            <w:tcBorders>
              <w:top w:val="nil"/>
              <w:left w:val="nil"/>
              <w:bottom w:val="single" w:sz="4" w:space="0" w:color="000000"/>
              <w:right w:val="nil"/>
            </w:tcBorders>
            <w:tcMar>
              <w:top w:w="0" w:type="dxa"/>
              <w:bottom w:w="0" w:type="dxa"/>
            </w:tcMar>
            <w:vAlign w:val="center"/>
          </w:tcPr>
          <w:p w14:paraId="5A23EE49" w14:textId="77777777" w:rsidR="00E30BB3" w:rsidRPr="00516FA6" w:rsidRDefault="00E30BB3">
            <w:pPr>
              <w:pBdr>
                <w:top w:val="nil"/>
                <w:left w:val="nil"/>
                <w:bottom w:val="nil"/>
                <w:right w:val="nil"/>
                <w:between w:val="nil"/>
              </w:pBdr>
              <w:rPr>
                <w:rFonts w:ascii="Arial" w:eastAsia="Arial" w:hAnsi="Arial" w:cs="Arial"/>
                <w:color w:val="000000"/>
              </w:rPr>
            </w:pPr>
          </w:p>
        </w:tc>
        <w:tc>
          <w:tcPr>
            <w:tcW w:w="7560" w:type="dxa"/>
            <w:gridSpan w:val="2"/>
            <w:tcBorders>
              <w:top w:val="single" w:sz="4" w:space="0" w:color="000000"/>
              <w:left w:val="nil"/>
              <w:bottom w:val="nil"/>
              <w:right w:val="nil"/>
            </w:tcBorders>
            <w:tcMar>
              <w:top w:w="0" w:type="dxa"/>
              <w:bottom w:w="0" w:type="dxa"/>
            </w:tcMar>
            <w:vAlign w:val="center"/>
          </w:tcPr>
          <w:p w14:paraId="2F794B86" w14:textId="77777777" w:rsidR="00E30BB3" w:rsidRPr="00516FA6" w:rsidRDefault="00E30BB3">
            <w:pPr>
              <w:pBdr>
                <w:top w:val="nil"/>
                <w:left w:val="nil"/>
                <w:bottom w:val="nil"/>
                <w:right w:val="nil"/>
                <w:between w:val="nil"/>
              </w:pBdr>
              <w:rPr>
                <w:rFonts w:ascii="Arial" w:eastAsia="Arial" w:hAnsi="Arial" w:cs="Arial"/>
                <w:color w:val="000000"/>
              </w:rPr>
            </w:pPr>
          </w:p>
        </w:tc>
      </w:tr>
      <w:tr w:rsidR="00E30BB3" w:rsidRPr="00516FA6" w14:paraId="605437C9" w14:textId="77777777">
        <w:trPr>
          <w:trHeight w:val="440"/>
        </w:trPr>
        <w:tc>
          <w:tcPr>
            <w:tcW w:w="288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02BA2D2"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Date</w:t>
            </w:r>
          </w:p>
        </w:tc>
        <w:tc>
          <w:tcPr>
            <w:tcW w:w="7560"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5120B9C" w14:textId="30EADB7C" w:rsidR="00E30BB3" w:rsidRPr="00516FA6" w:rsidRDefault="00145FB7">
            <w:pPr>
              <w:pBdr>
                <w:top w:val="nil"/>
                <w:left w:val="nil"/>
                <w:bottom w:val="nil"/>
                <w:right w:val="nil"/>
                <w:between w:val="nil"/>
              </w:pBdr>
              <w:rPr>
                <w:rFonts w:ascii="Arial" w:eastAsia="Arial" w:hAnsi="Arial" w:cs="Arial"/>
                <w:color w:val="000000"/>
              </w:rPr>
            </w:pPr>
            <w:r>
              <w:rPr>
                <w:rFonts w:ascii="Arial" w:eastAsia="Arial" w:hAnsi="Arial" w:cs="Arial"/>
                <w:color w:val="000000"/>
              </w:rPr>
              <w:t>June 15, 2022</w:t>
            </w:r>
          </w:p>
        </w:tc>
      </w:tr>
      <w:tr w:rsidR="00E30BB3" w:rsidRPr="00516FA6" w14:paraId="43DE7E7F" w14:textId="77777777">
        <w:trPr>
          <w:trHeight w:val="195"/>
        </w:trPr>
        <w:tc>
          <w:tcPr>
            <w:tcW w:w="2880" w:type="dxa"/>
            <w:gridSpan w:val="2"/>
            <w:tcBorders>
              <w:top w:val="single" w:sz="4" w:space="0" w:color="000000"/>
              <w:left w:val="nil"/>
              <w:bottom w:val="nil"/>
              <w:right w:val="nil"/>
            </w:tcBorders>
            <w:shd w:val="clear" w:color="auto" w:fill="FFFFFF"/>
            <w:tcMar>
              <w:top w:w="0" w:type="dxa"/>
              <w:bottom w:w="0" w:type="dxa"/>
            </w:tcMar>
            <w:vAlign w:val="center"/>
          </w:tcPr>
          <w:p w14:paraId="19ED0B3D" w14:textId="77777777" w:rsidR="00E30BB3" w:rsidRPr="00516FA6" w:rsidRDefault="00E30BB3">
            <w:pPr>
              <w:pBdr>
                <w:top w:val="nil"/>
                <w:left w:val="nil"/>
                <w:bottom w:val="nil"/>
                <w:right w:val="nil"/>
                <w:between w:val="nil"/>
              </w:pBdr>
              <w:rPr>
                <w:rFonts w:ascii="Arial" w:eastAsia="Arial" w:hAnsi="Arial" w:cs="Arial"/>
                <w:color w:val="000000"/>
              </w:rPr>
            </w:pPr>
          </w:p>
        </w:tc>
        <w:tc>
          <w:tcPr>
            <w:tcW w:w="7560" w:type="dxa"/>
            <w:gridSpan w:val="2"/>
            <w:tcBorders>
              <w:top w:val="nil"/>
              <w:left w:val="nil"/>
              <w:bottom w:val="nil"/>
              <w:right w:val="nil"/>
            </w:tcBorders>
            <w:tcMar>
              <w:top w:w="0" w:type="dxa"/>
              <w:bottom w:w="0" w:type="dxa"/>
            </w:tcMar>
            <w:vAlign w:val="center"/>
          </w:tcPr>
          <w:p w14:paraId="35D4E83F" w14:textId="77777777" w:rsidR="00E30BB3" w:rsidRPr="00516FA6" w:rsidRDefault="00E30BB3">
            <w:pPr>
              <w:pBdr>
                <w:top w:val="nil"/>
                <w:left w:val="nil"/>
                <w:bottom w:val="nil"/>
                <w:right w:val="nil"/>
                <w:between w:val="nil"/>
              </w:pBdr>
              <w:rPr>
                <w:rFonts w:ascii="Arial" w:eastAsia="Arial" w:hAnsi="Arial" w:cs="Arial"/>
                <w:color w:val="000000"/>
              </w:rPr>
            </w:pPr>
          </w:p>
        </w:tc>
      </w:tr>
      <w:tr w:rsidR="00E30BB3" w:rsidRPr="00516FA6" w14:paraId="3E6B646F" w14:textId="77777777">
        <w:trPr>
          <w:trHeight w:val="440"/>
        </w:trPr>
        <w:tc>
          <w:tcPr>
            <w:tcW w:w="10440" w:type="dxa"/>
            <w:gridSpan w:val="4"/>
            <w:tcBorders>
              <w:top w:val="single" w:sz="4" w:space="0" w:color="000000"/>
            </w:tcBorders>
            <w:shd w:val="clear" w:color="auto" w:fill="FFFFFF"/>
            <w:tcMar>
              <w:top w:w="0" w:type="dxa"/>
              <w:bottom w:w="0" w:type="dxa"/>
            </w:tcMar>
            <w:vAlign w:val="center"/>
          </w:tcPr>
          <w:p w14:paraId="49A79E29" w14:textId="77777777" w:rsidR="00E30BB3" w:rsidRPr="00516FA6" w:rsidRDefault="002E5EDA">
            <w:pPr>
              <w:pBdr>
                <w:top w:val="nil"/>
                <w:left w:val="nil"/>
                <w:bottom w:val="nil"/>
                <w:right w:val="nil"/>
                <w:between w:val="nil"/>
              </w:pBdr>
              <w:tabs>
                <w:tab w:val="center" w:pos="4320"/>
                <w:tab w:val="right" w:pos="8640"/>
              </w:tabs>
              <w:jc w:val="center"/>
              <w:rPr>
                <w:rFonts w:ascii="Arial" w:eastAsia="Arial" w:hAnsi="Arial" w:cs="Arial"/>
                <w:b/>
                <w:color w:val="000000"/>
              </w:rPr>
            </w:pPr>
            <w:r w:rsidRPr="00516FA6">
              <w:rPr>
                <w:rFonts w:ascii="Arial" w:eastAsia="Arial" w:hAnsi="Arial" w:cs="Arial"/>
                <w:b/>
                <w:color w:val="000000"/>
              </w:rPr>
              <w:t>Submitter’s Information</w:t>
            </w:r>
          </w:p>
        </w:tc>
      </w:tr>
      <w:tr w:rsidR="00E30BB3" w:rsidRPr="00516FA6" w14:paraId="3EBBD276" w14:textId="77777777">
        <w:trPr>
          <w:trHeight w:val="350"/>
        </w:trPr>
        <w:tc>
          <w:tcPr>
            <w:tcW w:w="2880" w:type="dxa"/>
            <w:gridSpan w:val="2"/>
            <w:shd w:val="clear" w:color="auto" w:fill="FFFFFF"/>
            <w:tcMar>
              <w:top w:w="0" w:type="dxa"/>
              <w:bottom w:w="0" w:type="dxa"/>
            </w:tcMar>
            <w:vAlign w:val="center"/>
          </w:tcPr>
          <w:p w14:paraId="38F8D27D"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Name</w:t>
            </w:r>
          </w:p>
        </w:tc>
        <w:tc>
          <w:tcPr>
            <w:tcW w:w="7560" w:type="dxa"/>
            <w:gridSpan w:val="2"/>
            <w:tcMar>
              <w:top w:w="0" w:type="dxa"/>
              <w:bottom w:w="0" w:type="dxa"/>
            </w:tcMar>
            <w:vAlign w:val="center"/>
          </w:tcPr>
          <w:p w14:paraId="3CAFC8EC" w14:textId="77777777" w:rsidR="00E30BB3" w:rsidRPr="00516FA6" w:rsidRDefault="002E5EDA">
            <w:pPr>
              <w:pBdr>
                <w:top w:val="nil"/>
                <w:left w:val="nil"/>
                <w:bottom w:val="nil"/>
                <w:right w:val="nil"/>
                <w:between w:val="nil"/>
              </w:pBdr>
              <w:rPr>
                <w:rFonts w:ascii="Arial" w:eastAsia="Arial" w:hAnsi="Arial" w:cs="Arial"/>
                <w:color w:val="000000"/>
              </w:rPr>
            </w:pPr>
            <w:r w:rsidRPr="00516FA6">
              <w:rPr>
                <w:rFonts w:ascii="Arial" w:eastAsia="Arial" w:hAnsi="Arial" w:cs="Arial"/>
              </w:rPr>
              <w:t>James McGinniss</w:t>
            </w:r>
          </w:p>
        </w:tc>
      </w:tr>
      <w:tr w:rsidR="00E30BB3" w:rsidRPr="00516FA6" w14:paraId="3F819DFD" w14:textId="77777777">
        <w:trPr>
          <w:trHeight w:val="350"/>
        </w:trPr>
        <w:tc>
          <w:tcPr>
            <w:tcW w:w="2880" w:type="dxa"/>
            <w:gridSpan w:val="2"/>
            <w:shd w:val="clear" w:color="auto" w:fill="FFFFFF"/>
            <w:tcMar>
              <w:top w:w="0" w:type="dxa"/>
              <w:bottom w:w="0" w:type="dxa"/>
            </w:tcMar>
            <w:vAlign w:val="center"/>
          </w:tcPr>
          <w:p w14:paraId="4685D2B5"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E-mail Address</w:t>
            </w:r>
          </w:p>
        </w:tc>
        <w:tc>
          <w:tcPr>
            <w:tcW w:w="7560" w:type="dxa"/>
            <w:gridSpan w:val="2"/>
            <w:tcMar>
              <w:top w:w="0" w:type="dxa"/>
              <w:bottom w:w="0" w:type="dxa"/>
            </w:tcMar>
            <w:vAlign w:val="center"/>
          </w:tcPr>
          <w:p w14:paraId="16F13B6E" w14:textId="230DBEAA" w:rsidR="00E30BB3" w:rsidRPr="00516FA6" w:rsidRDefault="00516FA6">
            <w:pPr>
              <w:pBdr>
                <w:top w:val="nil"/>
                <w:left w:val="nil"/>
                <w:bottom w:val="nil"/>
                <w:right w:val="nil"/>
                <w:between w:val="nil"/>
              </w:pBdr>
              <w:rPr>
                <w:rFonts w:ascii="Arial" w:eastAsia="Arial" w:hAnsi="Arial" w:cs="Arial"/>
                <w:color w:val="000000"/>
              </w:rPr>
            </w:pPr>
            <w:hyperlink r:id="rId9" w:history="1">
              <w:r w:rsidRPr="00EF5A0C">
                <w:rPr>
                  <w:rStyle w:val="Hyperlink"/>
                  <w:rFonts w:ascii="Arial" w:eastAsia="Arial" w:hAnsi="Arial" w:cs="Arial"/>
                </w:rPr>
                <w:t>james@davidenergy.com</w:t>
              </w:r>
            </w:hyperlink>
          </w:p>
        </w:tc>
      </w:tr>
      <w:tr w:rsidR="00E30BB3" w:rsidRPr="00516FA6" w14:paraId="1A02F293" w14:textId="77777777">
        <w:trPr>
          <w:trHeight w:val="350"/>
        </w:trPr>
        <w:tc>
          <w:tcPr>
            <w:tcW w:w="2880" w:type="dxa"/>
            <w:gridSpan w:val="2"/>
            <w:shd w:val="clear" w:color="auto" w:fill="FFFFFF"/>
            <w:tcMar>
              <w:top w:w="0" w:type="dxa"/>
              <w:bottom w:w="0" w:type="dxa"/>
            </w:tcMar>
            <w:vAlign w:val="center"/>
          </w:tcPr>
          <w:p w14:paraId="6A96C122"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Company</w:t>
            </w:r>
          </w:p>
        </w:tc>
        <w:tc>
          <w:tcPr>
            <w:tcW w:w="7560" w:type="dxa"/>
            <w:gridSpan w:val="2"/>
            <w:tcMar>
              <w:top w:w="0" w:type="dxa"/>
              <w:bottom w:w="0" w:type="dxa"/>
            </w:tcMar>
            <w:vAlign w:val="center"/>
          </w:tcPr>
          <w:p w14:paraId="347C2778" w14:textId="2115DC67" w:rsidR="00E30BB3" w:rsidRPr="00516FA6" w:rsidRDefault="002E5EDA">
            <w:pPr>
              <w:pBdr>
                <w:top w:val="nil"/>
                <w:left w:val="nil"/>
                <w:bottom w:val="nil"/>
                <w:right w:val="nil"/>
                <w:between w:val="nil"/>
              </w:pBdr>
              <w:rPr>
                <w:rFonts w:ascii="Arial" w:eastAsia="Arial" w:hAnsi="Arial" w:cs="Arial"/>
                <w:color w:val="000000"/>
              </w:rPr>
            </w:pPr>
            <w:r w:rsidRPr="00516FA6">
              <w:rPr>
                <w:rFonts w:ascii="Arial" w:eastAsia="Arial" w:hAnsi="Arial" w:cs="Arial"/>
                <w:color w:val="000000"/>
              </w:rPr>
              <w:t>David Energy</w:t>
            </w:r>
            <w:r w:rsidR="007E3804" w:rsidRPr="00516FA6">
              <w:rPr>
                <w:rFonts w:ascii="Arial" w:eastAsia="Arial" w:hAnsi="Arial" w:cs="Arial"/>
                <w:color w:val="000000"/>
              </w:rPr>
              <w:t xml:space="preserve"> Supply (Texas) LLC</w:t>
            </w:r>
          </w:p>
        </w:tc>
      </w:tr>
      <w:tr w:rsidR="00E30BB3" w:rsidRPr="00516FA6" w14:paraId="5DEA0041" w14:textId="77777777">
        <w:trPr>
          <w:trHeight w:val="350"/>
        </w:trPr>
        <w:tc>
          <w:tcPr>
            <w:tcW w:w="2880" w:type="dxa"/>
            <w:gridSpan w:val="2"/>
            <w:tcBorders>
              <w:bottom w:val="single" w:sz="4" w:space="0" w:color="000000"/>
            </w:tcBorders>
            <w:shd w:val="clear" w:color="auto" w:fill="FFFFFF"/>
            <w:tcMar>
              <w:top w:w="0" w:type="dxa"/>
              <w:bottom w:w="0" w:type="dxa"/>
            </w:tcMar>
            <w:vAlign w:val="center"/>
          </w:tcPr>
          <w:p w14:paraId="7E20ABEB"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Phone Number</w:t>
            </w:r>
          </w:p>
        </w:tc>
        <w:tc>
          <w:tcPr>
            <w:tcW w:w="7560" w:type="dxa"/>
            <w:gridSpan w:val="2"/>
            <w:tcBorders>
              <w:bottom w:val="single" w:sz="4" w:space="0" w:color="000000"/>
            </w:tcBorders>
            <w:tcMar>
              <w:top w:w="0" w:type="dxa"/>
              <w:bottom w:w="0" w:type="dxa"/>
            </w:tcMar>
            <w:vAlign w:val="center"/>
          </w:tcPr>
          <w:p w14:paraId="46705141" w14:textId="733B8D9D" w:rsidR="00E30BB3" w:rsidRPr="00516FA6" w:rsidRDefault="007E3804">
            <w:pPr>
              <w:pBdr>
                <w:top w:val="nil"/>
                <w:left w:val="nil"/>
                <w:bottom w:val="nil"/>
                <w:right w:val="nil"/>
                <w:between w:val="nil"/>
              </w:pBdr>
              <w:rPr>
                <w:rFonts w:ascii="Arial" w:eastAsia="Arial" w:hAnsi="Arial" w:cs="Arial"/>
                <w:color w:val="000000"/>
              </w:rPr>
            </w:pPr>
            <w:r w:rsidRPr="00516FA6">
              <w:rPr>
                <w:rFonts w:ascii="Arial" w:eastAsia="Arial" w:hAnsi="Arial" w:cs="Arial"/>
                <w:color w:val="000000"/>
              </w:rPr>
              <w:t>(917) 924-4095</w:t>
            </w:r>
          </w:p>
        </w:tc>
      </w:tr>
      <w:tr w:rsidR="00E30BB3" w:rsidRPr="00516FA6" w14:paraId="62246696" w14:textId="77777777">
        <w:trPr>
          <w:trHeight w:val="350"/>
        </w:trPr>
        <w:tc>
          <w:tcPr>
            <w:tcW w:w="2880" w:type="dxa"/>
            <w:gridSpan w:val="2"/>
            <w:shd w:val="clear" w:color="auto" w:fill="FFFFFF"/>
            <w:tcMar>
              <w:top w:w="0" w:type="dxa"/>
              <w:bottom w:w="0" w:type="dxa"/>
            </w:tcMar>
            <w:vAlign w:val="center"/>
          </w:tcPr>
          <w:p w14:paraId="7518AF0D"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Cell Number</w:t>
            </w:r>
          </w:p>
        </w:tc>
        <w:tc>
          <w:tcPr>
            <w:tcW w:w="7560" w:type="dxa"/>
            <w:gridSpan w:val="2"/>
            <w:tcMar>
              <w:top w:w="0" w:type="dxa"/>
              <w:bottom w:w="0" w:type="dxa"/>
            </w:tcMar>
            <w:vAlign w:val="center"/>
          </w:tcPr>
          <w:p w14:paraId="4F008613" w14:textId="77777777" w:rsidR="00E30BB3" w:rsidRPr="00516FA6" w:rsidRDefault="00E30BB3">
            <w:pPr>
              <w:pBdr>
                <w:top w:val="nil"/>
                <w:left w:val="nil"/>
                <w:bottom w:val="nil"/>
                <w:right w:val="nil"/>
                <w:between w:val="nil"/>
              </w:pBdr>
              <w:rPr>
                <w:rFonts w:ascii="Arial" w:eastAsia="Arial" w:hAnsi="Arial" w:cs="Arial"/>
                <w:color w:val="000000"/>
              </w:rPr>
            </w:pPr>
          </w:p>
        </w:tc>
      </w:tr>
      <w:tr w:rsidR="00E30BB3" w:rsidRPr="00516FA6" w14:paraId="5251FF20" w14:textId="77777777">
        <w:trPr>
          <w:trHeight w:val="350"/>
        </w:trPr>
        <w:tc>
          <w:tcPr>
            <w:tcW w:w="2880" w:type="dxa"/>
            <w:gridSpan w:val="2"/>
            <w:tcBorders>
              <w:bottom w:val="single" w:sz="4" w:space="0" w:color="000000"/>
            </w:tcBorders>
            <w:shd w:val="clear" w:color="auto" w:fill="FFFFFF"/>
            <w:tcMar>
              <w:top w:w="0" w:type="dxa"/>
              <w:bottom w:w="0" w:type="dxa"/>
            </w:tcMar>
            <w:vAlign w:val="center"/>
          </w:tcPr>
          <w:p w14:paraId="2980609C" w14:textId="77777777" w:rsidR="00E30BB3" w:rsidRPr="00516FA6" w:rsidRDefault="002E5EDA">
            <w:pPr>
              <w:pBdr>
                <w:top w:val="nil"/>
                <w:left w:val="nil"/>
                <w:bottom w:val="nil"/>
                <w:right w:val="nil"/>
                <w:between w:val="nil"/>
              </w:pBdr>
              <w:tabs>
                <w:tab w:val="center" w:pos="4320"/>
                <w:tab w:val="right" w:pos="8640"/>
              </w:tabs>
              <w:rPr>
                <w:rFonts w:ascii="Arial" w:eastAsia="Arial" w:hAnsi="Arial" w:cs="Arial"/>
                <w:b/>
                <w:color w:val="000000"/>
              </w:rPr>
            </w:pPr>
            <w:r w:rsidRPr="00516FA6">
              <w:rPr>
                <w:rFonts w:ascii="Arial" w:eastAsia="Arial" w:hAnsi="Arial" w:cs="Arial"/>
                <w:b/>
                <w:color w:val="000000"/>
              </w:rPr>
              <w:t>Market Segment</w:t>
            </w:r>
          </w:p>
        </w:tc>
        <w:tc>
          <w:tcPr>
            <w:tcW w:w="7560" w:type="dxa"/>
            <w:gridSpan w:val="2"/>
            <w:tcBorders>
              <w:bottom w:val="single" w:sz="4" w:space="0" w:color="000000"/>
            </w:tcBorders>
            <w:tcMar>
              <w:top w:w="0" w:type="dxa"/>
              <w:bottom w:w="0" w:type="dxa"/>
            </w:tcMar>
            <w:vAlign w:val="center"/>
          </w:tcPr>
          <w:p w14:paraId="3D070B87" w14:textId="5B21BBF6" w:rsidR="00E30BB3" w:rsidRPr="00516FA6" w:rsidRDefault="002E5EDA">
            <w:pPr>
              <w:pBdr>
                <w:top w:val="nil"/>
                <w:left w:val="nil"/>
                <w:bottom w:val="nil"/>
                <w:right w:val="nil"/>
                <w:between w:val="nil"/>
              </w:pBdr>
              <w:rPr>
                <w:rFonts w:ascii="Arial" w:eastAsia="Arial" w:hAnsi="Arial" w:cs="Arial"/>
                <w:color w:val="000000"/>
              </w:rPr>
            </w:pPr>
            <w:r w:rsidRPr="00516FA6">
              <w:rPr>
                <w:rFonts w:ascii="Arial" w:eastAsia="Arial" w:hAnsi="Arial" w:cs="Arial"/>
              </w:rPr>
              <w:t>No</w:t>
            </w:r>
            <w:r w:rsidR="00516FA6">
              <w:rPr>
                <w:rFonts w:ascii="Arial" w:eastAsia="Arial" w:hAnsi="Arial" w:cs="Arial"/>
              </w:rPr>
              <w:t>t applicable</w:t>
            </w:r>
          </w:p>
        </w:tc>
      </w:tr>
    </w:tbl>
    <w:p w14:paraId="2EB55A99" w14:textId="7EA6853D" w:rsidR="00E30BB3" w:rsidRDefault="00E30BB3">
      <w:pPr>
        <w:pBdr>
          <w:top w:val="nil"/>
          <w:left w:val="nil"/>
          <w:bottom w:val="nil"/>
          <w:right w:val="nil"/>
          <w:between w:val="nil"/>
        </w:pBdr>
        <w:rPr>
          <w:rFonts w:ascii="Arial" w:eastAsia="Arial" w:hAnsi="Arial" w:cs="Arial"/>
          <w:color w:val="000000"/>
        </w:rPr>
      </w:pPr>
    </w:p>
    <w:tbl>
      <w:tblPr>
        <w:tblStyle w:val="a2"/>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516FA6" w:rsidRPr="00516FA6" w14:paraId="51AA9A55" w14:textId="77777777" w:rsidTr="00957B87">
        <w:trPr>
          <w:trHeight w:val="350"/>
        </w:trPr>
        <w:tc>
          <w:tcPr>
            <w:tcW w:w="10440" w:type="dxa"/>
            <w:tcBorders>
              <w:bottom w:val="single" w:sz="4" w:space="0" w:color="000000"/>
            </w:tcBorders>
            <w:shd w:val="clear" w:color="auto" w:fill="FFFFFF"/>
            <w:tcMar>
              <w:top w:w="0" w:type="dxa"/>
              <w:bottom w:w="0" w:type="dxa"/>
            </w:tcMar>
            <w:vAlign w:val="center"/>
          </w:tcPr>
          <w:p w14:paraId="2847483A" w14:textId="3D77E3E1" w:rsidR="00516FA6" w:rsidRPr="00516FA6" w:rsidRDefault="00516FA6" w:rsidP="00957B87">
            <w:pPr>
              <w:pBdr>
                <w:top w:val="nil"/>
                <w:left w:val="nil"/>
                <w:bottom w:val="nil"/>
                <w:right w:val="nil"/>
                <w:between w:val="nil"/>
              </w:pBdr>
              <w:tabs>
                <w:tab w:val="center" w:pos="4320"/>
                <w:tab w:val="right" w:pos="8640"/>
              </w:tabs>
              <w:jc w:val="center"/>
              <w:rPr>
                <w:rFonts w:ascii="Arial" w:eastAsia="Arial" w:hAnsi="Arial" w:cs="Arial"/>
                <w:b/>
                <w:color w:val="000000"/>
              </w:rPr>
            </w:pPr>
            <w:r>
              <w:rPr>
                <w:rFonts w:ascii="Arial" w:eastAsia="Arial" w:hAnsi="Arial" w:cs="Arial"/>
                <w:b/>
                <w:color w:val="000000"/>
              </w:rPr>
              <w:t>Comments</w:t>
            </w:r>
          </w:p>
        </w:tc>
      </w:tr>
    </w:tbl>
    <w:p w14:paraId="68EAD017" w14:textId="4AC92204" w:rsidR="00E30BB3" w:rsidRPr="00516FA6" w:rsidRDefault="00145FB7" w:rsidP="00145FB7">
      <w:pPr>
        <w:pBdr>
          <w:top w:val="nil"/>
          <w:left w:val="nil"/>
          <w:bottom w:val="nil"/>
          <w:right w:val="nil"/>
          <w:between w:val="nil"/>
        </w:pBdr>
        <w:spacing w:before="120" w:after="120"/>
        <w:rPr>
          <w:rFonts w:ascii="Arial" w:eastAsia="Arial" w:hAnsi="Arial" w:cs="Arial"/>
        </w:rPr>
      </w:pPr>
      <w:hyperlink r:id="rId10">
        <w:r w:rsidR="002E5EDA" w:rsidRPr="00516FA6">
          <w:rPr>
            <w:rFonts w:ascii="Arial" w:eastAsia="Arial" w:hAnsi="Arial" w:cs="Arial"/>
            <w:color w:val="1155CC"/>
            <w:u w:val="single"/>
          </w:rPr>
          <w:t>David Energy</w:t>
        </w:r>
      </w:hyperlink>
      <w:r w:rsidR="002E5EDA" w:rsidRPr="00516FA6">
        <w:rPr>
          <w:rFonts w:ascii="Arial" w:eastAsia="Arial" w:hAnsi="Arial" w:cs="Arial"/>
        </w:rPr>
        <w:t xml:space="preserve"> unequivocally supports </w:t>
      </w:r>
      <w:r>
        <w:rPr>
          <w:rFonts w:ascii="Arial" w:eastAsia="Arial" w:hAnsi="Arial" w:cs="Arial"/>
        </w:rPr>
        <w:t>Other Binding Document Revision Request (</w:t>
      </w:r>
      <w:r w:rsidR="002E5EDA" w:rsidRPr="00516FA6">
        <w:rPr>
          <w:rFonts w:ascii="Arial" w:eastAsia="Arial" w:hAnsi="Arial" w:cs="Arial"/>
        </w:rPr>
        <w:t>OBDRR</w:t>
      </w:r>
      <w:r>
        <w:rPr>
          <w:rFonts w:ascii="Arial" w:eastAsia="Arial" w:hAnsi="Arial" w:cs="Arial"/>
        </w:rPr>
        <w:t xml:space="preserve">) </w:t>
      </w:r>
      <w:r w:rsidR="002E5EDA" w:rsidRPr="00516FA6">
        <w:rPr>
          <w:rFonts w:ascii="Arial" w:eastAsia="Arial" w:hAnsi="Arial" w:cs="Arial"/>
        </w:rPr>
        <w:t xml:space="preserve">041 because it will enable energy providers to unlock a new wave of price-responsive, dispatchable MWs from distributed energy resources - and allow resources to be dispatched at the time where they have the highest value to the grid (for example, over the two highest value hours of the day when ERCOT prices indicate over five-minute intervals that the capacity is urgently needed). </w:t>
      </w:r>
    </w:p>
    <w:p w14:paraId="4B6B2B57" w14:textId="77777777" w:rsidR="00E30BB3" w:rsidRPr="00516FA6" w:rsidRDefault="002E5EDA" w:rsidP="00145FB7">
      <w:pPr>
        <w:pBdr>
          <w:top w:val="nil"/>
          <w:left w:val="nil"/>
          <w:bottom w:val="nil"/>
          <w:right w:val="nil"/>
          <w:between w:val="nil"/>
        </w:pBdr>
        <w:spacing w:before="120" w:after="120"/>
        <w:rPr>
          <w:rFonts w:ascii="Arial" w:eastAsia="Arial" w:hAnsi="Arial" w:cs="Arial"/>
        </w:rPr>
      </w:pPr>
      <w:r w:rsidRPr="00516FA6">
        <w:rPr>
          <w:rFonts w:ascii="Arial" w:eastAsia="Arial" w:hAnsi="Arial" w:cs="Arial"/>
        </w:rPr>
        <w:t xml:space="preserve">At the ERCOT VPP Workshop hosted by Tesla on May 31st 2022, David Energy shared its perspective on why this is so crucial for a resilient energy grid in Texas (presentation linked </w:t>
      </w:r>
      <w:hyperlink r:id="rId11">
        <w:r w:rsidRPr="00516FA6">
          <w:rPr>
            <w:rFonts w:ascii="Arial" w:eastAsia="Arial" w:hAnsi="Arial" w:cs="Arial"/>
            <w:color w:val="1155CC"/>
            <w:u w:val="single"/>
          </w:rPr>
          <w:t>here</w:t>
        </w:r>
      </w:hyperlink>
      <w:r w:rsidRPr="00516FA6">
        <w:rPr>
          <w:rFonts w:ascii="Arial" w:eastAsia="Arial" w:hAnsi="Arial" w:cs="Arial"/>
        </w:rPr>
        <w:t>). Key takeaways from David Energy’s presentation below:</w:t>
      </w:r>
    </w:p>
    <w:p w14:paraId="3469149D" w14:textId="77777777" w:rsidR="00E30BB3" w:rsidRPr="00516FA6" w:rsidRDefault="002E5EDA" w:rsidP="00145FB7">
      <w:pPr>
        <w:pBdr>
          <w:top w:val="nil"/>
          <w:left w:val="nil"/>
          <w:bottom w:val="nil"/>
          <w:right w:val="nil"/>
          <w:between w:val="nil"/>
        </w:pBdr>
        <w:spacing w:before="120" w:after="120"/>
        <w:rPr>
          <w:rFonts w:ascii="Arial" w:eastAsia="Arial" w:hAnsi="Arial" w:cs="Arial"/>
        </w:rPr>
      </w:pPr>
      <w:r w:rsidRPr="00516FA6">
        <w:rPr>
          <w:rFonts w:ascii="Arial" w:eastAsia="Arial" w:hAnsi="Arial" w:cs="Arial"/>
          <w:u w:val="single"/>
        </w:rPr>
        <w:t>Context:</w:t>
      </w:r>
      <w:r w:rsidRPr="00516FA6">
        <w:rPr>
          <w:rFonts w:ascii="Arial" w:eastAsia="Arial" w:hAnsi="Arial" w:cs="Arial"/>
        </w:rPr>
        <w:t xml:space="preserve"> The grid is rapidly decentralizing as customer demand for distributed energy resources (DERs) rises. Residential consumers are buying EVs, rooftop solar, smart thermostats, and batteries to reduce their energy costs and hedge against grid failures; commercial consumers are buying generators and batteries to protect their businesses from the negative impacts of outages.</w:t>
      </w:r>
    </w:p>
    <w:p w14:paraId="3E48ACE4" w14:textId="77777777" w:rsidR="00E30BB3" w:rsidRPr="00516FA6" w:rsidRDefault="002E5EDA" w:rsidP="00145FB7">
      <w:pPr>
        <w:pBdr>
          <w:top w:val="nil"/>
          <w:left w:val="nil"/>
          <w:bottom w:val="nil"/>
          <w:right w:val="nil"/>
          <w:between w:val="nil"/>
        </w:pBdr>
        <w:spacing w:before="120" w:after="120"/>
        <w:jc w:val="center"/>
        <w:rPr>
          <w:rFonts w:ascii="Arial" w:eastAsia="Arial" w:hAnsi="Arial" w:cs="Arial"/>
        </w:rPr>
      </w:pPr>
      <w:r w:rsidRPr="00516FA6">
        <w:rPr>
          <w:rFonts w:ascii="Arial" w:eastAsia="Arial" w:hAnsi="Arial" w:cs="Arial"/>
          <w:noProof/>
        </w:rPr>
        <w:lastRenderedPageBreak/>
        <w:drawing>
          <wp:inline distT="114300" distB="114300" distL="114300" distR="114300" wp14:anchorId="19D83BE0" wp14:editId="177DAD56">
            <wp:extent cx="4748213" cy="2679862"/>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4748213" cy="2679862"/>
                    </a:xfrm>
                    <a:prstGeom prst="rect">
                      <a:avLst/>
                    </a:prstGeom>
                    <a:ln/>
                  </pic:spPr>
                </pic:pic>
              </a:graphicData>
            </a:graphic>
          </wp:inline>
        </w:drawing>
      </w:r>
    </w:p>
    <w:p w14:paraId="051D8937" w14:textId="77777777" w:rsidR="00E30BB3" w:rsidRPr="00516FA6" w:rsidRDefault="002E5EDA" w:rsidP="00145FB7">
      <w:pPr>
        <w:pBdr>
          <w:top w:val="nil"/>
          <w:left w:val="nil"/>
          <w:bottom w:val="nil"/>
          <w:right w:val="nil"/>
          <w:between w:val="nil"/>
        </w:pBdr>
        <w:spacing w:before="120" w:after="120"/>
        <w:rPr>
          <w:rFonts w:ascii="Arial" w:eastAsia="Arial" w:hAnsi="Arial" w:cs="Arial"/>
          <w:color w:val="FF0000"/>
        </w:rPr>
      </w:pPr>
      <w:r w:rsidRPr="00516FA6">
        <w:rPr>
          <w:rFonts w:ascii="Arial" w:eastAsia="Arial" w:hAnsi="Arial" w:cs="Arial"/>
          <w:u w:val="single"/>
        </w:rPr>
        <w:t>Our Model:</w:t>
      </w:r>
      <w:r w:rsidRPr="00516FA6">
        <w:rPr>
          <w:rFonts w:ascii="Arial" w:eastAsia="Arial" w:hAnsi="Arial" w:cs="Arial"/>
        </w:rPr>
        <w:t xml:space="preserve"> David Energy is an innovative Retail Energy Provider bringing together load-serving capabilities with endpoint device management. We are vertically integrated from the purchasing and serving power up to distributed generation on the customer (or load) side, in contrast to legacy gentailers which are vertically integrated from purchasing and serving power to wholesale generation. </w:t>
      </w:r>
    </w:p>
    <w:p w14:paraId="5925A30C" w14:textId="77777777" w:rsidR="00E30BB3" w:rsidRPr="00516FA6" w:rsidRDefault="002E5EDA" w:rsidP="00145FB7">
      <w:pPr>
        <w:numPr>
          <w:ilvl w:val="0"/>
          <w:numId w:val="2"/>
        </w:numPr>
        <w:pBdr>
          <w:top w:val="nil"/>
          <w:left w:val="nil"/>
          <w:bottom w:val="nil"/>
          <w:right w:val="nil"/>
          <w:between w:val="nil"/>
        </w:pBdr>
        <w:spacing w:before="120" w:after="120"/>
        <w:rPr>
          <w:rFonts w:ascii="Arial" w:eastAsia="Arial" w:hAnsi="Arial" w:cs="Arial"/>
        </w:rPr>
      </w:pPr>
      <w:r w:rsidRPr="00516FA6">
        <w:rPr>
          <w:rFonts w:ascii="Arial" w:eastAsia="Arial" w:hAnsi="Arial" w:cs="Arial"/>
        </w:rPr>
        <w:t>We control devices to reduce demand when the grid is most stressed, avoiding outages and reducing costs. We do this via Demand Response, Demand Charge Management, and Arbitrage</w:t>
      </w:r>
    </w:p>
    <w:p w14:paraId="13ECF9AD" w14:textId="77777777" w:rsidR="00E30BB3" w:rsidRPr="00516FA6" w:rsidRDefault="002E5EDA" w:rsidP="00145FB7">
      <w:pPr>
        <w:numPr>
          <w:ilvl w:val="0"/>
          <w:numId w:val="2"/>
        </w:numPr>
        <w:pBdr>
          <w:top w:val="nil"/>
          <w:left w:val="nil"/>
          <w:bottom w:val="nil"/>
          <w:right w:val="nil"/>
          <w:between w:val="nil"/>
        </w:pBdr>
        <w:spacing w:before="120" w:after="120"/>
        <w:rPr>
          <w:rFonts w:ascii="Arial" w:eastAsia="Arial" w:hAnsi="Arial" w:cs="Arial"/>
        </w:rPr>
      </w:pPr>
      <w:r w:rsidRPr="00516FA6">
        <w:rPr>
          <w:rFonts w:ascii="Arial" w:eastAsia="Arial" w:hAnsi="Arial" w:cs="Arial"/>
        </w:rPr>
        <w:t>Overtime, we take performance data during these events and feed it into our pricing model to generate lower power prices for customers</w:t>
      </w:r>
    </w:p>
    <w:p w14:paraId="05330E0F" w14:textId="77777777" w:rsidR="00E30BB3" w:rsidRPr="00516FA6" w:rsidRDefault="002E5EDA" w:rsidP="00145FB7">
      <w:pPr>
        <w:numPr>
          <w:ilvl w:val="0"/>
          <w:numId w:val="2"/>
        </w:numPr>
        <w:pBdr>
          <w:top w:val="nil"/>
          <w:left w:val="nil"/>
          <w:bottom w:val="nil"/>
          <w:right w:val="nil"/>
          <w:between w:val="nil"/>
        </w:pBdr>
        <w:spacing w:before="120" w:after="120"/>
        <w:rPr>
          <w:rFonts w:ascii="Arial" w:eastAsia="Arial" w:hAnsi="Arial" w:cs="Arial"/>
        </w:rPr>
      </w:pPr>
      <w:r w:rsidRPr="00516FA6">
        <w:rPr>
          <w:rFonts w:ascii="Arial" w:eastAsia="Arial" w:hAnsi="Arial" w:cs="Arial"/>
        </w:rPr>
        <w:t>To effectively employ this strategy, we must be both an LSE and a QSE</w:t>
      </w:r>
    </w:p>
    <w:p w14:paraId="12AF0F5F" w14:textId="77777777" w:rsidR="00E30BB3" w:rsidRPr="00516FA6" w:rsidRDefault="002E5EDA" w:rsidP="00145FB7">
      <w:pPr>
        <w:pBdr>
          <w:top w:val="nil"/>
          <w:left w:val="nil"/>
          <w:bottom w:val="nil"/>
          <w:right w:val="nil"/>
          <w:between w:val="nil"/>
        </w:pBdr>
        <w:spacing w:before="120" w:after="120"/>
        <w:jc w:val="center"/>
        <w:rPr>
          <w:rFonts w:ascii="Arial" w:eastAsia="Arial" w:hAnsi="Arial" w:cs="Arial"/>
        </w:rPr>
      </w:pPr>
      <w:r w:rsidRPr="00516FA6">
        <w:rPr>
          <w:rFonts w:ascii="Arial" w:eastAsia="Arial" w:hAnsi="Arial" w:cs="Arial"/>
          <w:noProof/>
        </w:rPr>
        <w:drawing>
          <wp:inline distT="114300" distB="114300" distL="114300" distR="114300" wp14:anchorId="4B6F6F1E" wp14:editId="0D06B88E">
            <wp:extent cx="5281373" cy="294177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281373" cy="2941774"/>
                    </a:xfrm>
                    <a:prstGeom prst="rect">
                      <a:avLst/>
                    </a:prstGeom>
                    <a:ln/>
                  </pic:spPr>
                </pic:pic>
              </a:graphicData>
            </a:graphic>
          </wp:inline>
        </w:drawing>
      </w:r>
    </w:p>
    <w:p w14:paraId="60ED72A5" w14:textId="77777777" w:rsidR="00E30BB3" w:rsidRPr="00516FA6" w:rsidRDefault="00E30BB3" w:rsidP="00145FB7">
      <w:pPr>
        <w:pBdr>
          <w:top w:val="nil"/>
          <w:left w:val="nil"/>
          <w:bottom w:val="nil"/>
          <w:right w:val="nil"/>
          <w:between w:val="nil"/>
        </w:pBdr>
        <w:spacing w:before="120" w:after="120"/>
        <w:rPr>
          <w:rFonts w:ascii="Arial" w:eastAsia="Arial" w:hAnsi="Arial" w:cs="Arial"/>
        </w:rPr>
      </w:pPr>
    </w:p>
    <w:p w14:paraId="10541A8E" w14:textId="77777777" w:rsidR="00E30BB3" w:rsidRPr="00516FA6" w:rsidRDefault="002E5EDA" w:rsidP="00145FB7">
      <w:pPr>
        <w:pBdr>
          <w:top w:val="nil"/>
          <w:left w:val="nil"/>
          <w:bottom w:val="nil"/>
          <w:right w:val="nil"/>
          <w:between w:val="nil"/>
        </w:pBdr>
        <w:spacing w:before="120" w:after="120"/>
        <w:rPr>
          <w:rFonts w:ascii="Arial" w:eastAsia="Arial" w:hAnsi="Arial" w:cs="Arial"/>
          <w:b/>
        </w:rPr>
      </w:pPr>
      <w:r w:rsidRPr="00516FA6">
        <w:rPr>
          <w:rFonts w:ascii="Arial" w:eastAsia="Arial" w:hAnsi="Arial" w:cs="Arial"/>
          <w:u w:val="single"/>
        </w:rPr>
        <w:lastRenderedPageBreak/>
        <w:t>David Energy in Texas:</w:t>
      </w:r>
      <w:r w:rsidRPr="00516FA6">
        <w:rPr>
          <w:rFonts w:ascii="Arial" w:eastAsia="Arial" w:hAnsi="Arial" w:cs="Arial"/>
        </w:rPr>
        <w:t xml:space="preserve"> David Energy will allow devices historically excluded from demand response to participate, enabling resiliency and economic compensation for the Residential, Small Business, and Mid-Market segments while also deepening and diversifying the reserves of flexible demand. This includes working with a wide range of device types and OEMs to enable as many DERs as possible to participate in our network, including devices that can export like residential generators and batteries. Today, we work with 5+ major thermostat brands, major generator OEMs, 5+ major EV companies, and the market’s leading solar and storage companies. We plan to broaden coverage by adding new device types (e.g. smart plugs, refrigeration, computer servers, lighting) and deepen by adding more brands under our existing device categories.</w:t>
      </w:r>
    </w:p>
    <w:p w14:paraId="53FA4CEB" w14:textId="77777777" w:rsidR="00E30BB3" w:rsidRPr="00516FA6" w:rsidRDefault="002E5EDA" w:rsidP="00145FB7">
      <w:pPr>
        <w:pBdr>
          <w:top w:val="nil"/>
          <w:left w:val="nil"/>
          <w:bottom w:val="nil"/>
          <w:right w:val="nil"/>
          <w:between w:val="nil"/>
        </w:pBdr>
        <w:spacing w:before="120" w:after="120"/>
        <w:rPr>
          <w:rFonts w:ascii="Arial" w:eastAsia="Arial" w:hAnsi="Arial" w:cs="Arial"/>
        </w:rPr>
      </w:pPr>
      <w:r w:rsidRPr="00516FA6">
        <w:rPr>
          <w:rFonts w:ascii="Arial" w:eastAsia="Arial" w:hAnsi="Arial" w:cs="Arial"/>
        </w:rPr>
        <w:t>From a risk management perspective, we treat this controllable load as a legitimate physical hedge in our book – when prices spike, we dispatch the DERs in our network to “cover” our net open position. Despite the real impacts this has on our risk management strategy, the market at-large does not recognize or value these benefits correctly.</w:t>
      </w:r>
    </w:p>
    <w:p w14:paraId="4465BE5E" w14:textId="77777777" w:rsidR="00E30BB3" w:rsidRPr="00516FA6" w:rsidRDefault="002E5EDA" w:rsidP="00145FB7">
      <w:pPr>
        <w:pBdr>
          <w:top w:val="nil"/>
          <w:left w:val="nil"/>
          <w:bottom w:val="nil"/>
          <w:right w:val="nil"/>
          <w:between w:val="nil"/>
        </w:pBdr>
        <w:spacing w:before="120" w:after="120"/>
        <w:ind w:left="720"/>
        <w:jc w:val="center"/>
        <w:rPr>
          <w:rFonts w:ascii="Arial" w:eastAsia="Arial" w:hAnsi="Arial" w:cs="Arial"/>
        </w:rPr>
      </w:pPr>
      <w:r w:rsidRPr="00516FA6">
        <w:rPr>
          <w:rFonts w:ascii="Arial" w:eastAsia="Arial" w:hAnsi="Arial" w:cs="Arial"/>
          <w:noProof/>
        </w:rPr>
        <w:drawing>
          <wp:inline distT="114300" distB="114300" distL="114300" distR="114300" wp14:anchorId="55E2CD37" wp14:editId="78E7A892">
            <wp:extent cx="5092903" cy="28346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092903" cy="2834640"/>
                    </a:xfrm>
                    <a:prstGeom prst="rect">
                      <a:avLst/>
                    </a:prstGeom>
                    <a:ln/>
                  </pic:spPr>
                </pic:pic>
              </a:graphicData>
            </a:graphic>
          </wp:inline>
        </w:drawing>
      </w:r>
    </w:p>
    <w:p w14:paraId="0E4504AD" w14:textId="77777777" w:rsidR="00E30BB3" w:rsidRPr="00516FA6" w:rsidRDefault="00E30BB3" w:rsidP="00145FB7">
      <w:pPr>
        <w:pBdr>
          <w:top w:val="nil"/>
          <w:left w:val="nil"/>
          <w:bottom w:val="nil"/>
          <w:right w:val="nil"/>
          <w:between w:val="nil"/>
        </w:pBdr>
        <w:spacing w:before="120" w:after="120"/>
        <w:rPr>
          <w:rFonts w:ascii="Arial" w:eastAsia="Arial" w:hAnsi="Arial" w:cs="Arial"/>
        </w:rPr>
      </w:pPr>
    </w:p>
    <w:p w14:paraId="08D1233D" w14:textId="77777777" w:rsidR="00E30BB3" w:rsidRPr="00516FA6" w:rsidRDefault="002E5EDA" w:rsidP="00145FB7">
      <w:pPr>
        <w:pBdr>
          <w:top w:val="nil"/>
          <w:left w:val="nil"/>
          <w:bottom w:val="nil"/>
          <w:right w:val="nil"/>
          <w:between w:val="nil"/>
        </w:pBdr>
        <w:spacing w:before="120" w:after="120"/>
        <w:rPr>
          <w:rFonts w:ascii="Arial" w:eastAsia="Arial" w:hAnsi="Arial" w:cs="Arial"/>
          <w:u w:val="single"/>
        </w:rPr>
      </w:pPr>
      <w:r w:rsidRPr="00516FA6">
        <w:rPr>
          <w:rFonts w:ascii="Arial" w:eastAsia="Arial" w:hAnsi="Arial" w:cs="Arial"/>
          <w:u w:val="single"/>
        </w:rPr>
        <w:t>Why ALR is crucial for Texas:</w:t>
      </w:r>
    </w:p>
    <w:p w14:paraId="5A418C16" w14:textId="77777777" w:rsidR="00E30BB3" w:rsidRPr="00516FA6" w:rsidRDefault="002E5EDA" w:rsidP="00145FB7">
      <w:pPr>
        <w:numPr>
          <w:ilvl w:val="0"/>
          <w:numId w:val="1"/>
        </w:numPr>
        <w:pBdr>
          <w:top w:val="nil"/>
          <w:left w:val="nil"/>
          <w:bottom w:val="nil"/>
          <w:right w:val="nil"/>
          <w:between w:val="nil"/>
        </w:pBdr>
        <w:spacing w:before="120" w:after="120"/>
        <w:rPr>
          <w:rFonts w:ascii="Arial" w:eastAsia="Arial" w:hAnsi="Arial" w:cs="Arial"/>
          <w:color w:val="000000"/>
        </w:rPr>
      </w:pPr>
      <w:r w:rsidRPr="00516FA6">
        <w:rPr>
          <w:rFonts w:ascii="Arial" w:eastAsia="Arial" w:hAnsi="Arial" w:cs="Arial"/>
        </w:rPr>
        <w:t>Post-Storm Uri, ERCOT began procuring more firm capacity. However, it’s unclear that sufficient firm capacity will come online to meet that demand based on the current state of the interconnection queue</w:t>
      </w:r>
    </w:p>
    <w:p w14:paraId="1FA81949" w14:textId="77777777" w:rsidR="00E30BB3" w:rsidRPr="00516FA6" w:rsidRDefault="002E5EDA" w:rsidP="00145FB7">
      <w:pPr>
        <w:pBdr>
          <w:top w:val="nil"/>
          <w:left w:val="nil"/>
          <w:bottom w:val="nil"/>
          <w:right w:val="nil"/>
          <w:between w:val="nil"/>
        </w:pBdr>
        <w:spacing w:before="120" w:after="120"/>
        <w:ind w:left="720"/>
        <w:jc w:val="center"/>
        <w:rPr>
          <w:rFonts w:ascii="Arial" w:eastAsia="Arial" w:hAnsi="Arial" w:cs="Arial"/>
        </w:rPr>
      </w:pPr>
      <w:r w:rsidRPr="00516FA6">
        <w:rPr>
          <w:rFonts w:ascii="Arial" w:eastAsia="Arial" w:hAnsi="Arial" w:cs="Arial"/>
          <w:noProof/>
        </w:rPr>
        <w:lastRenderedPageBreak/>
        <w:drawing>
          <wp:inline distT="114300" distB="114300" distL="114300" distR="114300" wp14:anchorId="6A3AD0F6" wp14:editId="6D6F6B2B">
            <wp:extent cx="5055108" cy="283464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055108" cy="2834640"/>
                    </a:xfrm>
                    <a:prstGeom prst="rect">
                      <a:avLst/>
                    </a:prstGeom>
                    <a:ln/>
                  </pic:spPr>
                </pic:pic>
              </a:graphicData>
            </a:graphic>
          </wp:inline>
        </w:drawing>
      </w:r>
    </w:p>
    <w:p w14:paraId="151AB5E5" w14:textId="77777777" w:rsidR="00E30BB3" w:rsidRPr="00516FA6" w:rsidRDefault="002E5EDA" w:rsidP="00145FB7">
      <w:pPr>
        <w:numPr>
          <w:ilvl w:val="0"/>
          <w:numId w:val="1"/>
        </w:numPr>
        <w:spacing w:before="120" w:after="120"/>
        <w:rPr>
          <w:rFonts w:ascii="Arial" w:eastAsia="Arial" w:hAnsi="Arial" w:cs="Arial"/>
        </w:rPr>
      </w:pPr>
      <w:r w:rsidRPr="00516FA6">
        <w:rPr>
          <w:rFonts w:ascii="Arial" w:eastAsia="Arial" w:hAnsi="Arial" w:cs="Arial"/>
        </w:rPr>
        <w:t>And while ERCOT’s reserve margin today is healthy on paper, the unfortunate reality is that conditions are much tighter much more frequently than expected</w:t>
      </w:r>
    </w:p>
    <w:p w14:paraId="3CC0BC3A" w14:textId="77777777" w:rsidR="00E30BB3" w:rsidRPr="00516FA6" w:rsidRDefault="002E5EDA" w:rsidP="00145FB7">
      <w:pPr>
        <w:numPr>
          <w:ilvl w:val="0"/>
          <w:numId w:val="1"/>
        </w:numPr>
        <w:spacing w:before="120" w:after="120"/>
        <w:rPr>
          <w:rFonts w:ascii="Arial" w:eastAsia="Arial" w:hAnsi="Arial" w:cs="Arial"/>
        </w:rPr>
      </w:pPr>
      <w:r w:rsidRPr="00516FA6">
        <w:rPr>
          <w:rFonts w:ascii="Arial" w:eastAsia="Arial" w:hAnsi="Arial" w:cs="Arial"/>
        </w:rPr>
        <w:t>There is plenty of latent capacity that’s not being used today that could address these tight conditions. But, existing programs such as Emergency Response Service (ERS), Utility Commercial Load Management (CLM), and Load Resource (LR) don’t fairly compensate these resources for their value, creating little incentive for their participation. One reason is, for example, that the programs compel a longer duration dispatch over a band of hours that are not necessarily the highest and best use of small DER resources and that mode of dispatch wastes the capacity value of these smaller systems - you can send DERS price signals for daily peaks and superpeaks if you’re dispatching them directly in SCED, as we would normally in our book.  These resources can be used for regular dispatching, not just for emergencies, and get far higher compensation than ERS as a result.</w:t>
      </w:r>
    </w:p>
    <w:p w14:paraId="660BE0E9" w14:textId="77777777" w:rsidR="00E30BB3" w:rsidRPr="00516FA6" w:rsidRDefault="002E5EDA">
      <w:pPr>
        <w:jc w:val="center"/>
        <w:rPr>
          <w:rFonts w:ascii="Arial" w:eastAsia="Arial" w:hAnsi="Arial" w:cs="Arial"/>
        </w:rPr>
      </w:pPr>
      <w:r w:rsidRPr="00516FA6">
        <w:rPr>
          <w:rFonts w:ascii="Arial" w:eastAsia="Arial" w:hAnsi="Arial" w:cs="Arial"/>
          <w:noProof/>
        </w:rPr>
        <w:lastRenderedPageBreak/>
        <w:drawing>
          <wp:inline distT="114300" distB="114300" distL="114300" distR="114300" wp14:anchorId="666F4FD9" wp14:editId="57572227">
            <wp:extent cx="5029200" cy="280629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029200" cy="2806294"/>
                    </a:xfrm>
                    <a:prstGeom prst="rect">
                      <a:avLst/>
                    </a:prstGeom>
                    <a:ln/>
                  </pic:spPr>
                </pic:pic>
              </a:graphicData>
            </a:graphic>
          </wp:inline>
        </w:drawing>
      </w:r>
    </w:p>
    <w:p w14:paraId="70C03664" w14:textId="77777777" w:rsidR="00E30BB3" w:rsidRPr="00516FA6" w:rsidRDefault="00E30BB3">
      <w:pPr>
        <w:rPr>
          <w:rFonts w:ascii="Arial" w:eastAsia="Arial" w:hAnsi="Arial" w:cs="Arial"/>
        </w:rPr>
      </w:pPr>
    </w:p>
    <w:p w14:paraId="18F37BD0" w14:textId="77777777" w:rsidR="00E30BB3" w:rsidRPr="00516FA6" w:rsidRDefault="002E5EDA">
      <w:pPr>
        <w:numPr>
          <w:ilvl w:val="0"/>
          <w:numId w:val="1"/>
        </w:numPr>
        <w:rPr>
          <w:rFonts w:ascii="Arial" w:eastAsia="Arial" w:hAnsi="Arial" w:cs="Arial"/>
        </w:rPr>
      </w:pPr>
      <w:r w:rsidRPr="00516FA6">
        <w:rPr>
          <w:rFonts w:ascii="Arial" w:eastAsia="Arial" w:hAnsi="Arial" w:cs="Arial"/>
        </w:rPr>
        <w:t xml:space="preserve">Texas could unleash the power of this latent capacity by providing strong price signals and payout certainty to their developers and owners. This will enable the existing gigawatts of latent, demand-side capacity to actually benefit the market while providing economic incentives for customers to invest in distributed system equipment that takes the pressure off the centralized grid as load continues to grow at a hurtling pace in Texas ERCOT. </w:t>
      </w:r>
    </w:p>
    <w:p w14:paraId="4FE19A2D" w14:textId="77777777" w:rsidR="00E30BB3" w:rsidRPr="00516FA6" w:rsidRDefault="00E30BB3">
      <w:pPr>
        <w:pBdr>
          <w:top w:val="nil"/>
          <w:left w:val="nil"/>
          <w:bottom w:val="nil"/>
          <w:right w:val="nil"/>
          <w:between w:val="nil"/>
        </w:pBdr>
        <w:rPr>
          <w:rFonts w:ascii="Arial" w:eastAsia="Arial" w:hAnsi="Arial" w:cs="Arial"/>
          <w:color w:val="000000"/>
        </w:rPr>
      </w:pPr>
    </w:p>
    <w:tbl>
      <w:tblPr>
        <w:tblStyle w:val="a1"/>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E30BB3" w:rsidRPr="00516FA6" w14:paraId="3D1592A5" w14:textId="77777777">
        <w:trPr>
          <w:trHeight w:val="350"/>
        </w:trPr>
        <w:tc>
          <w:tcPr>
            <w:tcW w:w="10440" w:type="dxa"/>
            <w:tcBorders>
              <w:bottom w:val="single" w:sz="4" w:space="0" w:color="000000"/>
            </w:tcBorders>
            <w:shd w:val="clear" w:color="auto" w:fill="FFFFFF"/>
            <w:tcMar>
              <w:top w:w="0" w:type="dxa"/>
              <w:bottom w:w="0" w:type="dxa"/>
            </w:tcMar>
            <w:vAlign w:val="center"/>
          </w:tcPr>
          <w:p w14:paraId="07CF7704" w14:textId="77777777" w:rsidR="00E30BB3" w:rsidRPr="00516FA6" w:rsidRDefault="002E5EDA">
            <w:pPr>
              <w:pBdr>
                <w:top w:val="nil"/>
                <w:left w:val="nil"/>
                <w:bottom w:val="nil"/>
                <w:right w:val="nil"/>
                <w:between w:val="nil"/>
              </w:pBdr>
              <w:tabs>
                <w:tab w:val="center" w:pos="4320"/>
                <w:tab w:val="right" w:pos="8640"/>
              </w:tabs>
              <w:jc w:val="center"/>
              <w:rPr>
                <w:rFonts w:ascii="Arial" w:eastAsia="Arial" w:hAnsi="Arial" w:cs="Arial"/>
                <w:b/>
                <w:color w:val="000000"/>
              </w:rPr>
            </w:pPr>
            <w:r w:rsidRPr="00516FA6">
              <w:rPr>
                <w:rFonts w:ascii="Arial" w:eastAsia="Arial" w:hAnsi="Arial" w:cs="Arial"/>
                <w:b/>
                <w:color w:val="000000"/>
              </w:rPr>
              <w:t>Revised Cover Page Language</w:t>
            </w:r>
          </w:p>
        </w:tc>
      </w:tr>
    </w:tbl>
    <w:p w14:paraId="7FA794A3" w14:textId="77777777" w:rsidR="00E30BB3" w:rsidRPr="00516FA6" w:rsidRDefault="002E5EDA">
      <w:pPr>
        <w:pBdr>
          <w:top w:val="nil"/>
          <w:left w:val="nil"/>
          <w:bottom w:val="nil"/>
          <w:right w:val="nil"/>
          <w:between w:val="nil"/>
        </w:pBdr>
        <w:spacing w:before="120" w:after="120"/>
        <w:rPr>
          <w:rFonts w:ascii="Arial" w:eastAsia="Arial" w:hAnsi="Arial" w:cs="Arial"/>
          <w:bCs/>
        </w:rPr>
      </w:pPr>
      <w:r w:rsidRPr="00516FA6">
        <w:rPr>
          <w:rFonts w:ascii="Arial" w:eastAsia="Arial" w:hAnsi="Arial" w:cs="Arial"/>
          <w:bCs/>
        </w:rPr>
        <w:t>None</w:t>
      </w:r>
    </w:p>
    <w:tbl>
      <w:tblPr>
        <w:tblStyle w:val="a2"/>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E30BB3" w:rsidRPr="00516FA6" w14:paraId="7D00F3F5" w14:textId="77777777">
        <w:trPr>
          <w:trHeight w:val="350"/>
        </w:trPr>
        <w:tc>
          <w:tcPr>
            <w:tcW w:w="10440" w:type="dxa"/>
            <w:tcBorders>
              <w:bottom w:val="single" w:sz="4" w:space="0" w:color="000000"/>
            </w:tcBorders>
            <w:shd w:val="clear" w:color="auto" w:fill="FFFFFF"/>
            <w:tcMar>
              <w:top w:w="0" w:type="dxa"/>
              <w:bottom w:w="0" w:type="dxa"/>
            </w:tcMar>
            <w:vAlign w:val="center"/>
          </w:tcPr>
          <w:p w14:paraId="213157C5" w14:textId="77777777" w:rsidR="00E30BB3" w:rsidRPr="00516FA6" w:rsidRDefault="002E5EDA">
            <w:pPr>
              <w:pBdr>
                <w:top w:val="nil"/>
                <w:left w:val="nil"/>
                <w:bottom w:val="nil"/>
                <w:right w:val="nil"/>
                <w:between w:val="nil"/>
              </w:pBdr>
              <w:tabs>
                <w:tab w:val="center" w:pos="4320"/>
                <w:tab w:val="right" w:pos="8640"/>
              </w:tabs>
              <w:jc w:val="center"/>
              <w:rPr>
                <w:rFonts w:ascii="Arial" w:eastAsia="Arial" w:hAnsi="Arial" w:cs="Arial"/>
                <w:b/>
                <w:color w:val="000000"/>
              </w:rPr>
            </w:pPr>
            <w:r w:rsidRPr="00516FA6">
              <w:rPr>
                <w:rFonts w:ascii="Arial" w:eastAsia="Arial" w:hAnsi="Arial" w:cs="Arial"/>
                <w:b/>
                <w:color w:val="000000"/>
              </w:rPr>
              <w:t>Revised Proposed Other Binding Document Language</w:t>
            </w:r>
          </w:p>
        </w:tc>
      </w:tr>
    </w:tbl>
    <w:p w14:paraId="04685DF0" w14:textId="3834B87D" w:rsidR="00E30BB3" w:rsidRPr="00516FA6" w:rsidRDefault="002E5EDA">
      <w:pPr>
        <w:pBdr>
          <w:top w:val="nil"/>
          <w:left w:val="nil"/>
          <w:bottom w:val="nil"/>
          <w:right w:val="nil"/>
          <w:between w:val="nil"/>
        </w:pBdr>
        <w:spacing w:before="120" w:after="120"/>
        <w:rPr>
          <w:rFonts w:ascii="Arial" w:eastAsia="Arial" w:hAnsi="Arial" w:cs="Arial"/>
          <w:bCs/>
        </w:rPr>
      </w:pPr>
      <w:r w:rsidRPr="00516FA6">
        <w:rPr>
          <w:rFonts w:ascii="Arial" w:eastAsia="Arial" w:hAnsi="Arial" w:cs="Arial"/>
          <w:bCs/>
        </w:rPr>
        <w:t>None</w:t>
      </w:r>
    </w:p>
    <w:p w14:paraId="32E86E32" w14:textId="77777777" w:rsidR="00E30BB3" w:rsidRPr="00516FA6" w:rsidRDefault="00E30BB3">
      <w:pPr>
        <w:pBdr>
          <w:top w:val="nil"/>
          <w:left w:val="nil"/>
          <w:bottom w:val="nil"/>
          <w:right w:val="nil"/>
          <w:between w:val="nil"/>
        </w:pBdr>
        <w:spacing w:before="120" w:after="120"/>
        <w:rPr>
          <w:rFonts w:ascii="Arial" w:hAnsi="Arial" w:cs="Arial"/>
          <w:color w:val="000000"/>
        </w:rPr>
      </w:pPr>
    </w:p>
    <w:sectPr w:rsidR="00E30BB3" w:rsidRPr="00516FA6">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49B2" w14:textId="77777777" w:rsidR="002E5EDA" w:rsidRDefault="002E5EDA">
      <w:r>
        <w:separator/>
      </w:r>
    </w:p>
  </w:endnote>
  <w:endnote w:type="continuationSeparator" w:id="0">
    <w:p w14:paraId="0DC249C0" w14:textId="77777777" w:rsidR="002E5EDA" w:rsidRDefault="002E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AD77" w14:textId="685B5649" w:rsidR="00E30BB3" w:rsidRDefault="00145FB7">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041</w:t>
    </w:r>
    <w:r w:rsidR="002E5EDA">
      <w:rPr>
        <w:rFonts w:ascii="Arial" w:eastAsia="Arial" w:hAnsi="Arial" w:cs="Arial"/>
        <w:color w:val="000000"/>
        <w:sz w:val="18"/>
        <w:szCs w:val="18"/>
      </w:rPr>
      <w:t>OBDRR</w:t>
    </w:r>
    <w:r>
      <w:rPr>
        <w:rFonts w:ascii="Arial" w:eastAsia="Arial" w:hAnsi="Arial" w:cs="Arial"/>
        <w:color w:val="000000"/>
        <w:sz w:val="18"/>
        <w:szCs w:val="18"/>
      </w:rPr>
      <w:t>-08 David Energy Co</w:t>
    </w:r>
    <w:r w:rsidR="002E5EDA">
      <w:rPr>
        <w:rFonts w:ascii="Arial" w:eastAsia="Arial" w:hAnsi="Arial" w:cs="Arial"/>
        <w:color w:val="000000"/>
        <w:sz w:val="18"/>
        <w:szCs w:val="18"/>
      </w:rPr>
      <w:t>mment</w:t>
    </w:r>
    <w:r>
      <w:rPr>
        <w:rFonts w:ascii="Arial" w:eastAsia="Arial" w:hAnsi="Arial" w:cs="Arial"/>
        <w:color w:val="000000"/>
        <w:sz w:val="18"/>
        <w:szCs w:val="18"/>
      </w:rPr>
      <w:t>s 061522</w:t>
    </w:r>
    <w:r w:rsidR="002E5EDA">
      <w:rPr>
        <w:rFonts w:ascii="Arial" w:eastAsia="Arial" w:hAnsi="Arial" w:cs="Arial"/>
        <w:color w:val="000000"/>
        <w:sz w:val="18"/>
        <w:szCs w:val="18"/>
      </w:rPr>
      <w:t xml:space="preserve"> </w:t>
    </w:r>
    <w:r w:rsidR="002E5EDA">
      <w:rPr>
        <w:rFonts w:ascii="Arial" w:eastAsia="Arial" w:hAnsi="Arial" w:cs="Arial"/>
        <w:color w:val="000000"/>
        <w:sz w:val="18"/>
        <w:szCs w:val="18"/>
      </w:rPr>
      <w:tab/>
    </w:r>
    <w:r>
      <w:rPr>
        <w:rFonts w:ascii="Arial" w:eastAsia="Arial" w:hAnsi="Arial" w:cs="Arial"/>
        <w:color w:val="000000"/>
        <w:sz w:val="18"/>
        <w:szCs w:val="18"/>
      </w:rPr>
      <w:tab/>
    </w:r>
    <w:r w:rsidR="002E5EDA">
      <w:rPr>
        <w:rFonts w:ascii="Arial" w:eastAsia="Arial" w:hAnsi="Arial" w:cs="Arial"/>
        <w:color w:val="000000"/>
        <w:sz w:val="18"/>
        <w:szCs w:val="18"/>
      </w:rPr>
      <w:t xml:space="preserve">Page </w:t>
    </w:r>
    <w:r w:rsidR="002E5EDA">
      <w:rPr>
        <w:rFonts w:ascii="Arial" w:eastAsia="Arial" w:hAnsi="Arial" w:cs="Arial"/>
        <w:color w:val="000000"/>
        <w:sz w:val="18"/>
        <w:szCs w:val="18"/>
      </w:rPr>
      <w:fldChar w:fldCharType="begin"/>
    </w:r>
    <w:r w:rsidR="002E5EDA">
      <w:rPr>
        <w:rFonts w:ascii="Arial" w:eastAsia="Arial" w:hAnsi="Arial" w:cs="Arial"/>
        <w:color w:val="000000"/>
        <w:sz w:val="18"/>
        <w:szCs w:val="18"/>
      </w:rPr>
      <w:instrText>PAGE</w:instrText>
    </w:r>
    <w:r w:rsidR="002E5EDA">
      <w:rPr>
        <w:rFonts w:ascii="Arial" w:eastAsia="Arial" w:hAnsi="Arial" w:cs="Arial"/>
        <w:color w:val="000000"/>
        <w:sz w:val="18"/>
        <w:szCs w:val="18"/>
      </w:rPr>
      <w:fldChar w:fldCharType="separate"/>
    </w:r>
    <w:r w:rsidR="007E3804">
      <w:rPr>
        <w:rFonts w:ascii="Arial" w:eastAsia="Arial" w:hAnsi="Arial" w:cs="Arial"/>
        <w:noProof/>
        <w:color w:val="000000"/>
        <w:sz w:val="18"/>
        <w:szCs w:val="18"/>
      </w:rPr>
      <w:t>1</w:t>
    </w:r>
    <w:r w:rsidR="002E5EDA">
      <w:rPr>
        <w:rFonts w:ascii="Arial" w:eastAsia="Arial" w:hAnsi="Arial" w:cs="Arial"/>
        <w:color w:val="000000"/>
        <w:sz w:val="18"/>
        <w:szCs w:val="18"/>
      </w:rPr>
      <w:fldChar w:fldCharType="end"/>
    </w:r>
    <w:r w:rsidR="002E5EDA">
      <w:rPr>
        <w:rFonts w:ascii="Arial" w:eastAsia="Arial" w:hAnsi="Arial" w:cs="Arial"/>
        <w:color w:val="000000"/>
        <w:sz w:val="18"/>
        <w:szCs w:val="18"/>
      </w:rPr>
      <w:t xml:space="preserve"> of </w:t>
    </w:r>
    <w:r w:rsidR="002E5EDA">
      <w:rPr>
        <w:rFonts w:ascii="Arial" w:eastAsia="Arial" w:hAnsi="Arial" w:cs="Arial"/>
        <w:color w:val="000000"/>
        <w:sz w:val="18"/>
        <w:szCs w:val="18"/>
      </w:rPr>
      <w:fldChar w:fldCharType="begin"/>
    </w:r>
    <w:r w:rsidR="002E5EDA">
      <w:rPr>
        <w:rFonts w:ascii="Arial" w:eastAsia="Arial" w:hAnsi="Arial" w:cs="Arial"/>
        <w:color w:val="000000"/>
        <w:sz w:val="18"/>
        <w:szCs w:val="18"/>
      </w:rPr>
      <w:instrText>NUMPAGES</w:instrText>
    </w:r>
    <w:r w:rsidR="002E5EDA">
      <w:rPr>
        <w:rFonts w:ascii="Arial" w:eastAsia="Arial" w:hAnsi="Arial" w:cs="Arial"/>
        <w:color w:val="000000"/>
        <w:sz w:val="18"/>
        <w:szCs w:val="18"/>
      </w:rPr>
      <w:fldChar w:fldCharType="separate"/>
    </w:r>
    <w:r w:rsidR="007E3804">
      <w:rPr>
        <w:rFonts w:ascii="Arial" w:eastAsia="Arial" w:hAnsi="Arial" w:cs="Arial"/>
        <w:noProof/>
        <w:color w:val="000000"/>
        <w:sz w:val="18"/>
        <w:szCs w:val="18"/>
      </w:rPr>
      <w:t>2</w:t>
    </w:r>
    <w:r w:rsidR="002E5EDA">
      <w:rPr>
        <w:rFonts w:ascii="Arial" w:eastAsia="Arial" w:hAnsi="Arial" w:cs="Arial"/>
        <w:color w:val="000000"/>
        <w:sz w:val="18"/>
        <w:szCs w:val="18"/>
      </w:rPr>
      <w:fldChar w:fldCharType="end"/>
    </w:r>
  </w:p>
  <w:p w14:paraId="621BA524" w14:textId="77777777" w:rsidR="00E30BB3" w:rsidRDefault="002E5EDA">
    <w:pPr>
      <w:pBdr>
        <w:top w:val="nil"/>
        <w:left w:val="nil"/>
        <w:bottom w:val="nil"/>
        <w:right w:val="nil"/>
        <w:between w:val="nil"/>
      </w:pBdr>
      <w:tabs>
        <w:tab w:val="center" w:pos="4320"/>
        <w:tab w:val="right" w:pos="8640"/>
        <w:tab w:val="right" w:pos="9360"/>
      </w:tabs>
      <w:rPr>
        <w:rFonts w:ascii="Arial" w:eastAsia="Arial" w:hAnsi="Arial" w:cs="Arial"/>
        <w:color w:val="000000"/>
        <w:sz w:val="18"/>
        <w:szCs w:val="18"/>
      </w:rPr>
    </w:pPr>
    <w:r>
      <w:rPr>
        <w:rFonts w:ascii="Arial" w:eastAsia="Arial" w:hAnsi="Arial" w:cs="Arial"/>
        <w:color w:val="000000"/>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EE" w14:textId="77777777" w:rsidR="002E5EDA" w:rsidRDefault="002E5EDA">
      <w:r>
        <w:separator/>
      </w:r>
    </w:p>
  </w:footnote>
  <w:footnote w:type="continuationSeparator" w:id="0">
    <w:p w14:paraId="5CC7A999" w14:textId="77777777" w:rsidR="002E5EDA" w:rsidRDefault="002E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A929" w14:textId="77777777" w:rsidR="00E30BB3" w:rsidRDefault="002E5EDA">
    <w:pPr>
      <w:pBdr>
        <w:top w:val="nil"/>
        <w:left w:val="nil"/>
        <w:bottom w:val="nil"/>
        <w:right w:val="nil"/>
        <w:between w:val="nil"/>
      </w:pBdr>
      <w:tabs>
        <w:tab w:val="center" w:pos="4320"/>
        <w:tab w:val="right" w:pos="8640"/>
      </w:tabs>
      <w:jc w:val="center"/>
      <w:rPr>
        <w:rFonts w:ascii="Arial" w:eastAsia="Arial" w:hAnsi="Arial" w:cs="Arial"/>
        <w:b/>
        <w:color w:val="000000"/>
        <w:sz w:val="32"/>
        <w:szCs w:val="32"/>
      </w:rPr>
    </w:pPr>
    <w:r>
      <w:rPr>
        <w:rFonts w:ascii="Arial" w:eastAsia="Arial" w:hAnsi="Arial" w:cs="Arial"/>
        <w:b/>
        <w:color w:val="000000"/>
        <w:sz w:val="32"/>
        <w:szCs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31039"/>
    <w:multiLevelType w:val="multilevel"/>
    <w:tmpl w:val="1A34B484"/>
    <w:lvl w:ilvl="0">
      <w:start w:val="1"/>
      <w:numFmt w:val="bullet"/>
      <w:pStyle w:val="Bullet"/>
      <w:lvlText w:val="●"/>
      <w:lvlJc w:val="left"/>
      <w:pPr>
        <w:ind w:left="360" w:hanging="180"/>
      </w:pPr>
      <w:rPr>
        <w:u w:val="none"/>
      </w:rPr>
    </w:lvl>
    <w:lvl w:ilvl="1">
      <w:start w:val="1"/>
      <w:numFmt w:val="bullet"/>
      <w:lvlText w:val="○"/>
      <w:lvlJc w:val="left"/>
      <w:pPr>
        <w:ind w:left="900" w:hanging="18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A97967"/>
    <w:multiLevelType w:val="multilevel"/>
    <w:tmpl w:val="8E7A538E"/>
    <w:lvl w:ilvl="0">
      <w:start w:val="1"/>
      <w:numFmt w:val="bullet"/>
      <w:pStyle w:val="Heading1"/>
      <w:lvlText w:val="●"/>
      <w:lvlJc w:val="left"/>
      <w:pPr>
        <w:ind w:left="720" w:hanging="360"/>
      </w:pPr>
      <w:rPr>
        <w:u w:val="none"/>
      </w:rPr>
    </w:lvl>
    <w:lvl w:ilvl="1">
      <w:start w:val="1"/>
      <w:numFmt w:val="bullet"/>
      <w:pStyle w:val="Heading2"/>
      <w:lvlText w:val="○"/>
      <w:lvlJc w:val="left"/>
      <w:pPr>
        <w:ind w:left="900" w:hanging="18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B3"/>
    <w:rsid w:val="00110A27"/>
    <w:rsid w:val="00145FB7"/>
    <w:rsid w:val="002E5EDA"/>
    <w:rsid w:val="00516FA6"/>
    <w:rsid w:val="007E3804"/>
    <w:rsid w:val="00E3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5EC5"/>
  <w15:docId w15:val="{1145EA99-233D-F044-B477-B3A6CC84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uiPriority w:val="9"/>
    <w:qFormat/>
    <w:pPr>
      <w:keepNext/>
      <w:numPr>
        <w:numId w:val="1"/>
      </w:numPr>
      <w:spacing w:after="240"/>
      <w:outlineLvl w:val="0"/>
    </w:pPr>
    <w:rPr>
      <w:b/>
      <w:caps/>
      <w:szCs w:val="20"/>
    </w:rPr>
  </w:style>
  <w:style w:type="paragraph" w:styleId="Heading2">
    <w:name w:val="heading 2"/>
    <w:aliases w:val="h2"/>
    <w:basedOn w:val="Normal"/>
    <w:next w:val="Normal"/>
    <w:uiPriority w:val="9"/>
    <w:semiHidden/>
    <w:unhideWhenUsed/>
    <w:qFormat/>
    <w:pPr>
      <w:keepNext/>
      <w:numPr>
        <w:ilvl w:val="1"/>
        <w:numId w:val="1"/>
      </w:numPr>
      <w:spacing w:before="240" w:after="240"/>
      <w:outlineLvl w:val="1"/>
    </w:pPr>
    <w:rPr>
      <w:b/>
      <w:szCs w:val="20"/>
    </w:rPr>
  </w:style>
  <w:style w:type="paragraph" w:styleId="Heading3">
    <w:name w:val="heading 3"/>
    <w:aliases w:val="h3"/>
    <w:basedOn w:val="Normal"/>
    <w:next w:val="Normal"/>
    <w:uiPriority w:val="9"/>
    <w:semiHidden/>
    <w:unhideWhenUsed/>
    <w:qFormat/>
    <w:pPr>
      <w:keepNext/>
      <w:numPr>
        <w:ilvl w:val="2"/>
        <w:numId w:val="1"/>
      </w:numPr>
      <w:spacing w:before="120" w:after="120"/>
      <w:outlineLvl w:val="2"/>
    </w:pPr>
    <w:rPr>
      <w:b/>
      <w:bCs/>
      <w:i/>
      <w:iCs/>
      <w:szCs w:val="20"/>
    </w:rPr>
  </w:style>
  <w:style w:type="paragraph" w:styleId="Heading4">
    <w:name w:val="heading 4"/>
    <w:aliases w:val="h4"/>
    <w:basedOn w:val="Normal"/>
    <w:next w:val="Normal"/>
    <w:uiPriority w:val="9"/>
    <w:semiHidden/>
    <w:unhideWhenUsed/>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uiPriority w:val="9"/>
    <w:semiHidden/>
    <w:unhideWhenUsed/>
    <w:qFormat/>
    <w:pPr>
      <w:spacing w:before="240" w:after="60"/>
      <w:outlineLvl w:val="4"/>
    </w:pPr>
    <w:rPr>
      <w:b/>
      <w:i/>
      <w:sz w:val="26"/>
      <w:szCs w:val="20"/>
    </w:rPr>
  </w:style>
  <w:style w:type="paragraph" w:styleId="Heading6">
    <w:name w:val="heading 6"/>
    <w:aliases w:val="h6"/>
    <w:basedOn w:val="Normal"/>
    <w:next w:val="Normal"/>
    <w:uiPriority w:val="9"/>
    <w:semiHidden/>
    <w:unhideWhenUsed/>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136312"/>
    <w:rPr>
      <w:color w:val="605E5C"/>
      <w:shd w:val="clear" w:color="auto" w:fill="E1DFDD"/>
    </w:rPr>
  </w:style>
  <w:style w:type="paragraph" w:styleId="NormalWeb">
    <w:name w:val="Normal (Web)"/>
    <w:basedOn w:val="Normal"/>
    <w:uiPriority w:val="99"/>
    <w:unhideWhenUsed/>
    <w:rsid w:val="005E0EE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OBDRR041"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ma.com/proto/avDy0pjDOtUOoqz8SktUaJ/Tesla-x-David-Energy-%7C-ERCOT?node-id=2%3A115&amp;scaling=scale-dow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davidenergy.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es@davidenergy.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nMuX2XxeANy28viRbhTcDi3o1g==">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ERCOT/if</dc:creator>
  <cp:lastModifiedBy>ERCOT</cp:lastModifiedBy>
  <cp:revision>2</cp:revision>
  <dcterms:created xsi:type="dcterms:W3CDTF">2022-06-15T17:57:00Z</dcterms:created>
  <dcterms:modified xsi:type="dcterms:W3CDTF">2022-06-15T17:57:00Z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ies>
</file>