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260"/>
        <w:gridCol w:w="1170"/>
        <w:gridCol w:w="6390"/>
      </w:tblGrid>
      <w:tr w:rsidR="00E30BB3" w:rsidRPr="00516FA6" w14:paraId="2C33CBF3" w14:textId="77777777">
        <w:tc>
          <w:tcPr>
            <w:tcW w:w="1620" w:type="dxa"/>
            <w:tcBorders>
              <w:bottom w:val="single" w:sz="4" w:space="0" w:color="000000"/>
            </w:tcBorders>
            <w:shd w:val="clear" w:color="auto" w:fill="FFFFFF"/>
            <w:tcMar>
              <w:top w:w="0" w:type="dxa"/>
              <w:bottom w:w="0" w:type="dxa"/>
            </w:tcMar>
            <w:vAlign w:val="center"/>
          </w:tcPr>
          <w:p w14:paraId="49791F00" w14:textId="77777777" w:rsidR="00E30BB3" w:rsidRPr="00516FA6" w:rsidRDefault="002E5EDA">
            <w:pPr>
              <w:pBdr>
                <w:top w:val="nil"/>
                <w:left w:val="nil"/>
                <w:bottom w:val="nil"/>
                <w:right w:val="nil"/>
                <w:between w:val="nil"/>
              </w:pBdr>
              <w:tabs>
                <w:tab w:val="center" w:pos="4320"/>
                <w:tab w:val="right" w:pos="8640"/>
              </w:tabs>
              <w:rPr>
                <w:rFonts w:ascii="Arial" w:eastAsia="Verdana" w:hAnsi="Arial" w:cs="Arial"/>
                <w:b/>
                <w:color w:val="000000"/>
              </w:rPr>
            </w:pPr>
            <w:r w:rsidRPr="00516FA6">
              <w:rPr>
                <w:rFonts w:ascii="Arial" w:eastAsia="Arial" w:hAnsi="Arial" w:cs="Arial"/>
                <w:b/>
                <w:color w:val="000000"/>
              </w:rPr>
              <w:t>OBDRR Number</w:t>
            </w:r>
          </w:p>
        </w:tc>
        <w:tc>
          <w:tcPr>
            <w:tcW w:w="1260" w:type="dxa"/>
            <w:tcBorders>
              <w:bottom w:val="single" w:sz="4" w:space="0" w:color="000000"/>
            </w:tcBorders>
            <w:tcMar>
              <w:top w:w="0" w:type="dxa"/>
              <w:bottom w:w="0" w:type="dxa"/>
            </w:tcMar>
            <w:vAlign w:val="center"/>
          </w:tcPr>
          <w:p w14:paraId="46A72BAD" w14:textId="77777777" w:rsidR="00E30BB3" w:rsidRPr="00516FA6" w:rsidRDefault="00145FB7">
            <w:pPr>
              <w:pBdr>
                <w:top w:val="nil"/>
                <w:left w:val="nil"/>
                <w:bottom w:val="nil"/>
                <w:right w:val="nil"/>
                <w:between w:val="nil"/>
              </w:pBdr>
              <w:tabs>
                <w:tab w:val="center" w:pos="4320"/>
                <w:tab w:val="right" w:pos="8640"/>
              </w:tabs>
              <w:rPr>
                <w:rFonts w:ascii="Arial" w:eastAsia="Arial" w:hAnsi="Arial" w:cs="Arial"/>
                <w:b/>
                <w:color w:val="000000"/>
              </w:rPr>
            </w:pPr>
            <w:hyperlink r:id="rId8">
              <w:r w:rsidR="002E5EDA" w:rsidRPr="00516FA6">
                <w:rPr>
                  <w:rFonts w:ascii="Arial" w:eastAsia="Arial" w:hAnsi="Arial" w:cs="Arial"/>
                  <w:b/>
                  <w:color w:val="0000FF"/>
                  <w:u w:val="single"/>
                </w:rPr>
                <w:t>041</w:t>
              </w:r>
            </w:hyperlink>
          </w:p>
        </w:tc>
        <w:tc>
          <w:tcPr>
            <w:tcW w:w="1170" w:type="dxa"/>
            <w:tcBorders>
              <w:bottom w:val="single" w:sz="4" w:space="0" w:color="000000"/>
            </w:tcBorders>
            <w:shd w:val="clear" w:color="auto" w:fill="FFFFFF"/>
            <w:tcMar>
              <w:top w:w="0" w:type="dxa"/>
              <w:bottom w:w="0" w:type="dxa"/>
            </w:tcMar>
            <w:vAlign w:val="center"/>
          </w:tcPr>
          <w:p w14:paraId="16435C2C" w14:textId="77777777" w:rsidR="00E30BB3" w:rsidRPr="00516FA6" w:rsidRDefault="002E5EDA">
            <w:pPr>
              <w:pBdr>
                <w:top w:val="nil"/>
                <w:left w:val="nil"/>
                <w:bottom w:val="nil"/>
                <w:right w:val="nil"/>
                <w:between w:val="nil"/>
              </w:pBdr>
              <w:tabs>
                <w:tab w:val="center" w:pos="4320"/>
                <w:tab w:val="right" w:pos="8640"/>
              </w:tabs>
              <w:rPr>
                <w:rFonts w:ascii="Arial" w:eastAsia="Arial" w:hAnsi="Arial" w:cs="Arial"/>
                <w:b/>
                <w:color w:val="000000"/>
              </w:rPr>
            </w:pPr>
            <w:r w:rsidRPr="00516FA6">
              <w:rPr>
                <w:rFonts w:ascii="Arial" w:eastAsia="Arial" w:hAnsi="Arial" w:cs="Arial"/>
                <w:b/>
                <w:color w:val="000000"/>
              </w:rPr>
              <w:t>OBDRR Title</w:t>
            </w:r>
          </w:p>
        </w:tc>
        <w:tc>
          <w:tcPr>
            <w:tcW w:w="6390" w:type="dxa"/>
            <w:tcBorders>
              <w:bottom w:val="single" w:sz="4" w:space="0" w:color="000000"/>
            </w:tcBorders>
            <w:tcMar>
              <w:top w:w="0" w:type="dxa"/>
              <w:bottom w:w="0" w:type="dxa"/>
            </w:tcMar>
            <w:vAlign w:val="center"/>
          </w:tcPr>
          <w:p w14:paraId="3133D309" w14:textId="77777777" w:rsidR="00E30BB3" w:rsidRPr="00516FA6" w:rsidRDefault="002E5EDA">
            <w:pPr>
              <w:pBdr>
                <w:top w:val="nil"/>
                <w:left w:val="nil"/>
                <w:bottom w:val="nil"/>
                <w:right w:val="nil"/>
                <w:between w:val="nil"/>
              </w:pBdr>
              <w:tabs>
                <w:tab w:val="center" w:pos="4320"/>
                <w:tab w:val="right" w:pos="8640"/>
              </w:tabs>
              <w:rPr>
                <w:rFonts w:ascii="Arial" w:eastAsia="Arial" w:hAnsi="Arial" w:cs="Arial"/>
                <w:b/>
                <w:color w:val="000000"/>
              </w:rPr>
            </w:pPr>
            <w:r w:rsidRPr="00516FA6">
              <w:rPr>
                <w:rFonts w:ascii="Arial" w:eastAsia="Arial" w:hAnsi="Arial" w:cs="Arial"/>
                <w:b/>
                <w:color w:val="000000"/>
              </w:rPr>
              <w:t>Updates to Requirements for Aggregate Load Participation in the ERCOT Markets</w:t>
            </w:r>
          </w:p>
        </w:tc>
      </w:tr>
      <w:tr w:rsidR="00E30BB3" w:rsidRPr="00516FA6" w14:paraId="5B5327D3" w14:textId="77777777">
        <w:trPr>
          <w:trHeight w:val="135"/>
        </w:trPr>
        <w:tc>
          <w:tcPr>
            <w:tcW w:w="2880" w:type="dxa"/>
            <w:gridSpan w:val="2"/>
            <w:tcBorders>
              <w:top w:val="nil"/>
              <w:left w:val="nil"/>
              <w:bottom w:val="single" w:sz="4" w:space="0" w:color="000000"/>
              <w:right w:val="nil"/>
            </w:tcBorders>
            <w:tcMar>
              <w:top w:w="0" w:type="dxa"/>
              <w:bottom w:w="0" w:type="dxa"/>
            </w:tcMar>
            <w:vAlign w:val="center"/>
          </w:tcPr>
          <w:p w14:paraId="5A23EE49" w14:textId="77777777" w:rsidR="00E30BB3" w:rsidRPr="00516FA6" w:rsidRDefault="00E30BB3">
            <w:pPr>
              <w:pBdr>
                <w:top w:val="nil"/>
                <w:left w:val="nil"/>
                <w:bottom w:val="nil"/>
                <w:right w:val="nil"/>
                <w:between w:val="nil"/>
              </w:pBdr>
              <w:rPr>
                <w:rFonts w:ascii="Arial" w:eastAsia="Arial" w:hAnsi="Arial" w:cs="Arial"/>
                <w:color w:val="000000"/>
              </w:rPr>
            </w:pPr>
          </w:p>
        </w:tc>
        <w:tc>
          <w:tcPr>
            <w:tcW w:w="7560" w:type="dxa"/>
            <w:gridSpan w:val="2"/>
            <w:tcBorders>
              <w:top w:val="single" w:sz="4" w:space="0" w:color="000000"/>
              <w:left w:val="nil"/>
              <w:bottom w:val="nil"/>
              <w:right w:val="nil"/>
            </w:tcBorders>
            <w:tcMar>
              <w:top w:w="0" w:type="dxa"/>
              <w:bottom w:w="0" w:type="dxa"/>
            </w:tcMar>
            <w:vAlign w:val="center"/>
          </w:tcPr>
          <w:p w14:paraId="2F794B86" w14:textId="77777777" w:rsidR="00E30BB3" w:rsidRPr="00516FA6" w:rsidRDefault="00E30BB3">
            <w:pPr>
              <w:pBdr>
                <w:top w:val="nil"/>
                <w:left w:val="nil"/>
                <w:bottom w:val="nil"/>
                <w:right w:val="nil"/>
                <w:between w:val="nil"/>
              </w:pBdr>
              <w:rPr>
                <w:rFonts w:ascii="Arial" w:eastAsia="Arial" w:hAnsi="Arial" w:cs="Arial"/>
                <w:color w:val="000000"/>
              </w:rPr>
            </w:pPr>
          </w:p>
        </w:tc>
      </w:tr>
      <w:tr w:rsidR="00E30BB3" w:rsidRPr="00516FA6" w14:paraId="605437C9" w14:textId="77777777">
        <w:trPr>
          <w:trHeight w:val="440"/>
        </w:trPr>
        <w:tc>
          <w:tcPr>
            <w:tcW w:w="2880"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02BA2D2" w14:textId="77777777" w:rsidR="00E30BB3" w:rsidRPr="00516FA6" w:rsidRDefault="002E5EDA">
            <w:pPr>
              <w:pBdr>
                <w:top w:val="nil"/>
                <w:left w:val="nil"/>
                <w:bottom w:val="nil"/>
                <w:right w:val="nil"/>
                <w:between w:val="nil"/>
              </w:pBdr>
              <w:tabs>
                <w:tab w:val="center" w:pos="4320"/>
                <w:tab w:val="right" w:pos="8640"/>
              </w:tabs>
              <w:rPr>
                <w:rFonts w:ascii="Arial" w:eastAsia="Arial" w:hAnsi="Arial" w:cs="Arial"/>
                <w:b/>
                <w:color w:val="000000"/>
              </w:rPr>
            </w:pPr>
            <w:r w:rsidRPr="00516FA6">
              <w:rPr>
                <w:rFonts w:ascii="Arial" w:eastAsia="Arial" w:hAnsi="Arial" w:cs="Arial"/>
                <w:b/>
                <w:color w:val="000000"/>
              </w:rPr>
              <w:t>Date</w:t>
            </w:r>
          </w:p>
        </w:tc>
        <w:tc>
          <w:tcPr>
            <w:tcW w:w="7560"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5120B9C" w14:textId="30EADB7C" w:rsidR="00E30BB3" w:rsidRPr="00516FA6" w:rsidRDefault="00145FB7">
            <w:pPr>
              <w:pBdr>
                <w:top w:val="nil"/>
                <w:left w:val="nil"/>
                <w:bottom w:val="nil"/>
                <w:right w:val="nil"/>
                <w:between w:val="nil"/>
              </w:pBdr>
              <w:rPr>
                <w:rFonts w:ascii="Arial" w:eastAsia="Arial" w:hAnsi="Arial" w:cs="Arial"/>
                <w:color w:val="000000"/>
              </w:rPr>
            </w:pPr>
            <w:r>
              <w:rPr>
                <w:rFonts w:ascii="Arial" w:eastAsia="Arial" w:hAnsi="Arial" w:cs="Arial"/>
                <w:color w:val="000000"/>
              </w:rPr>
              <w:t>June 15, 2022</w:t>
            </w:r>
          </w:p>
        </w:tc>
      </w:tr>
      <w:tr w:rsidR="00E30BB3" w:rsidRPr="00516FA6" w14:paraId="43DE7E7F" w14:textId="77777777">
        <w:trPr>
          <w:trHeight w:val="195"/>
        </w:trPr>
        <w:tc>
          <w:tcPr>
            <w:tcW w:w="2880" w:type="dxa"/>
            <w:gridSpan w:val="2"/>
            <w:tcBorders>
              <w:top w:val="single" w:sz="4" w:space="0" w:color="000000"/>
              <w:left w:val="nil"/>
              <w:bottom w:val="nil"/>
              <w:right w:val="nil"/>
            </w:tcBorders>
            <w:shd w:val="clear" w:color="auto" w:fill="FFFFFF"/>
            <w:tcMar>
              <w:top w:w="0" w:type="dxa"/>
              <w:bottom w:w="0" w:type="dxa"/>
            </w:tcMar>
            <w:vAlign w:val="center"/>
          </w:tcPr>
          <w:p w14:paraId="19ED0B3D" w14:textId="77777777" w:rsidR="00E30BB3" w:rsidRPr="00516FA6" w:rsidRDefault="00E30BB3">
            <w:pPr>
              <w:pBdr>
                <w:top w:val="nil"/>
                <w:left w:val="nil"/>
                <w:bottom w:val="nil"/>
                <w:right w:val="nil"/>
                <w:between w:val="nil"/>
              </w:pBdr>
              <w:rPr>
                <w:rFonts w:ascii="Arial" w:eastAsia="Arial" w:hAnsi="Arial" w:cs="Arial"/>
                <w:color w:val="000000"/>
              </w:rPr>
            </w:pPr>
          </w:p>
        </w:tc>
        <w:tc>
          <w:tcPr>
            <w:tcW w:w="7560" w:type="dxa"/>
            <w:gridSpan w:val="2"/>
            <w:tcBorders>
              <w:top w:val="nil"/>
              <w:left w:val="nil"/>
              <w:bottom w:val="nil"/>
              <w:right w:val="nil"/>
            </w:tcBorders>
            <w:tcMar>
              <w:top w:w="0" w:type="dxa"/>
              <w:bottom w:w="0" w:type="dxa"/>
            </w:tcMar>
            <w:vAlign w:val="center"/>
          </w:tcPr>
          <w:p w14:paraId="35D4E83F" w14:textId="77777777" w:rsidR="00E30BB3" w:rsidRPr="00516FA6" w:rsidRDefault="00E30BB3">
            <w:pPr>
              <w:pBdr>
                <w:top w:val="nil"/>
                <w:left w:val="nil"/>
                <w:bottom w:val="nil"/>
                <w:right w:val="nil"/>
                <w:between w:val="nil"/>
              </w:pBdr>
              <w:rPr>
                <w:rFonts w:ascii="Arial" w:eastAsia="Arial" w:hAnsi="Arial" w:cs="Arial"/>
                <w:color w:val="000000"/>
              </w:rPr>
            </w:pPr>
          </w:p>
        </w:tc>
      </w:tr>
      <w:tr w:rsidR="00E30BB3" w:rsidRPr="00516FA6" w14:paraId="3E6B646F" w14:textId="77777777">
        <w:trPr>
          <w:trHeight w:val="440"/>
        </w:trPr>
        <w:tc>
          <w:tcPr>
            <w:tcW w:w="10440" w:type="dxa"/>
            <w:gridSpan w:val="4"/>
            <w:tcBorders>
              <w:top w:val="single" w:sz="4" w:space="0" w:color="000000"/>
            </w:tcBorders>
            <w:shd w:val="clear" w:color="auto" w:fill="FFFFFF"/>
            <w:tcMar>
              <w:top w:w="0" w:type="dxa"/>
              <w:bottom w:w="0" w:type="dxa"/>
            </w:tcMar>
            <w:vAlign w:val="center"/>
          </w:tcPr>
          <w:p w14:paraId="49A79E29" w14:textId="77777777" w:rsidR="00E30BB3" w:rsidRPr="00516FA6" w:rsidRDefault="002E5EDA">
            <w:pPr>
              <w:pBdr>
                <w:top w:val="nil"/>
                <w:left w:val="nil"/>
                <w:bottom w:val="nil"/>
                <w:right w:val="nil"/>
                <w:between w:val="nil"/>
              </w:pBdr>
              <w:tabs>
                <w:tab w:val="center" w:pos="4320"/>
                <w:tab w:val="right" w:pos="8640"/>
              </w:tabs>
              <w:jc w:val="center"/>
              <w:rPr>
                <w:rFonts w:ascii="Arial" w:eastAsia="Arial" w:hAnsi="Arial" w:cs="Arial"/>
                <w:b/>
                <w:color w:val="000000"/>
              </w:rPr>
            </w:pPr>
            <w:r w:rsidRPr="00516FA6">
              <w:rPr>
                <w:rFonts w:ascii="Arial" w:eastAsia="Arial" w:hAnsi="Arial" w:cs="Arial"/>
                <w:b/>
                <w:color w:val="000000"/>
              </w:rPr>
              <w:t>Submitter’s Information</w:t>
            </w:r>
          </w:p>
        </w:tc>
      </w:tr>
      <w:tr w:rsidR="00E30BB3" w:rsidRPr="00516FA6" w14:paraId="3EBBD276" w14:textId="77777777">
        <w:trPr>
          <w:trHeight w:val="350"/>
        </w:trPr>
        <w:tc>
          <w:tcPr>
            <w:tcW w:w="2880" w:type="dxa"/>
            <w:gridSpan w:val="2"/>
            <w:shd w:val="clear" w:color="auto" w:fill="FFFFFF"/>
            <w:tcMar>
              <w:top w:w="0" w:type="dxa"/>
              <w:bottom w:w="0" w:type="dxa"/>
            </w:tcMar>
            <w:vAlign w:val="center"/>
          </w:tcPr>
          <w:p w14:paraId="38F8D27D" w14:textId="77777777" w:rsidR="00E30BB3" w:rsidRPr="00516FA6" w:rsidRDefault="002E5EDA">
            <w:pPr>
              <w:pBdr>
                <w:top w:val="nil"/>
                <w:left w:val="nil"/>
                <w:bottom w:val="nil"/>
                <w:right w:val="nil"/>
                <w:between w:val="nil"/>
              </w:pBdr>
              <w:tabs>
                <w:tab w:val="center" w:pos="4320"/>
                <w:tab w:val="right" w:pos="8640"/>
              </w:tabs>
              <w:rPr>
                <w:rFonts w:ascii="Arial" w:eastAsia="Arial" w:hAnsi="Arial" w:cs="Arial"/>
                <w:b/>
                <w:color w:val="000000"/>
              </w:rPr>
            </w:pPr>
            <w:r w:rsidRPr="00516FA6">
              <w:rPr>
                <w:rFonts w:ascii="Arial" w:eastAsia="Arial" w:hAnsi="Arial" w:cs="Arial"/>
                <w:b/>
                <w:color w:val="000000"/>
              </w:rPr>
              <w:t>Name</w:t>
            </w:r>
          </w:p>
        </w:tc>
        <w:tc>
          <w:tcPr>
            <w:tcW w:w="7560" w:type="dxa"/>
            <w:gridSpan w:val="2"/>
            <w:tcMar>
              <w:top w:w="0" w:type="dxa"/>
              <w:bottom w:w="0" w:type="dxa"/>
            </w:tcMar>
            <w:vAlign w:val="center"/>
          </w:tcPr>
          <w:p w14:paraId="3CAFC8EC" w14:textId="77777777" w:rsidR="00E30BB3" w:rsidRPr="00516FA6" w:rsidRDefault="002E5EDA">
            <w:pPr>
              <w:pBdr>
                <w:top w:val="nil"/>
                <w:left w:val="nil"/>
                <w:bottom w:val="nil"/>
                <w:right w:val="nil"/>
                <w:between w:val="nil"/>
              </w:pBdr>
              <w:rPr>
                <w:rFonts w:ascii="Arial" w:eastAsia="Arial" w:hAnsi="Arial" w:cs="Arial"/>
                <w:color w:val="000000"/>
              </w:rPr>
            </w:pPr>
            <w:r w:rsidRPr="00516FA6">
              <w:rPr>
                <w:rFonts w:ascii="Arial" w:eastAsia="Arial" w:hAnsi="Arial" w:cs="Arial"/>
              </w:rPr>
              <w:t>James McGinniss</w:t>
            </w:r>
          </w:p>
        </w:tc>
      </w:tr>
      <w:tr w:rsidR="00E30BB3" w:rsidRPr="00516FA6" w14:paraId="3F819DFD" w14:textId="77777777">
        <w:trPr>
          <w:trHeight w:val="350"/>
        </w:trPr>
        <w:tc>
          <w:tcPr>
            <w:tcW w:w="2880" w:type="dxa"/>
            <w:gridSpan w:val="2"/>
            <w:shd w:val="clear" w:color="auto" w:fill="FFFFFF"/>
            <w:tcMar>
              <w:top w:w="0" w:type="dxa"/>
              <w:bottom w:w="0" w:type="dxa"/>
            </w:tcMar>
            <w:vAlign w:val="center"/>
          </w:tcPr>
          <w:p w14:paraId="4685D2B5" w14:textId="77777777" w:rsidR="00E30BB3" w:rsidRPr="00516FA6" w:rsidRDefault="002E5EDA">
            <w:pPr>
              <w:pBdr>
                <w:top w:val="nil"/>
                <w:left w:val="nil"/>
                <w:bottom w:val="nil"/>
                <w:right w:val="nil"/>
                <w:between w:val="nil"/>
              </w:pBdr>
              <w:tabs>
                <w:tab w:val="center" w:pos="4320"/>
                <w:tab w:val="right" w:pos="8640"/>
              </w:tabs>
              <w:rPr>
                <w:rFonts w:ascii="Arial" w:eastAsia="Arial" w:hAnsi="Arial" w:cs="Arial"/>
                <w:b/>
                <w:color w:val="000000"/>
              </w:rPr>
            </w:pPr>
            <w:r w:rsidRPr="00516FA6">
              <w:rPr>
                <w:rFonts w:ascii="Arial" w:eastAsia="Arial" w:hAnsi="Arial" w:cs="Arial"/>
                <w:b/>
                <w:color w:val="000000"/>
              </w:rPr>
              <w:t>E-mail Address</w:t>
            </w:r>
          </w:p>
        </w:tc>
        <w:tc>
          <w:tcPr>
            <w:tcW w:w="7560" w:type="dxa"/>
            <w:gridSpan w:val="2"/>
            <w:tcMar>
              <w:top w:w="0" w:type="dxa"/>
              <w:bottom w:w="0" w:type="dxa"/>
            </w:tcMar>
            <w:vAlign w:val="center"/>
          </w:tcPr>
          <w:p w14:paraId="16F13B6E" w14:textId="230DBEAA" w:rsidR="00E30BB3" w:rsidRPr="00516FA6" w:rsidRDefault="00516FA6">
            <w:pPr>
              <w:pBdr>
                <w:top w:val="nil"/>
                <w:left w:val="nil"/>
                <w:bottom w:val="nil"/>
                <w:right w:val="nil"/>
                <w:between w:val="nil"/>
              </w:pBdr>
              <w:rPr>
                <w:rFonts w:ascii="Arial" w:eastAsia="Arial" w:hAnsi="Arial" w:cs="Arial"/>
                <w:color w:val="000000"/>
              </w:rPr>
            </w:pPr>
            <w:hyperlink r:id="rId9" w:history="1">
              <w:r w:rsidRPr="00EF5A0C">
                <w:rPr>
                  <w:rStyle w:val="Hyperlink"/>
                  <w:rFonts w:ascii="Arial" w:eastAsia="Arial" w:hAnsi="Arial" w:cs="Arial"/>
                </w:rPr>
                <w:t>james@davidenergy.com</w:t>
              </w:r>
            </w:hyperlink>
          </w:p>
        </w:tc>
      </w:tr>
      <w:tr w:rsidR="00E30BB3" w:rsidRPr="00516FA6" w14:paraId="1A02F293" w14:textId="77777777">
        <w:trPr>
          <w:trHeight w:val="350"/>
        </w:trPr>
        <w:tc>
          <w:tcPr>
            <w:tcW w:w="2880" w:type="dxa"/>
            <w:gridSpan w:val="2"/>
            <w:shd w:val="clear" w:color="auto" w:fill="FFFFFF"/>
            <w:tcMar>
              <w:top w:w="0" w:type="dxa"/>
              <w:bottom w:w="0" w:type="dxa"/>
            </w:tcMar>
            <w:vAlign w:val="center"/>
          </w:tcPr>
          <w:p w14:paraId="6A96C122" w14:textId="77777777" w:rsidR="00E30BB3" w:rsidRPr="00516FA6" w:rsidRDefault="002E5EDA">
            <w:pPr>
              <w:pBdr>
                <w:top w:val="nil"/>
                <w:left w:val="nil"/>
                <w:bottom w:val="nil"/>
                <w:right w:val="nil"/>
                <w:between w:val="nil"/>
              </w:pBdr>
              <w:tabs>
                <w:tab w:val="center" w:pos="4320"/>
                <w:tab w:val="right" w:pos="8640"/>
              </w:tabs>
              <w:rPr>
                <w:rFonts w:ascii="Arial" w:eastAsia="Arial" w:hAnsi="Arial" w:cs="Arial"/>
                <w:b/>
                <w:color w:val="000000"/>
              </w:rPr>
            </w:pPr>
            <w:r w:rsidRPr="00516FA6">
              <w:rPr>
                <w:rFonts w:ascii="Arial" w:eastAsia="Arial" w:hAnsi="Arial" w:cs="Arial"/>
                <w:b/>
                <w:color w:val="000000"/>
              </w:rPr>
              <w:t>Company</w:t>
            </w:r>
          </w:p>
        </w:tc>
        <w:tc>
          <w:tcPr>
            <w:tcW w:w="7560" w:type="dxa"/>
            <w:gridSpan w:val="2"/>
            <w:tcMar>
              <w:top w:w="0" w:type="dxa"/>
              <w:bottom w:w="0" w:type="dxa"/>
            </w:tcMar>
            <w:vAlign w:val="center"/>
          </w:tcPr>
          <w:p w14:paraId="347C2778" w14:textId="2115DC67" w:rsidR="00E30BB3" w:rsidRPr="00516FA6" w:rsidRDefault="002E5EDA">
            <w:pPr>
              <w:pBdr>
                <w:top w:val="nil"/>
                <w:left w:val="nil"/>
                <w:bottom w:val="nil"/>
                <w:right w:val="nil"/>
                <w:between w:val="nil"/>
              </w:pBdr>
              <w:rPr>
                <w:rFonts w:ascii="Arial" w:eastAsia="Arial" w:hAnsi="Arial" w:cs="Arial"/>
                <w:color w:val="000000"/>
              </w:rPr>
            </w:pPr>
            <w:r w:rsidRPr="00516FA6">
              <w:rPr>
                <w:rFonts w:ascii="Arial" w:eastAsia="Arial" w:hAnsi="Arial" w:cs="Arial"/>
                <w:color w:val="000000"/>
              </w:rPr>
              <w:t>David Energy</w:t>
            </w:r>
            <w:r w:rsidR="007E3804" w:rsidRPr="00516FA6">
              <w:rPr>
                <w:rFonts w:ascii="Arial" w:eastAsia="Arial" w:hAnsi="Arial" w:cs="Arial"/>
                <w:color w:val="000000"/>
              </w:rPr>
              <w:t xml:space="preserve"> Supply (Texas) LLC</w:t>
            </w:r>
          </w:p>
        </w:tc>
      </w:tr>
      <w:tr w:rsidR="00E30BB3" w:rsidRPr="00516FA6" w14:paraId="5DEA0041" w14:textId="77777777">
        <w:trPr>
          <w:trHeight w:val="350"/>
        </w:trPr>
        <w:tc>
          <w:tcPr>
            <w:tcW w:w="2880" w:type="dxa"/>
            <w:gridSpan w:val="2"/>
            <w:tcBorders>
              <w:bottom w:val="single" w:sz="4" w:space="0" w:color="000000"/>
            </w:tcBorders>
            <w:shd w:val="clear" w:color="auto" w:fill="FFFFFF"/>
            <w:tcMar>
              <w:top w:w="0" w:type="dxa"/>
              <w:bottom w:w="0" w:type="dxa"/>
            </w:tcMar>
            <w:vAlign w:val="center"/>
          </w:tcPr>
          <w:p w14:paraId="7E20ABEB" w14:textId="77777777" w:rsidR="00E30BB3" w:rsidRPr="00516FA6" w:rsidRDefault="002E5EDA">
            <w:pPr>
              <w:pBdr>
                <w:top w:val="nil"/>
                <w:left w:val="nil"/>
                <w:bottom w:val="nil"/>
                <w:right w:val="nil"/>
                <w:between w:val="nil"/>
              </w:pBdr>
              <w:tabs>
                <w:tab w:val="center" w:pos="4320"/>
                <w:tab w:val="right" w:pos="8640"/>
              </w:tabs>
              <w:rPr>
                <w:rFonts w:ascii="Arial" w:eastAsia="Arial" w:hAnsi="Arial" w:cs="Arial"/>
                <w:b/>
                <w:color w:val="000000"/>
              </w:rPr>
            </w:pPr>
            <w:r w:rsidRPr="00516FA6">
              <w:rPr>
                <w:rFonts w:ascii="Arial" w:eastAsia="Arial" w:hAnsi="Arial" w:cs="Arial"/>
                <w:b/>
                <w:color w:val="000000"/>
              </w:rPr>
              <w:t>Phone Number</w:t>
            </w:r>
          </w:p>
        </w:tc>
        <w:tc>
          <w:tcPr>
            <w:tcW w:w="7560" w:type="dxa"/>
            <w:gridSpan w:val="2"/>
            <w:tcBorders>
              <w:bottom w:val="single" w:sz="4" w:space="0" w:color="000000"/>
            </w:tcBorders>
            <w:tcMar>
              <w:top w:w="0" w:type="dxa"/>
              <w:bottom w:w="0" w:type="dxa"/>
            </w:tcMar>
            <w:vAlign w:val="center"/>
          </w:tcPr>
          <w:p w14:paraId="46705141" w14:textId="733B8D9D" w:rsidR="00E30BB3" w:rsidRPr="00516FA6" w:rsidRDefault="007E3804">
            <w:pPr>
              <w:pBdr>
                <w:top w:val="nil"/>
                <w:left w:val="nil"/>
                <w:bottom w:val="nil"/>
                <w:right w:val="nil"/>
                <w:between w:val="nil"/>
              </w:pBdr>
              <w:rPr>
                <w:rFonts w:ascii="Arial" w:eastAsia="Arial" w:hAnsi="Arial" w:cs="Arial"/>
                <w:color w:val="000000"/>
              </w:rPr>
            </w:pPr>
            <w:r w:rsidRPr="00516FA6">
              <w:rPr>
                <w:rFonts w:ascii="Arial" w:eastAsia="Arial" w:hAnsi="Arial" w:cs="Arial"/>
                <w:color w:val="000000"/>
              </w:rPr>
              <w:t>(917) 924-4095</w:t>
            </w:r>
          </w:p>
        </w:tc>
      </w:tr>
      <w:tr w:rsidR="00E30BB3" w:rsidRPr="00516FA6" w14:paraId="62246696" w14:textId="77777777">
        <w:trPr>
          <w:trHeight w:val="350"/>
        </w:trPr>
        <w:tc>
          <w:tcPr>
            <w:tcW w:w="2880" w:type="dxa"/>
            <w:gridSpan w:val="2"/>
            <w:shd w:val="clear" w:color="auto" w:fill="FFFFFF"/>
            <w:tcMar>
              <w:top w:w="0" w:type="dxa"/>
              <w:bottom w:w="0" w:type="dxa"/>
            </w:tcMar>
            <w:vAlign w:val="center"/>
          </w:tcPr>
          <w:p w14:paraId="7518AF0D" w14:textId="77777777" w:rsidR="00E30BB3" w:rsidRPr="00516FA6" w:rsidRDefault="002E5EDA">
            <w:pPr>
              <w:pBdr>
                <w:top w:val="nil"/>
                <w:left w:val="nil"/>
                <w:bottom w:val="nil"/>
                <w:right w:val="nil"/>
                <w:between w:val="nil"/>
              </w:pBdr>
              <w:tabs>
                <w:tab w:val="center" w:pos="4320"/>
                <w:tab w:val="right" w:pos="8640"/>
              </w:tabs>
              <w:rPr>
                <w:rFonts w:ascii="Arial" w:eastAsia="Arial" w:hAnsi="Arial" w:cs="Arial"/>
                <w:b/>
                <w:color w:val="000000"/>
              </w:rPr>
            </w:pPr>
            <w:r w:rsidRPr="00516FA6">
              <w:rPr>
                <w:rFonts w:ascii="Arial" w:eastAsia="Arial" w:hAnsi="Arial" w:cs="Arial"/>
                <w:b/>
                <w:color w:val="000000"/>
              </w:rPr>
              <w:t>Cell Number</w:t>
            </w:r>
          </w:p>
        </w:tc>
        <w:tc>
          <w:tcPr>
            <w:tcW w:w="7560" w:type="dxa"/>
            <w:gridSpan w:val="2"/>
            <w:tcMar>
              <w:top w:w="0" w:type="dxa"/>
              <w:bottom w:w="0" w:type="dxa"/>
            </w:tcMar>
            <w:vAlign w:val="center"/>
          </w:tcPr>
          <w:p w14:paraId="4F008613" w14:textId="77777777" w:rsidR="00E30BB3" w:rsidRPr="00516FA6" w:rsidRDefault="00E30BB3">
            <w:pPr>
              <w:pBdr>
                <w:top w:val="nil"/>
                <w:left w:val="nil"/>
                <w:bottom w:val="nil"/>
                <w:right w:val="nil"/>
                <w:between w:val="nil"/>
              </w:pBdr>
              <w:rPr>
                <w:rFonts w:ascii="Arial" w:eastAsia="Arial" w:hAnsi="Arial" w:cs="Arial"/>
                <w:color w:val="000000"/>
              </w:rPr>
            </w:pPr>
          </w:p>
        </w:tc>
      </w:tr>
      <w:tr w:rsidR="00E30BB3" w:rsidRPr="00516FA6" w14:paraId="5251FF20" w14:textId="77777777">
        <w:trPr>
          <w:trHeight w:val="350"/>
        </w:trPr>
        <w:tc>
          <w:tcPr>
            <w:tcW w:w="2880" w:type="dxa"/>
            <w:gridSpan w:val="2"/>
            <w:tcBorders>
              <w:bottom w:val="single" w:sz="4" w:space="0" w:color="000000"/>
            </w:tcBorders>
            <w:shd w:val="clear" w:color="auto" w:fill="FFFFFF"/>
            <w:tcMar>
              <w:top w:w="0" w:type="dxa"/>
              <w:bottom w:w="0" w:type="dxa"/>
            </w:tcMar>
            <w:vAlign w:val="center"/>
          </w:tcPr>
          <w:p w14:paraId="2980609C" w14:textId="77777777" w:rsidR="00E30BB3" w:rsidRPr="00516FA6" w:rsidRDefault="002E5EDA">
            <w:pPr>
              <w:pBdr>
                <w:top w:val="nil"/>
                <w:left w:val="nil"/>
                <w:bottom w:val="nil"/>
                <w:right w:val="nil"/>
                <w:between w:val="nil"/>
              </w:pBdr>
              <w:tabs>
                <w:tab w:val="center" w:pos="4320"/>
                <w:tab w:val="right" w:pos="8640"/>
              </w:tabs>
              <w:rPr>
                <w:rFonts w:ascii="Arial" w:eastAsia="Arial" w:hAnsi="Arial" w:cs="Arial"/>
                <w:b/>
                <w:color w:val="000000"/>
              </w:rPr>
            </w:pPr>
            <w:r w:rsidRPr="00516FA6">
              <w:rPr>
                <w:rFonts w:ascii="Arial" w:eastAsia="Arial" w:hAnsi="Arial" w:cs="Arial"/>
                <w:b/>
                <w:color w:val="000000"/>
              </w:rPr>
              <w:t>Market Segment</w:t>
            </w:r>
          </w:p>
        </w:tc>
        <w:tc>
          <w:tcPr>
            <w:tcW w:w="7560" w:type="dxa"/>
            <w:gridSpan w:val="2"/>
            <w:tcBorders>
              <w:bottom w:val="single" w:sz="4" w:space="0" w:color="000000"/>
            </w:tcBorders>
            <w:tcMar>
              <w:top w:w="0" w:type="dxa"/>
              <w:bottom w:w="0" w:type="dxa"/>
            </w:tcMar>
            <w:vAlign w:val="center"/>
          </w:tcPr>
          <w:p w14:paraId="3D070B87" w14:textId="5B21BBF6" w:rsidR="00E30BB3" w:rsidRPr="00516FA6" w:rsidRDefault="002E5EDA">
            <w:pPr>
              <w:pBdr>
                <w:top w:val="nil"/>
                <w:left w:val="nil"/>
                <w:bottom w:val="nil"/>
                <w:right w:val="nil"/>
                <w:between w:val="nil"/>
              </w:pBdr>
              <w:rPr>
                <w:rFonts w:ascii="Arial" w:eastAsia="Arial" w:hAnsi="Arial" w:cs="Arial"/>
                <w:color w:val="000000"/>
              </w:rPr>
            </w:pPr>
            <w:r w:rsidRPr="00516FA6">
              <w:rPr>
                <w:rFonts w:ascii="Arial" w:eastAsia="Arial" w:hAnsi="Arial" w:cs="Arial"/>
              </w:rPr>
              <w:t>No</w:t>
            </w:r>
            <w:r w:rsidR="00516FA6">
              <w:rPr>
                <w:rFonts w:ascii="Arial" w:eastAsia="Arial" w:hAnsi="Arial" w:cs="Arial"/>
              </w:rPr>
              <w:t>t applicable</w:t>
            </w:r>
          </w:p>
        </w:tc>
      </w:tr>
    </w:tbl>
    <w:p w14:paraId="2EB55A99" w14:textId="7EA6853D" w:rsidR="00E30BB3" w:rsidRDefault="00E30BB3">
      <w:pPr>
        <w:pBdr>
          <w:top w:val="nil"/>
          <w:left w:val="nil"/>
          <w:bottom w:val="nil"/>
          <w:right w:val="nil"/>
          <w:between w:val="nil"/>
        </w:pBdr>
        <w:rPr>
          <w:rFonts w:ascii="Arial" w:eastAsia="Arial" w:hAnsi="Arial" w:cs="Arial"/>
          <w:color w:val="000000"/>
        </w:rPr>
      </w:pPr>
    </w:p>
    <w:tbl>
      <w:tblPr>
        <w:tblStyle w:val="a2"/>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516FA6" w:rsidRPr="00516FA6" w14:paraId="51AA9A55" w14:textId="77777777" w:rsidTr="00957B87">
        <w:trPr>
          <w:trHeight w:val="350"/>
        </w:trPr>
        <w:tc>
          <w:tcPr>
            <w:tcW w:w="10440" w:type="dxa"/>
            <w:tcBorders>
              <w:bottom w:val="single" w:sz="4" w:space="0" w:color="000000"/>
            </w:tcBorders>
            <w:shd w:val="clear" w:color="auto" w:fill="FFFFFF"/>
            <w:tcMar>
              <w:top w:w="0" w:type="dxa"/>
              <w:bottom w:w="0" w:type="dxa"/>
            </w:tcMar>
            <w:vAlign w:val="center"/>
          </w:tcPr>
          <w:p w14:paraId="2847483A" w14:textId="3D77E3E1" w:rsidR="00516FA6" w:rsidRPr="00516FA6" w:rsidRDefault="00516FA6" w:rsidP="00957B87">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Comments</w:t>
            </w:r>
          </w:p>
        </w:tc>
      </w:tr>
    </w:tbl>
    <w:p w14:paraId="68EAD017" w14:textId="4AC92204" w:rsidR="00E30BB3" w:rsidRPr="00516FA6" w:rsidRDefault="00145FB7" w:rsidP="00145FB7">
      <w:pPr>
        <w:pBdr>
          <w:top w:val="nil"/>
          <w:left w:val="nil"/>
          <w:bottom w:val="nil"/>
          <w:right w:val="nil"/>
          <w:between w:val="nil"/>
        </w:pBdr>
        <w:spacing w:before="120" w:after="120"/>
        <w:rPr>
          <w:rFonts w:ascii="Arial" w:eastAsia="Arial" w:hAnsi="Arial" w:cs="Arial"/>
        </w:rPr>
      </w:pPr>
      <w:hyperlink r:id="rId10">
        <w:r w:rsidR="002E5EDA" w:rsidRPr="00516FA6">
          <w:rPr>
            <w:rFonts w:ascii="Arial" w:eastAsia="Arial" w:hAnsi="Arial" w:cs="Arial"/>
            <w:color w:val="1155CC"/>
            <w:u w:val="single"/>
          </w:rPr>
          <w:t>David Energy</w:t>
        </w:r>
      </w:hyperlink>
      <w:r w:rsidR="002E5EDA" w:rsidRPr="00516FA6">
        <w:rPr>
          <w:rFonts w:ascii="Arial" w:eastAsia="Arial" w:hAnsi="Arial" w:cs="Arial"/>
        </w:rPr>
        <w:t xml:space="preserve"> unequivocally supports </w:t>
      </w:r>
      <w:r>
        <w:rPr>
          <w:rFonts w:ascii="Arial" w:eastAsia="Arial" w:hAnsi="Arial" w:cs="Arial"/>
        </w:rPr>
        <w:t>Other Binding Document Revision Request (</w:t>
      </w:r>
      <w:r w:rsidR="002E5EDA" w:rsidRPr="00516FA6">
        <w:rPr>
          <w:rFonts w:ascii="Arial" w:eastAsia="Arial" w:hAnsi="Arial" w:cs="Arial"/>
        </w:rPr>
        <w:t>OBDRR</w:t>
      </w:r>
      <w:r>
        <w:rPr>
          <w:rFonts w:ascii="Arial" w:eastAsia="Arial" w:hAnsi="Arial" w:cs="Arial"/>
        </w:rPr>
        <w:t xml:space="preserve">) </w:t>
      </w:r>
      <w:r w:rsidR="002E5EDA" w:rsidRPr="00516FA6">
        <w:rPr>
          <w:rFonts w:ascii="Arial" w:eastAsia="Arial" w:hAnsi="Arial" w:cs="Arial"/>
        </w:rPr>
        <w:t xml:space="preserve">041 because it will enable energy providers to unlock a new wave of price-responsive, dispatchable MWs from distributed energy resources - and allow resources to be dispatched at the time where they have the highest value to the grid (for example, over the two highest value hours of the day when ERCOT prices indicate over five-minute intervals that the capacity is urgently needed). </w:t>
      </w:r>
    </w:p>
    <w:p w14:paraId="4B6B2B57" w14:textId="77777777" w:rsidR="00E30BB3" w:rsidRPr="00516FA6" w:rsidRDefault="002E5EDA" w:rsidP="00145FB7">
      <w:pPr>
        <w:pBdr>
          <w:top w:val="nil"/>
          <w:left w:val="nil"/>
          <w:bottom w:val="nil"/>
          <w:right w:val="nil"/>
          <w:between w:val="nil"/>
        </w:pBdr>
        <w:spacing w:before="120" w:after="120"/>
        <w:rPr>
          <w:rFonts w:ascii="Arial" w:eastAsia="Arial" w:hAnsi="Arial" w:cs="Arial"/>
        </w:rPr>
      </w:pPr>
      <w:r w:rsidRPr="00516FA6">
        <w:rPr>
          <w:rFonts w:ascii="Arial" w:eastAsia="Arial" w:hAnsi="Arial" w:cs="Arial"/>
        </w:rPr>
        <w:t xml:space="preserve">At the ERCOT VPP Workshop hosted by Tesla on May 31st 2022, David Energy shared its perspective on why this is so crucial for a resilient energy grid in Texas (presentation linked </w:t>
      </w:r>
      <w:hyperlink r:id="rId11">
        <w:r w:rsidRPr="00516FA6">
          <w:rPr>
            <w:rFonts w:ascii="Arial" w:eastAsia="Arial" w:hAnsi="Arial" w:cs="Arial"/>
            <w:color w:val="1155CC"/>
            <w:u w:val="single"/>
          </w:rPr>
          <w:t>here</w:t>
        </w:r>
      </w:hyperlink>
      <w:r w:rsidRPr="00516FA6">
        <w:rPr>
          <w:rFonts w:ascii="Arial" w:eastAsia="Arial" w:hAnsi="Arial" w:cs="Arial"/>
        </w:rPr>
        <w:t>). Key takeaways from David Energy’s presentation below:</w:t>
      </w:r>
    </w:p>
    <w:p w14:paraId="3469149D" w14:textId="77777777" w:rsidR="00E30BB3" w:rsidRPr="00516FA6" w:rsidRDefault="002E5EDA" w:rsidP="00145FB7">
      <w:pPr>
        <w:pBdr>
          <w:top w:val="nil"/>
          <w:left w:val="nil"/>
          <w:bottom w:val="nil"/>
          <w:right w:val="nil"/>
          <w:between w:val="nil"/>
        </w:pBdr>
        <w:spacing w:before="120" w:after="120"/>
        <w:rPr>
          <w:rFonts w:ascii="Arial" w:eastAsia="Arial" w:hAnsi="Arial" w:cs="Arial"/>
        </w:rPr>
      </w:pPr>
      <w:r w:rsidRPr="00516FA6">
        <w:rPr>
          <w:rFonts w:ascii="Arial" w:eastAsia="Arial" w:hAnsi="Arial" w:cs="Arial"/>
          <w:u w:val="single"/>
        </w:rPr>
        <w:t>Context:</w:t>
      </w:r>
      <w:r w:rsidRPr="00516FA6">
        <w:rPr>
          <w:rFonts w:ascii="Arial" w:eastAsia="Arial" w:hAnsi="Arial" w:cs="Arial"/>
        </w:rPr>
        <w:t xml:space="preserve"> The grid is rapidly decentralizing as customer demand for distributed energy resources (DERs) rises. Residential consumers are buying EVs, rooftop solar, smart thermostats, and batteries to reduce their energy costs and hedge against grid failures; commercial consumers are buying generators and batteries to protect their businesses from the negative impacts of outages.</w:t>
      </w:r>
    </w:p>
    <w:p w14:paraId="3E48ACE4" w14:textId="77777777" w:rsidR="00E30BB3" w:rsidRPr="00516FA6" w:rsidRDefault="002E5EDA" w:rsidP="00145FB7">
      <w:pPr>
        <w:pBdr>
          <w:top w:val="nil"/>
          <w:left w:val="nil"/>
          <w:bottom w:val="nil"/>
          <w:right w:val="nil"/>
          <w:between w:val="nil"/>
        </w:pBdr>
        <w:spacing w:before="120" w:after="120"/>
        <w:jc w:val="center"/>
        <w:rPr>
          <w:rFonts w:ascii="Arial" w:eastAsia="Arial" w:hAnsi="Arial" w:cs="Arial"/>
        </w:rPr>
      </w:pPr>
      <w:r w:rsidRPr="00516FA6">
        <w:rPr>
          <w:rFonts w:ascii="Arial" w:eastAsia="Arial" w:hAnsi="Arial" w:cs="Arial"/>
          <w:noProof/>
        </w:rPr>
        <w:lastRenderedPageBreak/>
        <w:drawing>
          <wp:inline distT="114300" distB="114300" distL="114300" distR="114300" wp14:anchorId="19D83BE0" wp14:editId="177DAD56">
            <wp:extent cx="4748213" cy="2679862"/>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748213" cy="2679862"/>
                    </a:xfrm>
                    <a:prstGeom prst="rect">
                      <a:avLst/>
                    </a:prstGeom>
                    <a:ln/>
                  </pic:spPr>
                </pic:pic>
              </a:graphicData>
            </a:graphic>
          </wp:inline>
        </w:drawing>
      </w:r>
    </w:p>
    <w:p w14:paraId="051D8937" w14:textId="77777777" w:rsidR="00E30BB3" w:rsidRPr="00516FA6" w:rsidRDefault="002E5EDA" w:rsidP="00145FB7">
      <w:pPr>
        <w:pBdr>
          <w:top w:val="nil"/>
          <w:left w:val="nil"/>
          <w:bottom w:val="nil"/>
          <w:right w:val="nil"/>
          <w:between w:val="nil"/>
        </w:pBdr>
        <w:spacing w:before="120" w:after="120"/>
        <w:rPr>
          <w:rFonts w:ascii="Arial" w:eastAsia="Arial" w:hAnsi="Arial" w:cs="Arial"/>
          <w:color w:val="FF0000"/>
        </w:rPr>
      </w:pPr>
      <w:r w:rsidRPr="00516FA6">
        <w:rPr>
          <w:rFonts w:ascii="Arial" w:eastAsia="Arial" w:hAnsi="Arial" w:cs="Arial"/>
          <w:u w:val="single"/>
        </w:rPr>
        <w:t>Our Model:</w:t>
      </w:r>
      <w:r w:rsidRPr="00516FA6">
        <w:rPr>
          <w:rFonts w:ascii="Arial" w:eastAsia="Arial" w:hAnsi="Arial" w:cs="Arial"/>
        </w:rPr>
        <w:t xml:space="preserve"> David Energy is an innovative Retail Energy Provider bringing together load-serving capabilities with endpoint device management. We are vertically integrated from the purchasing and serving power up to distributed generation on the customer (or load) side, in contrast to legacy gentailers which are vertically integrated from purchasing and serving power to wholesale generation. </w:t>
      </w:r>
    </w:p>
    <w:p w14:paraId="5925A30C" w14:textId="77777777" w:rsidR="00E30BB3" w:rsidRPr="00516FA6" w:rsidRDefault="002E5EDA" w:rsidP="00145FB7">
      <w:pPr>
        <w:numPr>
          <w:ilvl w:val="0"/>
          <w:numId w:val="2"/>
        </w:numPr>
        <w:pBdr>
          <w:top w:val="nil"/>
          <w:left w:val="nil"/>
          <w:bottom w:val="nil"/>
          <w:right w:val="nil"/>
          <w:between w:val="nil"/>
        </w:pBdr>
        <w:spacing w:before="120" w:after="120"/>
        <w:rPr>
          <w:rFonts w:ascii="Arial" w:eastAsia="Arial" w:hAnsi="Arial" w:cs="Arial"/>
        </w:rPr>
      </w:pPr>
      <w:r w:rsidRPr="00516FA6">
        <w:rPr>
          <w:rFonts w:ascii="Arial" w:eastAsia="Arial" w:hAnsi="Arial" w:cs="Arial"/>
        </w:rPr>
        <w:t>We control devices to reduce demand when the grid is most stressed, avoiding outages and reducing costs. We do this via Demand Response, Demand Charge Management, and Arbitrage</w:t>
      </w:r>
    </w:p>
    <w:p w14:paraId="13ECF9AD" w14:textId="77777777" w:rsidR="00E30BB3" w:rsidRPr="00516FA6" w:rsidRDefault="002E5EDA" w:rsidP="00145FB7">
      <w:pPr>
        <w:numPr>
          <w:ilvl w:val="0"/>
          <w:numId w:val="2"/>
        </w:numPr>
        <w:pBdr>
          <w:top w:val="nil"/>
          <w:left w:val="nil"/>
          <w:bottom w:val="nil"/>
          <w:right w:val="nil"/>
          <w:between w:val="nil"/>
        </w:pBdr>
        <w:spacing w:before="120" w:after="120"/>
        <w:rPr>
          <w:rFonts w:ascii="Arial" w:eastAsia="Arial" w:hAnsi="Arial" w:cs="Arial"/>
        </w:rPr>
      </w:pPr>
      <w:r w:rsidRPr="00516FA6">
        <w:rPr>
          <w:rFonts w:ascii="Arial" w:eastAsia="Arial" w:hAnsi="Arial" w:cs="Arial"/>
        </w:rPr>
        <w:t>Overtime, we take performance data during these events and feed it into our pricing model to generate lower power prices for customers</w:t>
      </w:r>
    </w:p>
    <w:p w14:paraId="05330E0F" w14:textId="77777777" w:rsidR="00E30BB3" w:rsidRPr="00516FA6" w:rsidRDefault="002E5EDA" w:rsidP="00145FB7">
      <w:pPr>
        <w:numPr>
          <w:ilvl w:val="0"/>
          <w:numId w:val="2"/>
        </w:numPr>
        <w:pBdr>
          <w:top w:val="nil"/>
          <w:left w:val="nil"/>
          <w:bottom w:val="nil"/>
          <w:right w:val="nil"/>
          <w:between w:val="nil"/>
        </w:pBdr>
        <w:spacing w:before="120" w:after="120"/>
        <w:rPr>
          <w:rFonts w:ascii="Arial" w:eastAsia="Arial" w:hAnsi="Arial" w:cs="Arial"/>
        </w:rPr>
      </w:pPr>
      <w:r w:rsidRPr="00516FA6">
        <w:rPr>
          <w:rFonts w:ascii="Arial" w:eastAsia="Arial" w:hAnsi="Arial" w:cs="Arial"/>
        </w:rPr>
        <w:t>To effectively employ this strategy, we must be both an LSE and a QSE</w:t>
      </w:r>
    </w:p>
    <w:p w14:paraId="12AF0F5F" w14:textId="77777777" w:rsidR="00E30BB3" w:rsidRPr="00516FA6" w:rsidRDefault="002E5EDA" w:rsidP="00145FB7">
      <w:pPr>
        <w:pBdr>
          <w:top w:val="nil"/>
          <w:left w:val="nil"/>
          <w:bottom w:val="nil"/>
          <w:right w:val="nil"/>
          <w:between w:val="nil"/>
        </w:pBdr>
        <w:spacing w:before="120" w:after="120"/>
        <w:jc w:val="center"/>
        <w:rPr>
          <w:rFonts w:ascii="Arial" w:eastAsia="Arial" w:hAnsi="Arial" w:cs="Arial"/>
        </w:rPr>
      </w:pPr>
      <w:r w:rsidRPr="00516FA6">
        <w:rPr>
          <w:rFonts w:ascii="Arial" w:eastAsia="Arial" w:hAnsi="Arial" w:cs="Arial"/>
          <w:noProof/>
        </w:rPr>
        <w:drawing>
          <wp:inline distT="114300" distB="114300" distL="114300" distR="114300" wp14:anchorId="4B6F6F1E" wp14:editId="0D06B88E">
            <wp:extent cx="5281373" cy="2941774"/>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281373" cy="2941774"/>
                    </a:xfrm>
                    <a:prstGeom prst="rect">
                      <a:avLst/>
                    </a:prstGeom>
                    <a:ln/>
                  </pic:spPr>
                </pic:pic>
              </a:graphicData>
            </a:graphic>
          </wp:inline>
        </w:drawing>
      </w:r>
    </w:p>
    <w:p w14:paraId="60ED72A5" w14:textId="77777777" w:rsidR="00E30BB3" w:rsidRPr="00516FA6" w:rsidRDefault="00E30BB3" w:rsidP="00145FB7">
      <w:pPr>
        <w:pBdr>
          <w:top w:val="nil"/>
          <w:left w:val="nil"/>
          <w:bottom w:val="nil"/>
          <w:right w:val="nil"/>
          <w:between w:val="nil"/>
        </w:pBdr>
        <w:spacing w:before="120" w:after="120"/>
        <w:rPr>
          <w:rFonts w:ascii="Arial" w:eastAsia="Arial" w:hAnsi="Arial" w:cs="Arial"/>
        </w:rPr>
      </w:pPr>
    </w:p>
    <w:p w14:paraId="10541A8E" w14:textId="77777777" w:rsidR="00E30BB3" w:rsidRPr="00516FA6" w:rsidRDefault="002E5EDA" w:rsidP="00145FB7">
      <w:pPr>
        <w:pBdr>
          <w:top w:val="nil"/>
          <w:left w:val="nil"/>
          <w:bottom w:val="nil"/>
          <w:right w:val="nil"/>
          <w:between w:val="nil"/>
        </w:pBdr>
        <w:spacing w:before="120" w:after="120"/>
        <w:rPr>
          <w:rFonts w:ascii="Arial" w:eastAsia="Arial" w:hAnsi="Arial" w:cs="Arial"/>
          <w:b/>
        </w:rPr>
      </w:pPr>
      <w:r w:rsidRPr="00516FA6">
        <w:rPr>
          <w:rFonts w:ascii="Arial" w:eastAsia="Arial" w:hAnsi="Arial" w:cs="Arial"/>
          <w:u w:val="single"/>
        </w:rPr>
        <w:lastRenderedPageBreak/>
        <w:t>David Energy in Texas:</w:t>
      </w:r>
      <w:r w:rsidRPr="00516FA6">
        <w:rPr>
          <w:rFonts w:ascii="Arial" w:eastAsia="Arial" w:hAnsi="Arial" w:cs="Arial"/>
        </w:rPr>
        <w:t xml:space="preserve"> David Energy will allow devices historically excluded from demand response to participate, enabling resiliency and economic compensation for the Residential, Small Business, and Mid-Market segments while also deepening and diversifying the reserves of flexible demand. This includes working with a wide range of device types and OEMs to enable as many DERs as possible to participate in our network, including devices that can export like residential generators and batteries. Today, we work with 5+ major thermostat brands, major generator OEMs, 5+ major EV companies, and the market’s leading solar and storage companies. We plan to broaden coverage by adding new device types (e.g. smart plugs, refrigeration, computer servers, lighting) and deepen by adding more brands under our existing device categories.</w:t>
      </w:r>
    </w:p>
    <w:p w14:paraId="53FA4CEB" w14:textId="77777777" w:rsidR="00E30BB3" w:rsidRPr="00516FA6" w:rsidRDefault="002E5EDA" w:rsidP="00145FB7">
      <w:pPr>
        <w:pBdr>
          <w:top w:val="nil"/>
          <w:left w:val="nil"/>
          <w:bottom w:val="nil"/>
          <w:right w:val="nil"/>
          <w:between w:val="nil"/>
        </w:pBdr>
        <w:spacing w:before="120" w:after="120"/>
        <w:rPr>
          <w:rFonts w:ascii="Arial" w:eastAsia="Arial" w:hAnsi="Arial" w:cs="Arial"/>
        </w:rPr>
      </w:pPr>
      <w:r w:rsidRPr="00516FA6">
        <w:rPr>
          <w:rFonts w:ascii="Arial" w:eastAsia="Arial" w:hAnsi="Arial" w:cs="Arial"/>
        </w:rPr>
        <w:t>From a risk management perspective, we treat this controllable load as a legitimate physical hedge in our book – when prices spike, we dispatch the DERs in our network to “cover” our net open position. Despite the real impacts this has on our risk management strategy, the market at-large does not recognize or value these benefits correctly.</w:t>
      </w:r>
    </w:p>
    <w:p w14:paraId="4465BE5E" w14:textId="77777777" w:rsidR="00E30BB3" w:rsidRPr="00516FA6" w:rsidRDefault="002E5EDA" w:rsidP="00145FB7">
      <w:pPr>
        <w:pBdr>
          <w:top w:val="nil"/>
          <w:left w:val="nil"/>
          <w:bottom w:val="nil"/>
          <w:right w:val="nil"/>
          <w:between w:val="nil"/>
        </w:pBdr>
        <w:spacing w:before="120" w:after="120"/>
        <w:ind w:left="720"/>
        <w:jc w:val="center"/>
        <w:rPr>
          <w:rFonts w:ascii="Arial" w:eastAsia="Arial" w:hAnsi="Arial" w:cs="Arial"/>
        </w:rPr>
      </w:pPr>
      <w:r w:rsidRPr="00516FA6">
        <w:rPr>
          <w:rFonts w:ascii="Arial" w:eastAsia="Arial" w:hAnsi="Arial" w:cs="Arial"/>
          <w:noProof/>
        </w:rPr>
        <w:drawing>
          <wp:inline distT="114300" distB="114300" distL="114300" distR="114300" wp14:anchorId="55E2CD37" wp14:editId="78E7A892">
            <wp:extent cx="5092903" cy="283464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092903" cy="2834640"/>
                    </a:xfrm>
                    <a:prstGeom prst="rect">
                      <a:avLst/>
                    </a:prstGeom>
                    <a:ln/>
                  </pic:spPr>
                </pic:pic>
              </a:graphicData>
            </a:graphic>
          </wp:inline>
        </w:drawing>
      </w:r>
    </w:p>
    <w:p w14:paraId="0E4504AD" w14:textId="77777777" w:rsidR="00E30BB3" w:rsidRPr="00516FA6" w:rsidRDefault="00E30BB3" w:rsidP="00145FB7">
      <w:pPr>
        <w:pBdr>
          <w:top w:val="nil"/>
          <w:left w:val="nil"/>
          <w:bottom w:val="nil"/>
          <w:right w:val="nil"/>
          <w:between w:val="nil"/>
        </w:pBdr>
        <w:spacing w:before="120" w:after="120"/>
        <w:rPr>
          <w:rFonts w:ascii="Arial" w:eastAsia="Arial" w:hAnsi="Arial" w:cs="Arial"/>
        </w:rPr>
      </w:pPr>
    </w:p>
    <w:p w14:paraId="08D1233D" w14:textId="77777777" w:rsidR="00E30BB3" w:rsidRPr="00516FA6" w:rsidRDefault="002E5EDA" w:rsidP="00145FB7">
      <w:pPr>
        <w:pBdr>
          <w:top w:val="nil"/>
          <w:left w:val="nil"/>
          <w:bottom w:val="nil"/>
          <w:right w:val="nil"/>
          <w:between w:val="nil"/>
        </w:pBdr>
        <w:spacing w:before="120" w:after="120"/>
        <w:rPr>
          <w:rFonts w:ascii="Arial" w:eastAsia="Arial" w:hAnsi="Arial" w:cs="Arial"/>
          <w:u w:val="single"/>
        </w:rPr>
      </w:pPr>
      <w:r w:rsidRPr="00516FA6">
        <w:rPr>
          <w:rFonts w:ascii="Arial" w:eastAsia="Arial" w:hAnsi="Arial" w:cs="Arial"/>
          <w:u w:val="single"/>
        </w:rPr>
        <w:t>Why ALR is crucial for Texas:</w:t>
      </w:r>
    </w:p>
    <w:p w14:paraId="5A418C16" w14:textId="77777777" w:rsidR="00E30BB3" w:rsidRPr="00516FA6" w:rsidRDefault="002E5EDA" w:rsidP="00145FB7">
      <w:pPr>
        <w:numPr>
          <w:ilvl w:val="0"/>
          <w:numId w:val="1"/>
        </w:numPr>
        <w:pBdr>
          <w:top w:val="nil"/>
          <w:left w:val="nil"/>
          <w:bottom w:val="nil"/>
          <w:right w:val="nil"/>
          <w:between w:val="nil"/>
        </w:pBdr>
        <w:spacing w:before="120" w:after="120"/>
        <w:rPr>
          <w:rFonts w:ascii="Arial" w:eastAsia="Arial" w:hAnsi="Arial" w:cs="Arial"/>
          <w:color w:val="000000"/>
        </w:rPr>
      </w:pPr>
      <w:r w:rsidRPr="00516FA6">
        <w:rPr>
          <w:rFonts w:ascii="Arial" w:eastAsia="Arial" w:hAnsi="Arial" w:cs="Arial"/>
        </w:rPr>
        <w:t>Post-Storm Uri, ERCOT began procuring more firm capacity. However, it’s unclear that sufficient firm capacity will come online to meet that demand based on the current state of the interconnection queue</w:t>
      </w:r>
    </w:p>
    <w:p w14:paraId="1FA81949" w14:textId="77777777" w:rsidR="00E30BB3" w:rsidRPr="00516FA6" w:rsidRDefault="002E5EDA" w:rsidP="00145FB7">
      <w:pPr>
        <w:pBdr>
          <w:top w:val="nil"/>
          <w:left w:val="nil"/>
          <w:bottom w:val="nil"/>
          <w:right w:val="nil"/>
          <w:between w:val="nil"/>
        </w:pBdr>
        <w:spacing w:before="120" w:after="120"/>
        <w:ind w:left="720"/>
        <w:jc w:val="center"/>
        <w:rPr>
          <w:rFonts w:ascii="Arial" w:eastAsia="Arial" w:hAnsi="Arial" w:cs="Arial"/>
        </w:rPr>
      </w:pPr>
      <w:r w:rsidRPr="00516FA6">
        <w:rPr>
          <w:rFonts w:ascii="Arial" w:eastAsia="Arial" w:hAnsi="Arial" w:cs="Arial"/>
          <w:noProof/>
        </w:rPr>
        <w:lastRenderedPageBreak/>
        <w:drawing>
          <wp:inline distT="114300" distB="114300" distL="114300" distR="114300" wp14:anchorId="6A3AD0F6" wp14:editId="6D6F6B2B">
            <wp:extent cx="5055108" cy="28346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055108" cy="2834640"/>
                    </a:xfrm>
                    <a:prstGeom prst="rect">
                      <a:avLst/>
                    </a:prstGeom>
                    <a:ln/>
                  </pic:spPr>
                </pic:pic>
              </a:graphicData>
            </a:graphic>
          </wp:inline>
        </w:drawing>
      </w:r>
    </w:p>
    <w:p w14:paraId="151AB5E5" w14:textId="77777777" w:rsidR="00E30BB3" w:rsidRPr="00516FA6" w:rsidRDefault="002E5EDA" w:rsidP="00145FB7">
      <w:pPr>
        <w:numPr>
          <w:ilvl w:val="0"/>
          <w:numId w:val="1"/>
        </w:numPr>
        <w:spacing w:before="120" w:after="120"/>
        <w:rPr>
          <w:rFonts w:ascii="Arial" w:eastAsia="Arial" w:hAnsi="Arial" w:cs="Arial"/>
        </w:rPr>
      </w:pPr>
      <w:r w:rsidRPr="00516FA6">
        <w:rPr>
          <w:rFonts w:ascii="Arial" w:eastAsia="Arial" w:hAnsi="Arial" w:cs="Arial"/>
        </w:rPr>
        <w:t>And while ERCOT’s reserve margin today is healthy on paper, the unfortunate reality is that conditions are much tighter much more frequently than expected</w:t>
      </w:r>
    </w:p>
    <w:p w14:paraId="3CC0BC3A" w14:textId="77777777" w:rsidR="00E30BB3" w:rsidRPr="00516FA6" w:rsidRDefault="002E5EDA" w:rsidP="00145FB7">
      <w:pPr>
        <w:numPr>
          <w:ilvl w:val="0"/>
          <w:numId w:val="1"/>
        </w:numPr>
        <w:spacing w:before="120" w:after="120"/>
        <w:rPr>
          <w:rFonts w:ascii="Arial" w:eastAsia="Arial" w:hAnsi="Arial" w:cs="Arial"/>
        </w:rPr>
      </w:pPr>
      <w:r w:rsidRPr="00516FA6">
        <w:rPr>
          <w:rFonts w:ascii="Arial" w:eastAsia="Arial" w:hAnsi="Arial" w:cs="Arial"/>
        </w:rPr>
        <w:t>There is plenty of latent capacity that’s not being used today that could address these tight conditions. But, existing programs such as Emergency Response Service (ERS), Utility Commercial Load Management (CLM), and Load Resource (LR) don’t fairly compensate these resources for their value, creating little incentive for their participation. One reason is, for example, that the programs compel a longer duration dispatch over a band of hours that are not necessarily the highest and best use of small DER resources and that mode of dispatch wastes the capacity value of these smaller systems - you can send DERS price signals for daily peaks and superpeaks if you’re dispatching them directly in SCED, as we would normally in our book.  These resources can be used for regular dispatching, not just for emergencies, and get far higher compensation than ERS as a result.</w:t>
      </w:r>
    </w:p>
    <w:p w14:paraId="660BE0E9" w14:textId="77777777" w:rsidR="00E30BB3" w:rsidRPr="00516FA6" w:rsidRDefault="002E5EDA">
      <w:pPr>
        <w:jc w:val="center"/>
        <w:rPr>
          <w:rFonts w:ascii="Arial" w:eastAsia="Arial" w:hAnsi="Arial" w:cs="Arial"/>
        </w:rPr>
      </w:pPr>
      <w:r w:rsidRPr="00516FA6">
        <w:rPr>
          <w:rFonts w:ascii="Arial" w:eastAsia="Arial" w:hAnsi="Arial" w:cs="Arial"/>
          <w:noProof/>
        </w:rPr>
        <w:lastRenderedPageBreak/>
        <w:drawing>
          <wp:inline distT="114300" distB="114300" distL="114300" distR="114300" wp14:anchorId="666F4FD9" wp14:editId="57572227">
            <wp:extent cx="5029200" cy="280629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029200" cy="2806294"/>
                    </a:xfrm>
                    <a:prstGeom prst="rect">
                      <a:avLst/>
                    </a:prstGeom>
                    <a:ln/>
                  </pic:spPr>
                </pic:pic>
              </a:graphicData>
            </a:graphic>
          </wp:inline>
        </w:drawing>
      </w:r>
    </w:p>
    <w:p w14:paraId="70C03664" w14:textId="77777777" w:rsidR="00E30BB3" w:rsidRPr="00516FA6" w:rsidRDefault="00E30BB3">
      <w:pPr>
        <w:rPr>
          <w:rFonts w:ascii="Arial" w:eastAsia="Arial" w:hAnsi="Arial" w:cs="Arial"/>
        </w:rPr>
      </w:pPr>
    </w:p>
    <w:p w14:paraId="18F37BD0" w14:textId="77777777" w:rsidR="00E30BB3" w:rsidRPr="00516FA6" w:rsidRDefault="002E5EDA">
      <w:pPr>
        <w:numPr>
          <w:ilvl w:val="0"/>
          <w:numId w:val="1"/>
        </w:numPr>
        <w:rPr>
          <w:rFonts w:ascii="Arial" w:eastAsia="Arial" w:hAnsi="Arial" w:cs="Arial"/>
        </w:rPr>
      </w:pPr>
      <w:r w:rsidRPr="00516FA6">
        <w:rPr>
          <w:rFonts w:ascii="Arial" w:eastAsia="Arial" w:hAnsi="Arial" w:cs="Arial"/>
        </w:rPr>
        <w:t xml:space="preserve">Texas could unleash the power of this latent capacity by providing strong price signals and payout certainty to their developers and owners. This will enable the existing gigawatts of latent, demand-side capacity to actually benefit the market while providing economic incentives for customers to invest in distributed system equipment that takes the pressure off the centralized grid as load continues to grow at a hurtling pace in Texas ERCOT. </w:t>
      </w:r>
    </w:p>
    <w:p w14:paraId="4FE19A2D" w14:textId="77777777" w:rsidR="00E30BB3" w:rsidRPr="00516FA6" w:rsidRDefault="00E30BB3">
      <w:pPr>
        <w:pBdr>
          <w:top w:val="nil"/>
          <w:left w:val="nil"/>
          <w:bottom w:val="nil"/>
          <w:right w:val="nil"/>
          <w:between w:val="nil"/>
        </w:pBdr>
        <w:rPr>
          <w:rFonts w:ascii="Arial" w:eastAsia="Arial" w:hAnsi="Arial" w:cs="Arial"/>
          <w:color w:val="000000"/>
        </w:rPr>
      </w:pPr>
    </w:p>
    <w:tbl>
      <w:tblPr>
        <w:tblStyle w:val="a1"/>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E30BB3" w:rsidRPr="00516FA6" w14:paraId="3D1592A5" w14:textId="77777777">
        <w:trPr>
          <w:trHeight w:val="350"/>
        </w:trPr>
        <w:tc>
          <w:tcPr>
            <w:tcW w:w="10440" w:type="dxa"/>
            <w:tcBorders>
              <w:bottom w:val="single" w:sz="4" w:space="0" w:color="000000"/>
            </w:tcBorders>
            <w:shd w:val="clear" w:color="auto" w:fill="FFFFFF"/>
            <w:tcMar>
              <w:top w:w="0" w:type="dxa"/>
              <w:bottom w:w="0" w:type="dxa"/>
            </w:tcMar>
            <w:vAlign w:val="center"/>
          </w:tcPr>
          <w:p w14:paraId="07CF7704" w14:textId="77777777" w:rsidR="00E30BB3" w:rsidRPr="00516FA6" w:rsidRDefault="002E5EDA">
            <w:pPr>
              <w:pBdr>
                <w:top w:val="nil"/>
                <w:left w:val="nil"/>
                <w:bottom w:val="nil"/>
                <w:right w:val="nil"/>
                <w:between w:val="nil"/>
              </w:pBdr>
              <w:tabs>
                <w:tab w:val="center" w:pos="4320"/>
                <w:tab w:val="right" w:pos="8640"/>
              </w:tabs>
              <w:jc w:val="center"/>
              <w:rPr>
                <w:rFonts w:ascii="Arial" w:eastAsia="Arial" w:hAnsi="Arial" w:cs="Arial"/>
                <w:b/>
                <w:color w:val="000000"/>
              </w:rPr>
            </w:pPr>
            <w:r w:rsidRPr="00516FA6">
              <w:rPr>
                <w:rFonts w:ascii="Arial" w:eastAsia="Arial" w:hAnsi="Arial" w:cs="Arial"/>
                <w:b/>
                <w:color w:val="000000"/>
              </w:rPr>
              <w:t>Revised Cover Page Language</w:t>
            </w:r>
          </w:p>
        </w:tc>
      </w:tr>
    </w:tbl>
    <w:p w14:paraId="7FA794A3" w14:textId="77777777" w:rsidR="00E30BB3" w:rsidRPr="00516FA6" w:rsidRDefault="002E5EDA">
      <w:pPr>
        <w:pBdr>
          <w:top w:val="nil"/>
          <w:left w:val="nil"/>
          <w:bottom w:val="nil"/>
          <w:right w:val="nil"/>
          <w:between w:val="nil"/>
        </w:pBdr>
        <w:spacing w:before="120" w:after="120"/>
        <w:rPr>
          <w:rFonts w:ascii="Arial" w:eastAsia="Arial" w:hAnsi="Arial" w:cs="Arial"/>
          <w:bCs/>
        </w:rPr>
      </w:pPr>
      <w:r w:rsidRPr="00516FA6">
        <w:rPr>
          <w:rFonts w:ascii="Arial" w:eastAsia="Arial" w:hAnsi="Arial" w:cs="Arial"/>
          <w:bCs/>
        </w:rPr>
        <w:t>None</w:t>
      </w:r>
    </w:p>
    <w:tbl>
      <w:tblPr>
        <w:tblStyle w:val="a2"/>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E30BB3" w:rsidRPr="00516FA6" w14:paraId="7D00F3F5" w14:textId="77777777">
        <w:trPr>
          <w:trHeight w:val="350"/>
        </w:trPr>
        <w:tc>
          <w:tcPr>
            <w:tcW w:w="10440" w:type="dxa"/>
            <w:tcBorders>
              <w:bottom w:val="single" w:sz="4" w:space="0" w:color="000000"/>
            </w:tcBorders>
            <w:shd w:val="clear" w:color="auto" w:fill="FFFFFF"/>
            <w:tcMar>
              <w:top w:w="0" w:type="dxa"/>
              <w:bottom w:w="0" w:type="dxa"/>
            </w:tcMar>
            <w:vAlign w:val="center"/>
          </w:tcPr>
          <w:p w14:paraId="213157C5" w14:textId="77777777" w:rsidR="00E30BB3" w:rsidRPr="00516FA6" w:rsidRDefault="002E5EDA">
            <w:pPr>
              <w:pBdr>
                <w:top w:val="nil"/>
                <w:left w:val="nil"/>
                <w:bottom w:val="nil"/>
                <w:right w:val="nil"/>
                <w:between w:val="nil"/>
              </w:pBdr>
              <w:tabs>
                <w:tab w:val="center" w:pos="4320"/>
                <w:tab w:val="right" w:pos="8640"/>
              </w:tabs>
              <w:jc w:val="center"/>
              <w:rPr>
                <w:rFonts w:ascii="Arial" w:eastAsia="Arial" w:hAnsi="Arial" w:cs="Arial"/>
                <w:b/>
                <w:color w:val="000000"/>
              </w:rPr>
            </w:pPr>
            <w:r w:rsidRPr="00516FA6">
              <w:rPr>
                <w:rFonts w:ascii="Arial" w:eastAsia="Arial" w:hAnsi="Arial" w:cs="Arial"/>
                <w:b/>
                <w:color w:val="000000"/>
              </w:rPr>
              <w:t>Revised Proposed Other Binding Document Language</w:t>
            </w:r>
          </w:p>
        </w:tc>
      </w:tr>
    </w:tbl>
    <w:p w14:paraId="04685DF0" w14:textId="3834B87D" w:rsidR="00E30BB3" w:rsidRPr="00516FA6" w:rsidRDefault="002E5EDA">
      <w:pPr>
        <w:pBdr>
          <w:top w:val="nil"/>
          <w:left w:val="nil"/>
          <w:bottom w:val="nil"/>
          <w:right w:val="nil"/>
          <w:between w:val="nil"/>
        </w:pBdr>
        <w:spacing w:before="120" w:after="120"/>
        <w:rPr>
          <w:rFonts w:ascii="Arial" w:eastAsia="Arial" w:hAnsi="Arial" w:cs="Arial"/>
          <w:bCs/>
        </w:rPr>
      </w:pPr>
      <w:r w:rsidRPr="00516FA6">
        <w:rPr>
          <w:rFonts w:ascii="Arial" w:eastAsia="Arial" w:hAnsi="Arial" w:cs="Arial"/>
          <w:bCs/>
        </w:rPr>
        <w:t>None</w:t>
      </w:r>
    </w:p>
    <w:p w14:paraId="32E86E32" w14:textId="77777777" w:rsidR="00E30BB3" w:rsidRPr="00516FA6" w:rsidRDefault="00E30BB3">
      <w:pPr>
        <w:pBdr>
          <w:top w:val="nil"/>
          <w:left w:val="nil"/>
          <w:bottom w:val="nil"/>
          <w:right w:val="nil"/>
          <w:between w:val="nil"/>
        </w:pBdr>
        <w:spacing w:before="120" w:after="120"/>
        <w:rPr>
          <w:rFonts w:ascii="Arial" w:hAnsi="Arial" w:cs="Arial"/>
          <w:color w:val="000000"/>
        </w:rPr>
      </w:pPr>
    </w:p>
    <w:sectPr w:rsidR="00E30BB3" w:rsidRPr="00516FA6">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49B2" w14:textId="77777777" w:rsidR="002E5EDA" w:rsidRDefault="002E5EDA">
      <w:r>
        <w:separator/>
      </w:r>
    </w:p>
  </w:endnote>
  <w:endnote w:type="continuationSeparator" w:id="0">
    <w:p w14:paraId="0DC249C0" w14:textId="77777777" w:rsidR="002E5EDA" w:rsidRDefault="002E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AD77" w14:textId="685B5649" w:rsidR="00E30BB3" w:rsidRDefault="00145FB7">
    <w:pPr>
      <w:pBdr>
        <w:top w:val="nil"/>
        <w:left w:val="nil"/>
        <w:bottom w:val="nil"/>
        <w:right w:val="nil"/>
        <w:between w:val="nil"/>
      </w:pBdr>
      <w:tabs>
        <w:tab w:val="center" w:pos="4320"/>
        <w:tab w:val="right" w:pos="8640"/>
        <w:tab w:val="right" w:pos="9360"/>
      </w:tabs>
      <w:rPr>
        <w:rFonts w:ascii="Arial" w:eastAsia="Arial" w:hAnsi="Arial" w:cs="Arial"/>
        <w:color w:val="000000"/>
        <w:sz w:val="18"/>
        <w:szCs w:val="18"/>
      </w:rPr>
    </w:pPr>
    <w:r>
      <w:rPr>
        <w:rFonts w:ascii="Arial" w:eastAsia="Arial" w:hAnsi="Arial" w:cs="Arial"/>
        <w:color w:val="000000"/>
        <w:sz w:val="18"/>
        <w:szCs w:val="18"/>
      </w:rPr>
      <w:t>041</w:t>
    </w:r>
    <w:r w:rsidR="002E5EDA">
      <w:rPr>
        <w:rFonts w:ascii="Arial" w:eastAsia="Arial" w:hAnsi="Arial" w:cs="Arial"/>
        <w:color w:val="000000"/>
        <w:sz w:val="18"/>
        <w:szCs w:val="18"/>
      </w:rPr>
      <w:t>OBDRR</w:t>
    </w:r>
    <w:r>
      <w:rPr>
        <w:rFonts w:ascii="Arial" w:eastAsia="Arial" w:hAnsi="Arial" w:cs="Arial"/>
        <w:color w:val="000000"/>
        <w:sz w:val="18"/>
        <w:szCs w:val="18"/>
      </w:rPr>
      <w:t>-08 David Energy Co</w:t>
    </w:r>
    <w:r w:rsidR="002E5EDA">
      <w:rPr>
        <w:rFonts w:ascii="Arial" w:eastAsia="Arial" w:hAnsi="Arial" w:cs="Arial"/>
        <w:color w:val="000000"/>
        <w:sz w:val="18"/>
        <w:szCs w:val="18"/>
      </w:rPr>
      <w:t>mment</w:t>
    </w:r>
    <w:r>
      <w:rPr>
        <w:rFonts w:ascii="Arial" w:eastAsia="Arial" w:hAnsi="Arial" w:cs="Arial"/>
        <w:color w:val="000000"/>
        <w:sz w:val="18"/>
        <w:szCs w:val="18"/>
      </w:rPr>
      <w:t>s 061522</w:t>
    </w:r>
    <w:r w:rsidR="002E5EDA">
      <w:rPr>
        <w:rFonts w:ascii="Arial" w:eastAsia="Arial" w:hAnsi="Arial" w:cs="Arial"/>
        <w:color w:val="000000"/>
        <w:sz w:val="18"/>
        <w:szCs w:val="18"/>
      </w:rPr>
      <w:t xml:space="preserve"> </w:t>
    </w:r>
    <w:r w:rsidR="002E5EDA">
      <w:rPr>
        <w:rFonts w:ascii="Arial" w:eastAsia="Arial" w:hAnsi="Arial" w:cs="Arial"/>
        <w:color w:val="000000"/>
        <w:sz w:val="18"/>
        <w:szCs w:val="18"/>
      </w:rPr>
      <w:tab/>
    </w:r>
    <w:r>
      <w:rPr>
        <w:rFonts w:ascii="Arial" w:eastAsia="Arial" w:hAnsi="Arial" w:cs="Arial"/>
        <w:color w:val="000000"/>
        <w:sz w:val="18"/>
        <w:szCs w:val="18"/>
      </w:rPr>
      <w:tab/>
    </w:r>
    <w:r w:rsidR="002E5EDA">
      <w:rPr>
        <w:rFonts w:ascii="Arial" w:eastAsia="Arial" w:hAnsi="Arial" w:cs="Arial"/>
        <w:color w:val="000000"/>
        <w:sz w:val="18"/>
        <w:szCs w:val="18"/>
      </w:rPr>
      <w:t xml:space="preserve">Page </w:t>
    </w:r>
    <w:r w:rsidR="002E5EDA">
      <w:rPr>
        <w:rFonts w:ascii="Arial" w:eastAsia="Arial" w:hAnsi="Arial" w:cs="Arial"/>
        <w:color w:val="000000"/>
        <w:sz w:val="18"/>
        <w:szCs w:val="18"/>
      </w:rPr>
      <w:fldChar w:fldCharType="begin"/>
    </w:r>
    <w:r w:rsidR="002E5EDA">
      <w:rPr>
        <w:rFonts w:ascii="Arial" w:eastAsia="Arial" w:hAnsi="Arial" w:cs="Arial"/>
        <w:color w:val="000000"/>
        <w:sz w:val="18"/>
        <w:szCs w:val="18"/>
      </w:rPr>
      <w:instrText>PAGE</w:instrText>
    </w:r>
    <w:r w:rsidR="002E5EDA">
      <w:rPr>
        <w:rFonts w:ascii="Arial" w:eastAsia="Arial" w:hAnsi="Arial" w:cs="Arial"/>
        <w:color w:val="000000"/>
        <w:sz w:val="18"/>
        <w:szCs w:val="18"/>
      </w:rPr>
      <w:fldChar w:fldCharType="separate"/>
    </w:r>
    <w:r w:rsidR="007E3804">
      <w:rPr>
        <w:rFonts w:ascii="Arial" w:eastAsia="Arial" w:hAnsi="Arial" w:cs="Arial"/>
        <w:noProof/>
        <w:color w:val="000000"/>
        <w:sz w:val="18"/>
        <w:szCs w:val="18"/>
      </w:rPr>
      <w:t>1</w:t>
    </w:r>
    <w:r w:rsidR="002E5EDA">
      <w:rPr>
        <w:rFonts w:ascii="Arial" w:eastAsia="Arial" w:hAnsi="Arial" w:cs="Arial"/>
        <w:color w:val="000000"/>
        <w:sz w:val="18"/>
        <w:szCs w:val="18"/>
      </w:rPr>
      <w:fldChar w:fldCharType="end"/>
    </w:r>
    <w:r w:rsidR="002E5EDA">
      <w:rPr>
        <w:rFonts w:ascii="Arial" w:eastAsia="Arial" w:hAnsi="Arial" w:cs="Arial"/>
        <w:color w:val="000000"/>
        <w:sz w:val="18"/>
        <w:szCs w:val="18"/>
      </w:rPr>
      <w:t xml:space="preserve"> of </w:t>
    </w:r>
    <w:r w:rsidR="002E5EDA">
      <w:rPr>
        <w:rFonts w:ascii="Arial" w:eastAsia="Arial" w:hAnsi="Arial" w:cs="Arial"/>
        <w:color w:val="000000"/>
        <w:sz w:val="18"/>
        <w:szCs w:val="18"/>
      </w:rPr>
      <w:fldChar w:fldCharType="begin"/>
    </w:r>
    <w:r w:rsidR="002E5EDA">
      <w:rPr>
        <w:rFonts w:ascii="Arial" w:eastAsia="Arial" w:hAnsi="Arial" w:cs="Arial"/>
        <w:color w:val="000000"/>
        <w:sz w:val="18"/>
        <w:szCs w:val="18"/>
      </w:rPr>
      <w:instrText>NUMPAGES</w:instrText>
    </w:r>
    <w:r w:rsidR="002E5EDA">
      <w:rPr>
        <w:rFonts w:ascii="Arial" w:eastAsia="Arial" w:hAnsi="Arial" w:cs="Arial"/>
        <w:color w:val="000000"/>
        <w:sz w:val="18"/>
        <w:szCs w:val="18"/>
      </w:rPr>
      <w:fldChar w:fldCharType="separate"/>
    </w:r>
    <w:r w:rsidR="007E3804">
      <w:rPr>
        <w:rFonts w:ascii="Arial" w:eastAsia="Arial" w:hAnsi="Arial" w:cs="Arial"/>
        <w:noProof/>
        <w:color w:val="000000"/>
        <w:sz w:val="18"/>
        <w:szCs w:val="18"/>
      </w:rPr>
      <w:t>2</w:t>
    </w:r>
    <w:r w:rsidR="002E5EDA">
      <w:rPr>
        <w:rFonts w:ascii="Arial" w:eastAsia="Arial" w:hAnsi="Arial" w:cs="Arial"/>
        <w:color w:val="000000"/>
        <w:sz w:val="18"/>
        <w:szCs w:val="18"/>
      </w:rPr>
      <w:fldChar w:fldCharType="end"/>
    </w:r>
  </w:p>
  <w:p w14:paraId="621BA524" w14:textId="77777777" w:rsidR="00E30BB3" w:rsidRDefault="002E5EDA">
    <w:pPr>
      <w:pBdr>
        <w:top w:val="nil"/>
        <w:left w:val="nil"/>
        <w:bottom w:val="nil"/>
        <w:right w:val="nil"/>
        <w:between w:val="nil"/>
      </w:pBdr>
      <w:tabs>
        <w:tab w:val="center" w:pos="4320"/>
        <w:tab w:val="right" w:pos="8640"/>
        <w:tab w:val="right" w:pos="9360"/>
      </w:tabs>
      <w:rPr>
        <w:rFonts w:ascii="Arial" w:eastAsia="Arial" w:hAnsi="Arial" w:cs="Arial"/>
        <w:color w:val="000000"/>
        <w:sz w:val="18"/>
        <w:szCs w:val="18"/>
      </w:rPr>
    </w:pPr>
    <w:r>
      <w:rPr>
        <w:rFonts w:ascii="Arial" w:eastAsia="Arial" w:hAnsi="Arial" w:cs="Arial"/>
        <w:color w:val="000000"/>
        <w:sz w:val="18"/>
        <w:szCs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98EE" w14:textId="77777777" w:rsidR="002E5EDA" w:rsidRDefault="002E5EDA">
      <w:r>
        <w:separator/>
      </w:r>
    </w:p>
  </w:footnote>
  <w:footnote w:type="continuationSeparator" w:id="0">
    <w:p w14:paraId="5CC7A999" w14:textId="77777777" w:rsidR="002E5EDA" w:rsidRDefault="002E5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A929" w14:textId="77777777" w:rsidR="00E30BB3" w:rsidRDefault="002E5EDA">
    <w:pPr>
      <w:pBdr>
        <w:top w:val="nil"/>
        <w:left w:val="nil"/>
        <w:bottom w:val="nil"/>
        <w:right w:val="nil"/>
        <w:between w:val="nil"/>
      </w:pBdr>
      <w:tabs>
        <w:tab w:val="center" w:pos="4320"/>
        <w:tab w:val="right" w:pos="8640"/>
      </w:tabs>
      <w:jc w:val="center"/>
      <w:rPr>
        <w:rFonts w:ascii="Arial" w:eastAsia="Arial" w:hAnsi="Arial" w:cs="Arial"/>
        <w:b/>
        <w:color w:val="000000"/>
        <w:sz w:val="32"/>
        <w:szCs w:val="32"/>
      </w:rPr>
    </w:pPr>
    <w:r>
      <w:rPr>
        <w:rFonts w:ascii="Arial" w:eastAsia="Arial" w:hAnsi="Arial" w:cs="Arial"/>
        <w:b/>
        <w:color w:val="000000"/>
        <w:sz w:val="32"/>
        <w:szCs w:val="32"/>
      </w:rPr>
      <w:t>OBDRR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31039"/>
    <w:multiLevelType w:val="multilevel"/>
    <w:tmpl w:val="1A34B484"/>
    <w:lvl w:ilvl="0">
      <w:start w:val="1"/>
      <w:numFmt w:val="bullet"/>
      <w:pStyle w:val="Bullet"/>
      <w:lvlText w:val="●"/>
      <w:lvlJc w:val="left"/>
      <w:pPr>
        <w:ind w:left="360" w:hanging="180"/>
      </w:pPr>
      <w:rPr>
        <w:u w:val="none"/>
      </w:rPr>
    </w:lvl>
    <w:lvl w:ilvl="1">
      <w:start w:val="1"/>
      <w:numFmt w:val="bullet"/>
      <w:lvlText w:val="○"/>
      <w:lvlJc w:val="left"/>
      <w:pPr>
        <w:ind w:left="900" w:hanging="18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A97967"/>
    <w:multiLevelType w:val="multilevel"/>
    <w:tmpl w:val="8E7A538E"/>
    <w:lvl w:ilvl="0">
      <w:start w:val="1"/>
      <w:numFmt w:val="bullet"/>
      <w:pStyle w:val="Heading1"/>
      <w:lvlText w:val="●"/>
      <w:lvlJc w:val="left"/>
      <w:pPr>
        <w:ind w:left="720" w:hanging="360"/>
      </w:pPr>
      <w:rPr>
        <w:u w:val="none"/>
      </w:rPr>
    </w:lvl>
    <w:lvl w:ilvl="1">
      <w:start w:val="1"/>
      <w:numFmt w:val="bullet"/>
      <w:pStyle w:val="Heading2"/>
      <w:lvlText w:val="○"/>
      <w:lvlJc w:val="left"/>
      <w:pPr>
        <w:ind w:left="900" w:hanging="18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BB3"/>
    <w:rsid w:val="00110A27"/>
    <w:rsid w:val="00145FB7"/>
    <w:rsid w:val="002E5EDA"/>
    <w:rsid w:val="00516FA6"/>
    <w:rsid w:val="007E3804"/>
    <w:rsid w:val="00E3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5EC5"/>
  <w15:docId w15:val="{1145EA99-233D-F044-B477-B3A6CC84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uiPriority w:val="9"/>
    <w:qFormat/>
    <w:pPr>
      <w:keepNext/>
      <w:numPr>
        <w:numId w:val="1"/>
      </w:numPr>
      <w:spacing w:after="240"/>
      <w:outlineLvl w:val="0"/>
    </w:pPr>
    <w:rPr>
      <w:b/>
      <w:caps/>
      <w:szCs w:val="20"/>
    </w:rPr>
  </w:style>
  <w:style w:type="paragraph" w:styleId="Heading2">
    <w:name w:val="heading 2"/>
    <w:aliases w:val="h2"/>
    <w:basedOn w:val="Normal"/>
    <w:next w:val="Normal"/>
    <w:uiPriority w:val="9"/>
    <w:semiHidden/>
    <w:unhideWhenUsed/>
    <w:qFormat/>
    <w:pPr>
      <w:keepNext/>
      <w:numPr>
        <w:ilvl w:val="1"/>
        <w:numId w:val="1"/>
      </w:numPr>
      <w:spacing w:before="240" w:after="240"/>
      <w:outlineLvl w:val="1"/>
    </w:pPr>
    <w:rPr>
      <w:b/>
      <w:szCs w:val="20"/>
    </w:rPr>
  </w:style>
  <w:style w:type="paragraph" w:styleId="Heading3">
    <w:name w:val="heading 3"/>
    <w:aliases w:val="h3"/>
    <w:basedOn w:val="Normal"/>
    <w:next w:val="Normal"/>
    <w:uiPriority w:val="9"/>
    <w:semiHidden/>
    <w:unhideWhenUsed/>
    <w:qFormat/>
    <w:pPr>
      <w:keepNext/>
      <w:numPr>
        <w:ilvl w:val="2"/>
        <w:numId w:val="1"/>
      </w:numPr>
      <w:spacing w:before="120" w:after="120"/>
      <w:outlineLvl w:val="2"/>
    </w:pPr>
    <w:rPr>
      <w:b/>
      <w:bCs/>
      <w:i/>
      <w:iCs/>
      <w:szCs w:val="20"/>
    </w:rPr>
  </w:style>
  <w:style w:type="paragraph" w:styleId="Heading4">
    <w:name w:val="heading 4"/>
    <w:aliases w:val="h4"/>
    <w:basedOn w:val="Normal"/>
    <w:next w:val="Normal"/>
    <w:uiPriority w:val="9"/>
    <w:semiHidden/>
    <w:unhideWhenUsed/>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uiPriority w:val="9"/>
    <w:semiHidden/>
    <w:unhideWhenUsed/>
    <w:qFormat/>
    <w:pPr>
      <w:spacing w:before="240" w:after="60"/>
      <w:outlineLvl w:val="4"/>
    </w:pPr>
    <w:rPr>
      <w:b/>
      <w:i/>
      <w:sz w:val="26"/>
      <w:szCs w:val="20"/>
    </w:rPr>
  </w:style>
  <w:style w:type="paragraph" w:styleId="Heading6">
    <w:name w:val="heading 6"/>
    <w:aliases w:val="h6"/>
    <w:basedOn w:val="Normal"/>
    <w:next w:val="Normal"/>
    <w:uiPriority w:val="9"/>
    <w:semiHidden/>
    <w:unhideWhenUsed/>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136312"/>
    <w:rPr>
      <w:color w:val="605E5C"/>
      <w:shd w:val="clear" w:color="auto" w:fill="E1DFDD"/>
    </w:rPr>
  </w:style>
  <w:style w:type="paragraph" w:styleId="NormalWeb">
    <w:name w:val="Normal (Web)"/>
    <w:basedOn w:val="Normal"/>
    <w:uiPriority w:val="99"/>
    <w:unhideWhenUsed/>
    <w:rsid w:val="005E0EE7"/>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OBDRR041"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gma.com/proto/avDy0pjDOtUOoqz8SktUaJ/Tesla-x-David-Energy-%7C-ERCOT?node-id=2%3A115&amp;scaling=scale-down"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davidenerg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mes@davidenergy.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nMuX2XxeANy28viRbhTcDi3o1g==">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820</Words>
  <Characters>4678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ERCOT/if</dc:creator>
  <cp:lastModifiedBy>ERCOT</cp:lastModifiedBy>
  <cp:revision>2</cp:revision>
  <dcterms:created xsi:type="dcterms:W3CDTF">2022-06-15T17:57:00Z</dcterms:created>
  <dcterms:modified xsi:type="dcterms:W3CDTF">2022-06-15T17:57:00Z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0x010100C0A0B98120ABAF419288F32572162053</vt:lpwstr>
  </property>
</Properties>
</file>