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5413AA2A" w:rsidR="00D62FE5" w:rsidRPr="00F90EF2" w:rsidRDefault="00D62FE5">
      <w:pPr>
        <w:pStyle w:val="BodyTextIndent"/>
        <w:jc w:val="center"/>
        <w:rPr>
          <w:sz w:val="32"/>
          <w:szCs w:val="32"/>
        </w:rPr>
      </w:pPr>
      <w:r w:rsidRPr="00F90EF2">
        <w:rPr>
          <w:sz w:val="32"/>
          <w:szCs w:val="32"/>
        </w:rPr>
        <w:t xml:space="preserve">ERCOT Board </w:t>
      </w:r>
      <w:r w:rsidR="00E34F60">
        <w:rPr>
          <w:sz w:val="32"/>
          <w:szCs w:val="32"/>
        </w:rPr>
        <w:t xml:space="preserve">Recommended </w:t>
      </w:r>
      <w:r w:rsidRPr="00F90EF2">
        <w:rPr>
          <w:sz w:val="32"/>
          <w:szCs w:val="32"/>
        </w:rPr>
        <w:t>approv</w:t>
      </w:r>
      <w:r w:rsidR="00E34F60">
        <w:rPr>
          <w:sz w:val="32"/>
          <w:szCs w:val="32"/>
        </w:rPr>
        <w:t>al</w:t>
      </w:r>
      <w:r w:rsidRPr="00F90EF2">
        <w:rPr>
          <w:sz w:val="32"/>
          <w:szCs w:val="32"/>
        </w:rPr>
        <w:t xml:space="preserve"> </w:t>
      </w:r>
      <w:r w:rsidR="00426BBD">
        <w:rPr>
          <w:sz w:val="32"/>
          <w:szCs w:val="32"/>
        </w:rPr>
        <w:t xml:space="preserve">on </w:t>
      </w:r>
      <w:r w:rsidR="00C54A62">
        <w:rPr>
          <w:sz w:val="32"/>
          <w:szCs w:val="32"/>
        </w:rPr>
        <w:t>2/4/25</w:t>
      </w:r>
    </w:p>
    <w:p w14:paraId="29B23637" w14:textId="19F8253A" w:rsidR="00D30CC0" w:rsidRDefault="00D30CC0">
      <w:pPr>
        <w:pStyle w:val="BodyTextIndent"/>
        <w:jc w:val="center"/>
        <w:rPr>
          <w:sz w:val="32"/>
          <w:szCs w:val="32"/>
        </w:rPr>
      </w:pPr>
      <w:r>
        <w:rPr>
          <w:sz w:val="32"/>
          <w:szCs w:val="32"/>
        </w:rPr>
        <w:t>PUC</w:t>
      </w:r>
      <w:r w:rsidR="00C54A62">
        <w:rPr>
          <w:sz w:val="32"/>
          <w:szCs w:val="32"/>
        </w:rPr>
        <w:t>T</w:t>
      </w:r>
      <w:r>
        <w:rPr>
          <w:sz w:val="32"/>
          <w:szCs w:val="32"/>
        </w:rPr>
        <w:t xml:space="preserve"> Approved on </w:t>
      </w:r>
      <w:r w:rsidR="00C54A62">
        <w:rPr>
          <w:sz w:val="32"/>
          <w:szCs w:val="32"/>
        </w:rPr>
        <w:t>3/13/25</w:t>
      </w:r>
    </w:p>
    <w:p w14:paraId="51CCD585" w14:textId="40523BCB" w:rsidR="00D62FE5" w:rsidRPr="00D62FE5" w:rsidRDefault="00D62FE5">
      <w:pPr>
        <w:pStyle w:val="BodyTextIndent"/>
        <w:jc w:val="center"/>
        <w:rPr>
          <w:sz w:val="32"/>
          <w:szCs w:val="32"/>
        </w:rPr>
      </w:pPr>
      <w:r w:rsidRPr="00F90EF2">
        <w:rPr>
          <w:sz w:val="32"/>
          <w:szCs w:val="32"/>
        </w:rPr>
        <w:t xml:space="preserve">Effective Date of </w:t>
      </w:r>
      <w:r w:rsidR="00C54A62">
        <w:rPr>
          <w:sz w:val="32"/>
          <w:szCs w:val="32"/>
        </w:rPr>
        <w:t>4/1/25</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rPr>
          <w:rFonts w:asciiTheme="minorHAnsi" w:eastAsiaTheme="minorEastAsia" w:hAnsiTheme="minorHAnsi" w:cstheme="minorBidi"/>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AE3B80">
      <w:pPr>
        <w:pStyle w:val="TOC3"/>
        <w:rPr>
          <w:rFonts w:asciiTheme="minorHAnsi" w:eastAsiaTheme="minorEastAsia" w:hAnsiTheme="minorHAnsi" w:cstheme="minorBidi"/>
          <w:noProof/>
          <w:sz w:val="22"/>
          <w:szCs w:val="22"/>
        </w:rPr>
      </w:pPr>
      <w:hyperlink w:anchor="_Toc139626031" w:history="1">
        <w:r w:rsidRPr="00AD59F4">
          <w:rPr>
            <w:rStyle w:val="Hyperlink"/>
            <w:noProof/>
          </w:rPr>
          <w:t>Regulation Service Requirement Details</w:t>
        </w:r>
        <w:r>
          <w:rPr>
            <w:noProof/>
            <w:webHidden/>
          </w:rPr>
          <w:tab/>
        </w:r>
        <w:r>
          <w:rPr>
            <w:noProof/>
            <w:webHidden/>
          </w:rPr>
          <w:fldChar w:fldCharType="begin"/>
        </w:r>
        <w:r>
          <w:rPr>
            <w:noProof/>
            <w:webHidden/>
          </w:rPr>
          <w:instrText xml:space="preserve"> PAGEREF _Toc139626031 \h </w:instrText>
        </w:r>
        <w:r>
          <w:rPr>
            <w:noProof/>
            <w:webHidden/>
          </w:rPr>
        </w:r>
        <w:r>
          <w:rPr>
            <w:noProof/>
            <w:webHidden/>
          </w:rPr>
          <w:fldChar w:fldCharType="separate"/>
        </w:r>
        <w:r>
          <w:rPr>
            <w:noProof/>
            <w:webHidden/>
          </w:rPr>
          <w:t>3</w:t>
        </w:r>
        <w:r>
          <w:rPr>
            <w:noProof/>
            <w:webHidden/>
          </w:rPr>
          <w:fldChar w:fldCharType="end"/>
        </w:r>
      </w:hyperlink>
    </w:p>
    <w:p w14:paraId="1D4B12B3" w14:textId="1CEC334D" w:rsidR="00AE3B80" w:rsidRDefault="00AE3B80">
      <w:pPr>
        <w:pStyle w:val="TOC3"/>
        <w:rPr>
          <w:rFonts w:asciiTheme="minorHAnsi" w:eastAsiaTheme="minorEastAsia" w:hAnsiTheme="minorHAnsi" w:cstheme="minorBidi"/>
          <w:noProof/>
          <w:sz w:val="22"/>
          <w:szCs w:val="22"/>
        </w:rPr>
      </w:pPr>
      <w:hyperlink w:anchor="_Toc139626032" w:history="1">
        <w:r w:rsidRPr="00AD59F4">
          <w:rPr>
            <w:rStyle w:val="Hyperlink"/>
            <w:noProof/>
          </w:rPr>
          <w:t>Non-Spinning Reserve (Non-Spin) Requirement Details</w:t>
        </w:r>
        <w:r>
          <w:rPr>
            <w:noProof/>
            <w:webHidden/>
          </w:rPr>
          <w:tab/>
        </w:r>
        <w:r>
          <w:rPr>
            <w:noProof/>
            <w:webHidden/>
          </w:rPr>
          <w:fldChar w:fldCharType="begin"/>
        </w:r>
        <w:r>
          <w:rPr>
            <w:noProof/>
            <w:webHidden/>
          </w:rPr>
          <w:instrText xml:space="preserve"> PAGEREF _Toc139626032 \h </w:instrText>
        </w:r>
        <w:r>
          <w:rPr>
            <w:noProof/>
            <w:webHidden/>
          </w:rPr>
        </w:r>
        <w:r>
          <w:rPr>
            <w:noProof/>
            <w:webHidden/>
          </w:rPr>
          <w:fldChar w:fldCharType="separate"/>
        </w:r>
        <w:r>
          <w:rPr>
            <w:noProof/>
            <w:webHidden/>
          </w:rPr>
          <w:t>9</w:t>
        </w:r>
        <w:r>
          <w:rPr>
            <w:noProof/>
            <w:webHidden/>
          </w:rPr>
          <w:fldChar w:fldCharType="end"/>
        </w:r>
      </w:hyperlink>
    </w:p>
    <w:p w14:paraId="64193059" w14:textId="67950705" w:rsidR="00AE3B80" w:rsidRDefault="00AE3B80">
      <w:pPr>
        <w:pStyle w:val="TOC3"/>
        <w:rPr>
          <w:rFonts w:asciiTheme="minorHAnsi" w:eastAsiaTheme="minorEastAsia" w:hAnsiTheme="minorHAnsi" w:cstheme="minorBidi"/>
          <w:noProof/>
          <w:sz w:val="22"/>
          <w:szCs w:val="22"/>
        </w:rPr>
      </w:pPr>
      <w:hyperlink w:anchor="_Toc139626033" w:history="1">
        <w:r w:rsidRPr="00AD59F4">
          <w:rPr>
            <w:rStyle w:val="Hyperlink"/>
            <w:noProof/>
          </w:rPr>
          <w:t>Responsive Reserve (RRS) Requirement Details</w:t>
        </w:r>
        <w:r>
          <w:rPr>
            <w:noProof/>
            <w:webHidden/>
          </w:rPr>
          <w:tab/>
        </w:r>
        <w:r>
          <w:rPr>
            <w:noProof/>
            <w:webHidden/>
          </w:rPr>
          <w:fldChar w:fldCharType="begin"/>
        </w:r>
        <w:r>
          <w:rPr>
            <w:noProof/>
            <w:webHidden/>
          </w:rPr>
          <w:instrText xml:space="preserve"> PAGEREF _Toc139626033 \h </w:instrText>
        </w:r>
        <w:r>
          <w:rPr>
            <w:noProof/>
            <w:webHidden/>
          </w:rPr>
        </w:r>
        <w:r>
          <w:rPr>
            <w:noProof/>
            <w:webHidden/>
          </w:rPr>
          <w:fldChar w:fldCharType="separate"/>
        </w:r>
        <w:r>
          <w:rPr>
            <w:noProof/>
            <w:webHidden/>
          </w:rPr>
          <w:t>15</w:t>
        </w:r>
        <w:r>
          <w:rPr>
            <w:noProof/>
            <w:webHidden/>
          </w:rPr>
          <w:fldChar w:fldCharType="end"/>
        </w:r>
      </w:hyperlink>
    </w:p>
    <w:p w14:paraId="35609F93" w14:textId="4936C07A" w:rsidR="00AE3B80" w:rsidRDefault="00AE3B80">
      <w:pPr>
        <w:pStyle w:val="TOC3"/>
        <w:rPr>
          <w:rFonts w:asciiTheme="minorHAnsi" w:eastAsiaTheme="minorEastAsia" w:hAnsiTheme="minorHAnsi" w:cstheme="minorBidi"/>
          <w:noProof/>
          <w:sz w:val="22"/>
          <w:szCs w:val="22"/>
        </w:rPr>
      </w:pPr>
      <w:hyperlink w:anchor="_Toc139626034" w:history="1">
        <w:r w:rsidRPr="00AD59F4">
          <w:rPr>
            <w:rStyle w:val="Hyperlink"/>
            <w:noProof/>
          </w:rPr>
          <w:t>ERCOT Contingency Reserve Service (ECRS) Details</w:t>
        </w:r>
        <w:r>
          <w:rPr>
            <w:noProof/>
            <w:webHidden/>
          </w:rPr>
          <w:tab/>
        </w:r>
        <w:r>
          <w:rPr>
            <w:noProof/>
            <w:webHidden/>
          </w:rPr>
          <w:fldChar w:fldCharType="begin"/>
        </w:r>
        <w:r>
          <w:rPr>
            <w:noProof/>
            <w:webHidden/>
          </w:rPr>
          <w:instrText xml:space="preserve"> PAGEREF _Toc139626034 \h </w:instrText>
        </w:r>
        <w:r>
          <w:rPr>
            <w:noProof/>
            <w:webHidden/>
          </w:rPr>
        </w:r>
        <w:r>
          <w:rPr>
            <w:noProof/>
            <w:webHidden/>
          </w:rPr>
          <w:fldChar w:fldCharType="separate"/>
        </w:r>
        <w:r>
          <w:rPr>
            <w:noProof/>
            <w:webHidden/>
          </w:rPr>
          <w:t>16</w:t>
        </w:r>
        <w:r>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139626030"/>
      <w:r>
        <w:lastRenderedPageBreak/>
        <w:t>Introduction</w:t>
      </w:r>
      <w:bookmarkEnd w:id="0"/>
    </w:p>
    <w:p w14:paraId="7456A932" w14:textId="3B724C85"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w:t>
      </w:r>
      <w:r w:rsidR="005F6465">
        <w:rPr>
          <w:iCs/>
          <w:szCs w:val="20"/>
        </w:rPr>
        <w:t>review</w:t>
      </w:r>
      <w:r w:rsidR="005F6465" w:rsidRPr="003A24F9">
        <w:rPr>
          <w:iCs/>
          <w:szCs w:val="20"/>
        </w:rPr>
        <w:t xml:space="preserve"> </w:t>
      </w:r>
      <w:r w:rsidR="00B320AB" w:rsidRPr="003A24F9">
        <w:rPr>
          <w:iCs/>
          <w:szCs w:val="20"/>
        </w:rPr>
        <w:t>of this methodology by the ERCOT</w:t>
      </w:r>
      <w:r w:rsidR="005F6465">
        <w:rPr>
          <w:iCs/>
          <w:szCs w:val="20"/>
        </w:rPr>
        <w:t xml:space="preserve"> Board of Directors and approval by the</w:t>
      </w:r>
      <w:r w:rsidR="00B320AB" w:rsidRPr="003A24F9">
        <w:rPr>
          <w:iCs/>
          <w:szCs w:val="20"/>
        </w:rPr>
        <w:t xml:space="preserve"> </w:t>
      </w:r>
      <w:r w:rsidR="00CA2966">
        <w:t>Public Utility Commission of Texas (PUCT)</w:t>
      </w:r>
      <w:r w:rsidR="00B320AB" w:rsidRPr="003A24F9">
        <w:rPr>
          <w:iCs/>
          <w:szCs w:val="20"/>
        </w:rPr>
        <w:t>.</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r w:rsidR="00DC539A">
        <w:rPr>
          <w:iCs/>
          <w:szCs w:val="20"/>
        </w:rPr>
        <w:t xml:space="preserve">ERCOT Contingency Reserve Service (ECRS), </w:t>
      </w:r>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139626031"/>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63AE6255"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w:t>
      </w:r>
      <w:r w:rsidR="002A372B">
        <w:rPr>
          <w:iCs/>
          <w:szCs w:val="20"/>
        </w:rPr>
        <w:t xml:space="preserve">calculate </w:t>
      </w:r>
      <w:r w:rsidR="00EC31F8" w:rsidRPr="003A24F9">
        <w:rPr>
          <w:iCs/>
          <w:szCs w:val="20"/>
        </w:rPr>
        <w:t xml:space="preserve">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2A372B">
        <w:rPr>
          <w:iCs/>
          <w:szCs w:val="20"/>
        </w:rPr>
        <w:t xml:space="preserve">forecast error </w:t>
      </w:r>
      <w:r w:rsidR="00EC31F8" w:rsidRPr="003A24F9">
        <w:rPr>
          <w:iCs/>
          <w:szCs w:val="20"/>
        </w:rPr>
        <w:t xml:space="preserve">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r w:rsidR="00FA29F0">
        <w:rPr>
          <w:iCs/>
          <w:szCs w:val="20"/>
        </w:rPr>
        <w:t xml:space="preserve">for </w:t>
      </w:r>
      <w:r w:rsidR="00FA29F0" w:rsidRPr="003A24F9">
        <w:rPr>
          <w:iCs/>
          <w:szCs w:val="20"/>
        </w:rPr>
        <w:t>accumulated</w:t>
      </w:r>
      <w:r w:rsidR="00FA29F0" w:rsidRPr="00FA29F0">
        <w:rPr>
          <w:iCs/>
          <w:szCs w:val="20"/>
        </w:rPr>
        <w:t xml:space="preserve"> Area Control Error (ACE).</w:t>
      </w:r>
    </w:p>
    <w:p w14:paraId="7903790B" w14:textId="33FF43FA"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w:t>
      </w:r>
      <w:r w:rsidR="002F5B81">
        <w:rPr>
          <w:iCs/>
          <w:szCs w:val="20"/>
        </w:rPr>
        <w:t xml:space="preserve">forecast error </w:t>
      </w:r>
      <w:r w:rsidR="00CA6243">
        <w:rPr>
          <w:iCs/>
          <w:szCs w:val="20"/>
        </w:rPr>
        <w:t xml:space="preserve">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w:t>
      </w:r>
      <w:r w:rsidR="002F5B81">
        <w:rPr>
          <w:iCs/>
          <w:szCs w:val="20"/>
        </w:rPr>
        <w:t xml:space="preserve">forecast error </w:t>
      </w:r>
      <w:r w:rsidR="00CA6243">
        <w:rPr>
          <w:iCs/>
          <w:szCs w:val="20"/>
        </w:rPr>
        <w:t xml:space="preserve">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lastRenderedPageBreak/>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146E1A82" w14:textId="51228DD5" w:rsidR="00B320AB" w:rsidRPr="003A24F9" w:rsidRDefault="00B320AB" w:rsidP="0051646F">
      <w:pPr>
        <w:pStyle w:val="H3"/>
        <w:ind w:left="0" w:firstLine="0"/>
        <w:jc w:val="both"/>
      </w:pPr>
      <w:bookmarkStart w:id="3" w:name="_Toc342049963"/>
      <w:bookmarkStart w:id="4" w:name="_Toc139626032"/>
      <w:r w:rsidRPr="003A24F9">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are capable of reducing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5" w:name="_Hlk87454449"/>
      <w:r>
        <w:t xml:space="preserve">ERCOT will post the monthly amounts for Non-Spin requirements </w:t>
      </w:r>
      <w:r w:rsidRPr="005C28BF">
        <w:t>for</w:t>
      </w:r>
      <w:r>
        <w:t xml:space="preserve"> the upcoming year on the MIS.</w:t>
      </w:r>
      <w:r w:rsidR="00F802A7">
        <w:t xml:space="preserve"> </w:t>
      </w:r>
      <w:bookmarkStart w:id="6"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 xml:space="preserve">identified as having an increased potential of high forecast </w:t>
      </w:r>
      <w:r w:rsidR="00F802A7" w:rsidRPr="00F802A7">
        <w:lastRenderedPageBreak/>
        <w:t>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6"/>
    </w:p>
    <w:bookmarkEnd w:id="5"/>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t>Procedure</w:t>
      </w:r>
    </w:p>
    <w:p w14:paraId="4F2E739F" w14:textId="1722DC45" w:rsidR="00D62CAA" w:rsidRDefault="00AE3B80" w:rsidP="00DC7664">
      <w:pPr>
        <w:pStyle w:val="BodyTextNumbered"/>
        <w:ind w:left="0" w:firstLine="0"/>
        <w:jc w:val="both"/>
      </w:pPr>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w:t>
      </w:r>
      <w:r w:rsidR="00F84F3B">
        <w:t xml:space="preserve">The COPs and MTLF used for </w:t>
      </w:r>
      <w:r w:rsidR="00F84F3B">
        <w:rPr>
          <w:iCs/>
        </w:rPr>
        <w:t xml:space="preserve">HE23, HE24, HE01 and HE02 </w:t>
      </w:r>
      <w:r w:rsidR="00F84F3B">
        <w:t>are the updated values as of four hours prior to each Operating Hour. For remaining hours, t</w:t>
      </w:r>
      <w:r>
        <w:t xml:space="preserve">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0EE426EE" w:rsidR="005C06D5"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w:t>
      </w:r>
      <w:r w:rsidRPr="00C533B6">
        <w:rPr>
          <w:iCs/>
        </w:rPr>
        <w:t xml:space="preserve">.  </w:t>
      </w:r>
      <w:r w:rsidR="00714F0F" w:rsidRPr="00C533B6">
        <w:rPr>
          <w:iCs/>
        </w:rPr>
        <w:t>A fixed value of 68</w:t>
      </w:r>
      <w:r w:rsidR="00714F0F" w:rsidRPr="00C533B6">
        <w:rPr>
          <w:iCs/>
          <w:vertAlign w:val="superscript"/>
        </w:rPr>
        <w:t>th</w:t>
      </w:r>
      <w:r w:rsidR="00714F0F" w:rsidRPr="00C533B6">
        <w:rPr>
          <w:iCs/>
        </w:rPr>
        <w:t xml:space="preserve"> percentile will be assigned to </w:t>
      </w:r>
      <w:r w:rsidR="00000CB5" w:rsidRPr="00C533B6">
        <w:rPr>
          <w:iCs/>
        </w:rPr>
        <w:t>HE23, HE24, HE01 and HE02</w:t>
      </w:r>
      <w:r w:rsidR="00787295" w:rsidRPr="00C533B6">
        <w:rPr>
          <w:iCs/>
        </w:rPr>
        <w:t xml:space="preserve"> to the net load forecast uncertainty calculated previously</w:t>
      </w:r>
      <w:r w:rsidR="00000CB5" w:rsidRPr="00C533B6">
        <w:rPr>
          <w:iCs/>
        </w:rPr>
        <w:t xml:space="preserve">. </w:t>
      </w:r>
      <w:r w:rsidR="00C16F0F" w:rsidRPr="00C533B6">
        <w:rPr>
          <w:iCs/>
        </w:rPr>
        <w:t>Additionally, i</w:t>
      </w:r>
      <w:r w:rsidR="00787295" w:rsidRPr="00C533B6">
        <w:rPr>
          <w:iCs/>
        </w:rPr>
        <w:t xml:space="preserve">n all seasons excluding Winter, </w:t>
      </w:r>
      <w:r w:rsidR="00C16F0F" w:rsidRPr="00C533B6">
        <w:rPr>
          <w:iCs/>
        </w:rPr>
        <w:t xml:space="preserve">in hours </w:t>
      </w:r>
      <w:r w:rsidR="00E2671A" w:rsidRPr="00C533B6">
        <w:rPr>
          <w:iCs/>
        </w:rPr>
        <w:t xml:space="preserve">HE03, HE04, HE05, HE06 </w:t>
      </w:r>
      <w:r w:rsidR="00C16F0F" w:rsidRPr="00C533B6">
        <w:rPr>
          <w:iCs/>
        </w:rPr>
        <w:t>a fixed value of 68</w:t>
      </w:r>
      <w:r w:rsidR="00C16F0F" w:rsidRPr="00C533B6">
        <w:rPr>
          <w:iCs/>
          <w:vertAlign w:val="superscript"/>
        </w:rPr>
        <w:t>th</w:t>
      </w:r>
      <w:r w:rsidR="00C16F0F" w:rsidRPr="00C533B6">
        <w:rPr>
          <w:iCs/>
        </w:rPr>
        <w:t xml:space="preserve"> percentile will be assigned for</w:t>
      </w:r>
      <w:r w:rsidR="00787295" w:rsidRPr="00C533B6">
        <w:rPr>
          <w:iCs/>
        </w:rPr>
        <w:t xml:space="preserve"> the net load forecast uncertainty calculated previously</w:t>
      </w:r>
      <w:r w:rsidR="00285156" w:rsidRPr="00C533B6">
        <w:rPr>
          <w:iCs/>
        </w:rPr>
        <w:t>.</w:t>
      </w:r>
      <w:r w:rsidR="00E2671A">
        <w:rPr>
          <w:iCs/>
        </w:rPr>
        <w:t xml:space="preserve"> </w:t>
      </w:r>
      <w:r w:rsidR="00285156">
        <w:rPr>
          <w:iCs/>
        </w:rPr>
        <w:t>For the remaining hours, a</w:t>
      </w:r>
      <w:r>
        <w:rPr>
          <w:iCs/>
        </w:rPr>
        <w:t xml:space="preserv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r w:rsidR="00F64B1D">
        <w:rPr>
          <w:iCs/>
        </w:rPr>
        <w:t xml:space="preserve"> </w:t>
      </w:r>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2473F475"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w:t>
      </w:r>
      <w:r w:rsidR="00EF04B5">
        <w:rPr>
          <w:iCs/>
        </w:rPr>
        <w:lastRenderedPageBreak/>
        <w:t>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p>
    <w:p w14:paraId="77A851CC" w14:textId="3B3D76B0" w:rsidR="00BF7144"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2BC9596A" w14:textId="45D8114F" w:rsidR="00B320AB" w:rsidRPr="003A24F9" w:rsidRDefault="00CF54B2" w:rsidP="0051646F">
      <w:pPr>
        <w:pStyle w:val="H3"/>
        <w:tabs>
          <w:tab w:val="clear" w:pos="1080"/>
          <w:tab w:val="left" w:pos="7485"/>
        </w:tabs>
        <w:ind w:left="0" w:firstLine="0"/>
        <w:jc w:val="both"/>
      </w:pPr>
      <w:bookmarkStart w:id="7" w:name="_Toc342049964"/>
      <w:bookmarkStart w:id="8" w:name="_Toc139626033"/>
      <w:r>
        <w:t>Responsive</w:t>
      </w:r>
      <w:r w:rsidR="00B320AB" w:rsidRPr="003A24F9">
        <w:t xml:space="preserve"> Reserve (RRS) Requirement</w:t>
      </w:r>
      <w:r w:rsidR="006C49B5" w:rsidRPr="003A24F9">
        <w:t xml:space="preserve"> Details</w:t>
      </w:r>
      <w:bookmarkEnd w:id="7"/>
      <w:bookmarkEnd w:id="8"/>
      <w:r w:rsidR="00B320AB" w:rsidRPr="003A24F9">
        <w:t xml:space="preserve"> </w:t>
      </w:r>
    </w:p>
    <w:p w14:paraId="6677FE17" w14:textId="4767A472"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r w:rsidR="00CD25CF">
        <w:t>365</w:t>
      </w:r>
      <w:r>
        <w:t xml:space="preserve"> </w:t>
      </w:r>
      <w:r w:rsidRPr="00E81DE2">
        <w:t xml:space="preserve">MWs.  </w:t>
      </w:r>
      <w:r w:rsidR="00B91F12">
        <w:t>T</w:t>
      </w:r>
      <w:r w:rsidR="00B91F12" w:rsidRPr="000E69DB">
        <w:rPr>
          <w:iCs/>
          <w:kern w:val="24"/>
        </w:rPr>
        <w:t>he maximum amount of RRS</w:t>
      </w:r>
      <w:r w:rsidR="00B91F12">
        <w:rPr>
          <w:iCs/>
          <w:kern w:val="24"/>
        </w:rPr>
        <w:t xml:space="preserve"> using </w:t>
      </w:r>
      <w:r w:rsidR="00B91F12" w:rsidRPr="000E69DB">
        <w:rPr>
          <w:iCs/>
          <w:kern w:val="24"/>
        </w:rPr>
        <w:t>P</w:t>
      </w:r>
      <w:r w:rsidR="00B91F12">
        <w:rPr>
          <w:iCs/>
          <w:kern w:val="24"/>
        </w:rPr>
        <w:t xml:space="preserve">rimary </w:t>
      </w:r>
      <w:r w:rsidR="00B91F12" w:rsidRPr="000E69DB">
        <w:rPr>
          <w:iCs/>
          <w:kern w:val="24"/>
        </w:rPr>
        <w:t>F</w:t>
      </w:r>
      <w:r w:rsidR="00B91F12">
        <w:rPr>
          <w:iCs/>
          <w:kern w:val="24"/>
        </w:rPr>
        <w:t>requency Response that</w:t>
      </w:r>
      <w:r w:rsidR="00B91F12" w:rsidRPr="000E69DB">
        <w:rPr>
          <w:iCs/>
          <w:kern w:val="24"/>
        </w:rPr>
        <w:t xml:space="preserve"> a single Resource can provide</w:t>
      </w:r>
      <w:r w:rsidR="00B91F12">
        <w:rPr>
          <w:iCs/>
          <w:kern w:val="24"/>
        </w:rPr>
        <w:t xml:space="preserve"> is limited to 157 MW</w:t>
      </w:r>
      <w:r w:rsidR="00B91F12" w:rsidRPr="000E69DB">
        <w:rPr>
          <w:iCs/>
          <w:kern w:val="24"/>
        </w:rPr>
        <w:t>.</w:t>
      </w:r>
      <w:r w:rsidR="00B91F12">
        <w:rPr>
          <w:iCs/>
          <w:kern w:val="24"/>
        </w:rPr>
        <w:t xml:space="preserve">  </w:t>
      </w:r>
      <w:r w:rsidRPr="00E81DE2">
        <w:t xml:space="preserve">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w:t>
      </w:r>
      <w:r w:rsidRPr="00E81DE2">
        <w:rPr>
          <w:szCs w:val="20"/>
        </w:rPr>
        <w:lastRenderedPageBreak/>
        <w:t>Load Resources.</w:t>
      </w:r>
      <w:r w:rsidR="00C90668" w:rsidRPr="00C90668">
        <w:t xml:space="preserve"> </w:t>
      </w:r>
    </w:p>
    <w:p w14:paraId="245B963E" w14:textId="055A5036"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p>
    <w:p w14:paraId="42015945" w14:textId="77777777" w:rsidR="00AE3B80" w:rsidRPr="003A24F9" w:rsidRDefault="00AE3B80" w:rsidP="00AE3B80">
      <w:pPr>
        <w:pStyle w:val="H3"/>
        <w:ind w:left="0" w:firstLine="0"/>
        <w:jc w:val="both"/>
      </w:pPr>
      <w:bookmarkStart w:id="9" w:name="_Toc139626034"/>
      <w:r>
        <w:rPr>
          <w:lang w:val="en-US"/>
        </w:rPr>
        <w:t>ERCOT Contingency Reserve Service (ECRS)</w:t>
      </w:r>
      <w:r w:rsidRPr="003A24F9">
        <w:t xml:space="preserve"> Details</w:t>
      </w:r>
      <w:bookmarkEnd w:id="9"/>
    </w:p>
    <w:p w14:paraId="48CA9531" w14:textId="77777777" w:rsidR="00AE3B80" w:rsidRDefault="00AE3B80" w:rsidP="00AE3B80">
      <w:pPr>
        <w:pStyle w:val="Heading5"/>
        <w:spacing w:after="100" w:afterAutospacing="1"/>
        <w:jc w:val="both"/>
      </w:pPr>
      <w:r>
        <w:t>Introduction</w:t>
      </w:r>
    </w:p>
    <w:p w14:paraId="555AD205" w14:textId="773ABDE7" w:rsidR="00AE3B80" w:rsidRPr="00AE3B80" w:rsidRDefault="00AE3B80" w:rsidP="00AE3B80">
      <w:pPr>
        <w:pStyle w:val="BodyTextNumbered"/>
        <w:ind w:left="0" w:firstLine="0"/>
        <w:jc w:val="both"/>
        <w:rPr>
          <w:rStyle w:val="CommentReference"/>
          <w:sz w:val="24"/>
          <w:szCs w:val="20"/>
        </w:rPr>
      </w:pPr>
      <w:r w:rsidRPr="002139D2">
        <w:rPr>
          <w:szCs w:val="24"/>
        </w:rPr>
        <w:t xml:space="preserve">ECRS is a service that is provided using capacity </w:t>
      </w:r>
      <w:r w:rsidR="0061493B">
        <w:rPr>
          <w:szCs w:val="24"/>
        </w:rPr>
        <w:t xml:space="preserve">that is </w:t>
      </w:r>
      <w:r w:rsidR="0061493B">
        <w:t>capable of being ramped to a specified output level within 10 minutes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705FDEA6"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r w:rsidR="00CD25CF">
        <w:t xml:space="preserve">maximum </w:t>
      </w:r>
      <w:r>
        <w:t xml:space="preserve">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39CD118C"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r w:rsidRPr="004A7CAC">
        <w:t xml:space="preserve">will cover </w:t>
      </w:r>
      <w:r w:rsidR="00CD25CF">
        <w:t>70</w:t>
      </w:r>
      <w:r w:rsidRPr="004A7CAC">
        <w:t>% of historic system inertia conditions for each hour for the month</w:t>
      </w:r>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4454F47D" w:rsidR="00AE3B80" w:rsidRDefault="00AE3B80" w:rsidP="00AE3B80">
      <w:pPr>
        <w:pStyle w:val="BodyTextNumbered"/>
        <w:ind w:left="0" w:firstLine="0"/>
        <w:jc w:val="both"/>
        <w:rPr>
          <w:iCs/>
        </w:rPr>
      </w:pPr>
      <w:r>
        <w:rPr>
          <w:iCs/>
        </w:rPr>
        <w:lastRenderedPageBreak/>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p>
    <w:p w14:paraId="3FF9CC70" w14:textId="0A343C40" w:rsidR="00AE3B80" w:rsidRDefault="00AE3B80" w:rsidP="00AE3B80">
      <w:pPr>
        <w:spacing w:after="240"/>
        <w:jc w:val="both"/>
        <w:rPr>
          <w:szCs w:val="20"/>
        </w:rPr>
      </w:pPr>
      <w:r>
        <w:rPr>
          <w:iCs/>
        </w:rPr>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w:t>
      </w:r>
    </w:p>
    <w:p w14:paraId="33C4F140" w14:textId="77777777" w:rsidR="00FE0904" w:rsidRDefault="00FE0904" w:rsidP="006C6E56">
      <w:pPr>
        <w:pStyle w:val="BodyTextNumbered"/>
        <w:ind w:left="0" w:firstLine="0"/>
        <w:jc w:val="both"/>
      </w:pPr>
    </w:p>
    <w:sectPr w:rsidR="00FE0904" w:rsidSect="00CF54B2">
      <w:footerReference w:type="even" r:id="rId8"/>
      <w:footerReference w:type="default" r:id="rId9"/>
      <w:footerReference w:type="first" r:id="rId10"/>
      <w:pgSz w:w="12240" w:h="15840" w:code="1"/>
      <w:pgMar w:top="1296"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5E348" w14:textId="77777777" w:rsidR="00AB7B9D" w:rsidRDefault="00AB7B9D">
      <w:r>
        <w:separator/>
      </w:r>
    </w:p>
  </w:endnote>
  <w:endnote w:type="continuationSeparator" w:id="0">
    <w:p w14:paraId="199FF49F" w14:textId="77777777" w:rsidR="00AB7B9D" w:rsidRDefault="00AB7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3A0CD946" w:rsidR="008C28FC" w:rsidRPr="00C45C33" w:rsidRDefault="008C28FC" w:rsidP="0071158E">
    <w:pPr>
      <w:pStyle w:val="Footer"/>
      <w:ind w:right="360"/>
      <w:rPr>
        <w:sz w:val="20"/>
      </w:rPr>
    </w:pPr>
    <w:r>
      <w:rPr>
        <w:sz w:val="20"/>
      </w:rPr>
      <w:t>ERCOT Methodologies for Determining Minimum Ancillary Service Requirements</w:t>
    </w:r>
    <w:r w:rsidR="00C54A62">
      <w:rPr>
        <w:sz w:val="20"/>
      </w:rPr>
      <w:t xml:space="preserve"> 040125</w:t>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37178518" w:rsidR="008C28FC" w:rsidRPr="00284F2C" w:rsidRDefault="008C28FC" w:rsidP="00284F2C">
    <w:pPr>
      <w:pStyle w:val="Footer"/>
      <w:ind w:right="360"/>
      <w:rPr>
        <w:sz w:val="20"/>
      </w:rPr>
    </w:pPr>
    <w:r>
      <w:rPr>
        <w:sz w:val="20"/>
      </w:rPr>
      <w:t xml:space="preserve">ERCOT Methodologies for Determining Minimum Ancillary Service Requirements </w:t>
    </w:r>
    <w:r w:rsidR="00C54A62">
      <w:rPr>
        <w:sz w:val="20"/>
      </w:rPr>
      <w:t>040125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39156" w14:textId="77777777" w:rsidR="00AB7B9D" w:rsidRDefault="00AB7B9D">
      <w:r>
        <w:separator/>
      </w:r>
    </w:p>
  </w:footnote>
  <w:footnote w:type="continuationSeparator" w:id="0">
    <w:p w14:paraId="37DCAE11" w14:textId="77777777" w:rsidR="00AB7B9D" w:rsidRDefault="00AB7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87"/>
    <w:rsid w:val="00000CB5"/>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18EA"/>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3EF2"/>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E77EC"/>
    <w:rsid w:val="000F1FD1"/>
    <w:rsid w:val="000F2C68"/>
    <w:rsid w:val="000F5F78"/>
    <w:rsid w:val="001001E7"/>
    <w:rsid w:val="00101547"/>
    <w:rsid w:val="001025D4"/>
    <w:rsid w:val="0010645D"/>
    <w:rsid w:val="00107487"/>
    <w:rsid w:val="00110306"/>
    <w:rsid w:val="00113F7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05D7"/>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589B"/>
    <w:rsid w:val="001E5B48"/>
    <w:rsid w:val="001E6F07"/>
    <w:rsid w:val="001F0019"/>
    <w:rsid w:val="001F03E0"/>
    <w:rsid w:val="001F220B"/>
    <w:rsid w:val="001F6AA7"/>
    <w:rsid w:val="001F6C09"/>
    <w:rsid w:val="001F6D03"/>
    <w:rsid w:val="001F7EFE"/>
    <w:rsid w:val="00200764"/>
    <w:rsid w:val="00203D69"/>
    <w:rsid w:val="00205C6F"/>
    <w:rsid w:val="00205F18"/>
    <w:rsid w:val="00206471"/>
    <w:rsid w:val="00210469"/>
    <w:rsid w:val="002105A2"/>
    <w:rsid w:val="00210D5B"/>
    <w:rsid w:val="00211A63"/>
    <w:rsid w:val="00211C67"/>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156"/>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72B"/>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2166"/>
    <w:rsid w:val="002E3116"/>
    <w:rsid w:val="002E3BD3"/>
    <w:rsid w:val="002E6F6A"/>
    <w:rsid w:val="002E7C37"/>
    <w:rsid w:val="002F217F"/>
    <w:rsid w:val="002F2DEF"/>
    <w:rsid w:val="002F5095"/>
    <w:rsid w:val="002F592C"/>
    <w:rsid w:val="002F5B81"/>
    <w:rsid w:val="003008A0"/>
    <w:rsid w:val="003016B4"/>
    <w:rsid w:val="00305184"/>
    <w:rsid w:val="00305C1B"/>
    <w:rsid w:val="00306EE6"/>
    <w:rsid w:val="003101F6"/>
    <w:rsid w:val="00311129"/>
    <w:rsid w:val="00311C3E"/>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1A47"/>
    <w:rsid w:val="003E224C"/>
    <w:rsid w:val="003E3504"/>
    <w:rsid w:val="003E3FBD"/>
    <w:rsid w:val="003E5623"/>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57F"/>
    <w:rsid w:val="00431F1A"/>
    <w:rsid w:val="00434CA2"/>
    <w:rsid w:val="00436119"/>
    <w:rsid w:val="004373F9"/>
    <w:rsid w:val="00440FFD"/>
    <w:rsid w:val="00441A1F"/>
    <w:rsid w:val="00442777"/>
    <w:rsid w:val="00443BC6"/>
    <w:rsid w:val="00445B27"/>
    <w:rsid w:val="004475F0"/>
    <w:rsid w:val="00450571"/>
    <w:rsid w:val="00451A44"/>
    <w:rsid w:val="00454845"/>
    <w:rsid w:val="004611D5"/>
    <w:rsid w:val="00462B9C"/>
    <w:rsid w:val="00463676"/>
    <w:rsid w:val="00465634"/>
    <w:rsid w:val="004668F0"/>
    <w:rsid w:val="00470FA7"/>
    <w:rsid w:val="00471209"/>
    <w:rsid w:val="00471DC6"/>
    <w:rsid w:val="004733DB"/>
    <w:rsid w:val="00473F6C"/>
    <w:rsid w:val="00473FD6"/>
    <w:rsid w:val="00474B10"/>
    <w:rsid w:val="00476C88"/>
    <w:rsid w:val="004871D5"/>
    <w:rsid w:val="00487DA1"/>
    <w:rsid w:val="00491277"/>
    <w:rsid w:val="004917FC"/>
    <w:rsid w:val="00492960"/>
    <w:rsid w:val="00496996"/>
    <w:rsid w:val="00496DDE"/>
    <w:rsid w:val="004A7CAC"/>
    <w:rsid w:val="004B04ED"/>
    <w:rsid w:val="004C00F4"/>
    <w:rsid w:val="004C03AD"/>
    <w:rsid w:val="004C0C38"/>
    <w:rsid w:val="004C1783"/>
    <w:rsid w:val="004C2A6B"/>
    <w:rsid w:val="004C364B"/>
    <w:rsid w:val="004C4B51"/>
    <w:rsid w:val="004D04C0"/>
    <w:rsid w:val="004D0893"/>
    <w:rsid w:val="004D0E57"/>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464E"/>
    <w:rsid w:val="00570D2A"/>
    <w:rsid w:val="00571568"/>
    <w:rsid w:val="00573179"/>
    <w:rsid w:val="00583BE4"/>
    <w:rsid w:val="00584562"/>
    <w:rsid w:val="0058570C"/>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170"/>
    <w:rsid w:val="005E0B95"/>
    <w:rsid w:val="005E3D8D"/>
    <w:rsid w:val="005E7A70"/>
    <w:rsid w:val="005F05D4"/>
    <w:rsid w:val="005F2540"/>
    <w:rsid w:val="005F6465"/>
    <w:rsid w:val="005F7A23"/>
    <w:rsid w:val="005F7CDF"/>
    <w:rsid w:val="006004C0"/>
    <w:rsid w:val="0060177B"/>
    <w:rsid w:val="00604C13"/>
    <w:rsid w:val="0060514C"/>
    <w:rsid w:val="006053CF"/>
    <w:rsid w:val="00606AA6"/>
    <w:rsid w:val="00610A60"/>
    <w:rsid w:val="00611084"/>
    <w:rsid w:val="00611163"/>
    <w:rsid w:val="00611831"/>
    <w:rsid w:val="0061205B"/>
    <w:rsid w:val="006141AA"/>
    <w:rsid w:val="00614923"/>
    <w:rsid w:val="0061493B"/>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270F"/>
    <w:rsid w:val="00646BCF"/>
    <w:rsid w:val="00647D89"/>
    <w:rsid w:val="006501EC"/>
    <w:rsid w:val="006516E0"/>
    <w:rsid w:val="00655882"/>
    <w:rsid w:val="00657024"/>
    <w:rsid w:val="00660E9E"/>
    <w:rsid w:val="006622CC"/>
    <w:rsid w:val="00665F47"/>
    <w:rsid w:val="00666945"/>
    <w:rsid w:val="00666D5C"/>
    <w:rsid w:val="00667EC9"/>
    <w:rsid w:val="00670131"/>
    <w:rsid w:val="006712F7"/>
    <w:rsid w:val="00671AB9"/>
    <w:rsid w:val="00674D13"/>
    <w:rsid w:val="00674D64"/>
    <w:rsid w:val="00675992"/>
    <w:rsid w:val="00676CD6"/>
    <w:rsid w:val="00677AD0"/>
    <w:rsid w:val="00682794"/>
    <w:rsid w:val="00687CB3"/>
    <w:rsid w:val="00690144"/>
    <w:rsid w:val="006902D1"/>
    <w:rsid w:val="00690929"/>
    <w:rsid w:val="00690CB8"/>
    <w:rsid w:val="00691293"/>
    <w:rsid w:val="00692314"/>
    <w:rsid w:val="0069310D"/>
    <w:rsid w:val="006A44F5"/>
    <w:rsid w:val="006A4739"/>
    <w:rsid w:val="006A639D"/>
    <w:rsid w:val="006A63B5"/>
    <w:rsid w:val="006A6784"/>
    <w:rsid w:val="006B40AB"/>
    <w:rsid w:val="006C49B5"/>
    <w:rsid w:val="006C51BC"/>
    <w:rsid w:val="006C525D"/>
    <w:rsid w:val="006C586A"/>
    <w:rsid w:val="006C5A25"/>
    <w:rsid w:val="006C6A8A"/>
    <w:rsid w:val="006C6E56"/>
    <w:rsid w:val="006C7A80"/>
    <w:rsid w:val="006D07F8"/>
    <w:rsid w:val="006D44E7"/>
    <w:rsid w:val="006D634D"/>
    <w:rsid w:val="006E1613"/>
    <w:rsid w:val="006E16F0"/>
    <w:rsid w:val="006E3234"/>
    <w:rsid w:val="006E4214"/>
    <w:rsid w:val="006F3427"/>
    <w:rsid w:val="006F34CB"/>
    <w:rsid w:val="006F3A9C"/>
    <w:rsid w:val="006F4C6E"/>
    <w:rsid w:val="006F4CC6"/>
    <w:rsid w:val="006F6202"/>
    <w:rsid w:val="007015B2"/>
    <w:rsid w:val="00701E0D"/>
    <w:rsid w:val="00701E5A"/>
    <w:rsid w:val="0070328F"/>
    <w:rsid w:val="0071158E"/>
    <w:rsid w:val="00714F0F"/>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46DD4"/>
    <w:rsid w:val="00750269"/>
    <w:rsid w:val="00754022"/>
    <w:rsid w:val="0075445E"/>
    <w:rsid w:val="0075586A"/>
    <w:rsid w:val="007569F0"/>
    <w:rsid w:val="007579A6"/>
    <w:rsid w:val="007635DD"/>
    <w:rsid w:val="00763B57"/>
    <w:rsid w:val="007657AA"/>
    <w:rsid w:val="00765A97"/>
    <w:rsid w:val="00767D39"/>
    <w:rsid w:val="007760E8"/>
    <w:rsid w:val="00780EB2"/>
    <w:rsid w:val="00782438"/>
    <w:rsid w:val="007855AC"/>
    <w:rsid w:val="00785BE2"/>
    <w:rsid w:val="00787295"/>
    <w:rsid w:val="00791E43"/>
    <w:rsid w:val="007921E5"/>
    <w:rsid w:val="007967EE"/>
    <w:rsid w:val="00797ECF"/>
    <w:rsid w:val="007A1667"/>
    <w:rsid w:val="007A3374"/>
    <w:rsid w:val="007A4918"/>
    <w:rsid w:val="007B033F"/>
    <w:rsid w:val="007B17A0"/>
    <w:rsid w:val="007B1AD9"/>
    <w:rsid w:val="007B1B42"/>
    <w:rsid w:val="007B2A67"/>
    <w:rsid w:val="007B2CC6"/>
    <w:rsid w:val="007B45F5"/>
    <w:rsid w:val="007B4C2D"/>
    <w:rsid w:val="007B5C85"/>
    <w:rsid w:val="007B5CB8"/>
    <w:rsid w:val="007C06D4"/>
    <w:rsid w:val="007C1A17"/>
    <w:rsid w:val="007C2B4F"/>
    <w:rsid w:val="007C4C63"/>
    <w:rsid w:val="007C4EAD"/>
    <w:rsid w:val="007C5DB2"/>
    <w:rsid w:val="007D045C"/>
    <w:rsid w:val="007D045E"/>
    <w:rsid w:val="007D39B5"/>
    <w:rsid w:val="007D6C03"/>
    <w:rsid w:val="007D6C29"/>
    <w:rsid w:val="007D7BBF"/>
    <w:rsid w:val="007E1A0B"/>
    <w:rsid w:val="007E262C"/>
    <w:rsid w:val="007E33DF"/>
    <w:rsid w:val="007E34EA"/>
    <w:rsid w:val="007E3C4F"/>
    <w:rsid w:val="007E3F05"/>
    <w:rsid w:val="007E41AB"/>
    <w:rsid w:val="007E47E9"/>
    <w:rsid w:val="007E5B97"/>
    <w:rsid w:val="007E705B"/>
    <w:rsid w:val="007E72E1"/>
    <w:rsid w:val="007F01F1"/>
    <w:rsid w:val="007F03CA"/>
    <w:rsid w:val="007F08C2"/>
    <w:rsid w:val="007F24C1"/>
    <w:rsid w:val="008009C9"/>
    <w:rsid w:val="00801C9B"/>
    <w:rsid w:val="00802162"/>
    <w:rsid w:val="00802242"/>
    <w:rsid w:val="008112EF"/>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4745B"/>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51C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6562"/>
    <w:rsid w:val="008E7D43"/>
    <w:rsid w:val="008F217D"/>
    <w:rsid w:val="008F5F94"/>
    <w:rsid w:val="008F6371"/>
    <w:rsid w:val="008F6718"/>
    <w:rsid w:val="008F68E5"/>
    <w:rsid w:val="00903249"/>
    <w:rsid w:val="009038A3"/>
    <w:rsid w:val="0090453D"/>
    <w:rsid w:val="00904E38"/>
    <w:rsid w:val="00905568"/>
    <w:rsid w:val="00905644"/>
    <w:rsid w:val="00906321"/>
    <w:rsid w:val="00910320"/>
    <w:rsid w:val="00911ABD"/>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C7204"/>
    <w:rsid w:val="009D1108"/>
    <w:rsid w:val="009D3E0A"/>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26CD"/>
    <w:rsid w:val="00A15895"/>
    <w:rsid w:val="00A15B62"/>
    <w:rsid w:val="00A16B94"/>
    <w:rsid w:val="00A17537"/>
    <w:rsid w:val="00A1759E"/>
    <w:rsid w:val="00A175B1"/>
    <w:rsid w:val="00A20A01"/>
    <w:rsid w:val="00A224BE"/>
    <w:rsid w:val="00A23657"/>
    <w:rsid w:val="00A243D8"/>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30CB"/>
    <w:rsid w:val="00A745FA"/>
    <w:rsid w:val="00A7655B"/>
    <w:rsid w:val="00A76C99"/>
    <w:rsid w:val="00A77699"/>
    <w:rsid w:val="00A80D4C"/>
    <w:rsid w:val="00A81D46"/>
    <w:rsid w:val="00A835F4"/>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B7B9D"/>
    <w:rsid w:val="00AC0A71"/>
    <w:rsid w:val="00AC2F42"/>
    <w:rsid w:val="00AC7334"/>
    <w:rsid w:val="00AD1297"/>
    <w:rsid w:val="00AD13B0"/>
    <w:rsid w:val="00AD253E"/>
    <w:rsid w:val="00AD47CD"/>
    <w:rsid w:val="00AD47D2"/>
    <w:rsid w:val="00AD5A36"/>
    <w:rsid w:val="00AD6E5C"/>
    <w:rsid w:val="00AD77F2"/>
    <w:rsid w:val="00AE37A7"/>
    <w:rsid w:val="00AE3B80"/>
    <w:rsid w:val="00AE42C2"/>
    <w:rsid w:val="00AE6987"/>
    <w:rsid w:val="00AF05B8"/>
    <w:rsid w:val="00AF0717"/>
    <w:rsid w:val="00AF07EB"/>
    <w:rsid w:val="00AF1847"/>
    <w:rsid w:val="00AF218D"/>
    <w:rsid w:val="00B00B77"/>
    <w:rsid w:val="00B011A7"/>
    <w:rsid w:val="00B01ACA"/>
    <w:rsid w:val="00B0237D"/>
    <w:rsid w:val="00B02FEC"/>
    <w:rsid w:val="00B05257"/>
    <w:rsid w:val="00B10FE9"/>
    <w:rsid w:val="00B110E4"/>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6F79"/>
    <w:rsid w:val="00B77501"/>
    <w:rsid w:val="00B77D54"/>
    <w:rsid w:val="00B81D6B"/>
    <w:rsid w:val="00B91F12"/>
    <w:rsid w:val="00B928FE"/>
    <w:rsid w:val="00B9575A"/>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9B7"/>
    <w:rsid w:val="00BE7F31"/>
    <w:rsid w:val="00BF0705"/>
    <w:rsid w:val="00BF1230"/>
    <w:rsid w:val="00BF1790"/>
    <w:rsid w:val="00BF1B48"/>
    <w:rsid w:val="00BF2839"/>
    <w:rsid w:val="00BF319A"/>
    <w:rsid w:val="00BF35CE"/>
    <w:rsid w:val="00BF5AAE"/>
    <w:rsid w:val="00BF5C8E"/>
    <w:rsid w:val="00BF7144"/>
    <w:rsid w:val="00BF733B"/>
    <w:rsid w:val="00BF7A03"/>
    <w:rsid w:val="00BF7A67"/>
    <w:rsid w:val="00C02D78"/>
    <w:rsid w:val="00C0538F"/>
    <w:rsid w:val="00C06F2F"/>
    <w:rsid w:val="00C079E6"/>
    <w:rsid w:val="00C10B05"/>
    <w:rsid w:val="00C12172"/>
    <w:rsid w:val="00C125D4"/>
    <w:rsid w:val="00C167F7"/>
    <w:rsid w:val="00C16F0F"/>
    <w:rsid w:val="00C223F6"/>
    <w:rsid w:val="00C2453B"/>
    <w:rsid w:val="00C2496E"/>
    <w:rsid w:val="00C25142"/>
    <w:rsid w:val="00C252E9"/>
    <w:rsid w:val="00C3023F"/>
    <w:rsid w:val="00C31D92"/>
    <w:rsid w:val="00C331CC"/>
    <w:rsid w:val="00C3383F"/>
    <w:rsid w:val="00C340E6"/>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3B6"/>
    <w:rsid w:val="00C53A5E"/>
    <w:rsid w:val="00C53C55"/>
    <w:rsid w:val="00C54A62"/>
    <w:rsid w:val="00C559FF"/>
    <w:rsid w:val="00C55FAF"/>
    <w:rsid w:val="00C562A2"/>
    <w:rsid w:val="00C5670B"/>
    <w:rsid w:val="00C605E9"/>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966"/>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05"/>
    <w:rsid w:val="00CC25D1"/>
    <w:rsid w:val="00CC26E6"/>
    <w:rsid w:val="00CC4426"/>
    <w:rsid w:val="00CC576E"/>
    <w:rsid w:val="00CC597A"/>
    <w:rsid w:val="00CC758B"/>
    <w:rsid w:val="00CD1898"/>
    <w:rsid w:val="00CD19E5"/>
    <w:rsid w:val="00CD22FE"/>
    <w:rsid w:val="00CD25CF"/>
    <w:rsid w:val="00CD4127"/>
    <w:rsid w:val="00CD50FA"/>
    <w:rsid w:val="00CE0184"/>
    <w:rsid w:val="00CE1A05"/>
    <w:rsid w:val="00CE1E2F"/>
    <w:rsid w:val="00CE3A17"/>
    <w:rsid w:val="00CE4E05"/>
    <w:rsid w:val="00CE59EA"/>
    <w:rsid w:val="00CE7CB1"/>
    <w:rsid w:val="00CF1B8A"/>
    <w:rsid w:val="00CF1C19"/>
    <w:rsid w:val="00CF479A"/>
    <w:rsid w:val="00CF4CA4"/>
    <w:rsid w:val="00CF54B2"/>
    <w:rsid w:val="00CF77E2"/>
    <w:rsid w:val="00D013EB"/>
    <w:rsid w:val="00D02BA5"/>
    <w:rsid w:val="00D0326A"/>
    <w:rsid w:val="00D03865"/>
    <w:rsid w:val="00D04ED5"/>
    <w:rsid w:val="00D057C3"/>
    <w:rsid w:val="00D058E5"/>
    <w:rsid w:val="00D05F37"/>
    <w:rsid w:val="00D07CBD"/>
    <w:rsid w:val="00D10467"/>
    <w:rsid w:val="00D10934"/>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0CC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73146"/>
    <w:rsid w:val="00D80F82"/>
    <w:rsid w:val="00D81CD8"/>
    <w:rsid w:val="00D82BEB"/>
    <w:rsid w:val="00D83525"/>
    <w:rsid w:val="00D838DE"/>
    <w:rsid w:val="00D8436E"/>
    <w:rsid w:val="00D848E3"/>
    <w:rsid w:val="00D87413"/>
    <w:rsid w:val="00D875FF"/>
    <w:rsid w:val="00D901B0"/>
    <w:rsid w:val="00D927DC"/>
    <w:rsid w:val="00D93088"/>
    <w:rsid w:val="00D9337A"/>
    <w:rsid w:val="00DA3A6F"/>
    <w:rsid w:val="00DA6527"/>
    <w:rsid w:val="00DB02AF"/>
    <w:rsid w:val="00DB043D"/>
    <w:rsid w:val="00DB0DA5"/>
    <w:rsid w:val="00DB3C88"/>
    <w:rsid w:val="00DB3F75"/>
    <w:rsid w:val="00DB6D2E"/>
    <w:rsid w:val="00DB7F69"/>
    <w:rsid w:val="00DC25AF"/>
    <w:rsid w:val="00DC45BF"/>
    <w:rsid w:val="00DC49C5"/>
    <w:rsid w:val="00DC539A"/>
    <w:rsid w:val="00DC7638"/>
    <w:rsid w:val="00DC7664"/>
    <w:rsid w:val="00DD13B0"/>
    <w:rsid w:val="00DD18A1"/>
    <w:rsid w:val="00DD1CBB"/>
    <w:rsid w:val="00DD339E"/>
    <w:rsid w:val="00DD6D0B"/>
    <w:rsid w:val="00DD70ED"/>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4C9C"/>
    <w:rsid w:val="00E15173"/>
    <w:rsid w:val="00E158FF"/>
    <w:rsid w:val="00E16CFA"/>
    <w:rsid w:val="00E20730"/>
    <w:rsid w:val="00E21052"/>
    <w:rsid w:val="00E219EC"/>
    <w:rsid w:val="00E2286E"/>
    <w:rsid w:val="00E2671A"/>
    <w:rsid w:val="00E27F82"/>
    <w:rsid w:val="00E302F5"/>
    <w:rsid w:val="00E326DF"/>
    <w:rsid w:val="00E34760"/>
    <w:rsid w:val="00E34F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54CB"/>
    <w:rsid w:val="00E76BE2"/>
    <w:rsid w:val="00E77FCB"/>
    <w:rsid w:val="00E810E5"/>
    <w:rsid w:val="00E818B8"/>
    <w:rsid w:val="00E81A62"/>
    <w:rsid w:val="00E854D1"/>
    <w:rsid w:val="00E859B2"/>
    <w:rsid w:val="00E85BA6"/>
    <w:rsid w:val="00E86221"/>
    <w:rsid w:val="00E90E9E"/>
    <w:rsid w:val="00E929DB"/>
    <w:rsid w:val="00E92F3D"/>
    <w:rsid w:val="00E95BDD"/>
    <w:rsid w:val="00E95F39"/>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1FDF"/>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4B1D"/>
    <w:rsid w:val="00F65FFF"/>
    <w:rsid w:val="00F70540"/>
    <w:rsid w:val="00F70C7A"/>
    <w:rsid w:val="00F728C2"/>
    <w:rsid w:val="00F72F8B"/>
    <w:rsid w:val="00F72F8D"/>
    <w:rsid w:val="00F75871"/>
    <w:rsid w:val="00F769D1"/>
    <w:rsid w:val="00F802A7"/>
    <w:rsid w:val="00F81111"/>
    <w:rsid w:val="00F81986"/>
    <w:rsid w:val="00F84F3B"/>
    <w:rsid w:val="00F909AD"/>
    <w:rsid w:val="00F90AB6"/>
    <w:rsid w:val="00F90EF2"/>
    <w:rsid w:val="00F92191"/>
    <w:rsid w:val="00F93766"/>
    <w:rsid w:val="00F938F1"/>
    <w:rsid w:val="00F95581"/>
    <w:rsid w:val="00FA29F0"/>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00D4C"/>
  <w15:docId w15:val="{0A9D83B0-CA27-4767-AFCC-F612EE17B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3296</Words>
  <Characters>18793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22045</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dc:description/>
  <cp:lastModifiedBy>IMM 031925</cp:lastModifiedBy>
  <cp:revision>3</cp:revision>
  <cp:lastPrinted>2013-11-25T23:07:00Z</cp:lastPrinted>
  <dcterms:created xsi:type="dcterms:W3CDTF">2025-03-20T13:25:00Z</dcterms:created>
  <dcterms:modified xsi:type="dcterms:W3CDTF">2025-03-20T13:27:00Z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