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E630B0">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E630B0">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E630B0">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E630B0">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E630B0">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E630B0">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E630B0">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E630B0">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7D82ACB7" w:rsidR="007E2347" w:rsidRDefault="00E76FEC" w:rsidP="00A41032">
      <w:pPr>
        <w:tabs>
          <w:tab w:val="center" w:pos="0"/>
        </w:tabs>
        <w:rPr>
          <w:ins w:id="257" w:author="Huang, Fred" w:date="2022-05-21T10:44:00Z"/>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which requires ERCOT to post the methodology used to calculate the </w:t>
      </w:r>
      <w:r w:rsidR="00C769DB">
        <w:rPr>
          <w:iCs/>
          <w:szCs w:val="20"/>
        </w:rPr>
        <w:t>Maximum Daily Resource Planned Outage Capacity</w:t>
      </w:r>
      <w:r w:rsidR="00BF3E95">
        <w:rPr>
          <w:iCs/>
          <w:szCs w:val="20"/>
        </w:rPr>
        <w:t xml:space="preserve"> on the ERCOT website,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1928D0DC" w14:textId="4DE13C72" w:rsidR="00B66334" w:rsidRDefault="00B66334" w:rsidP="00A41032">
      <w:pPr>
        <w:tabs>
          <w:tab w:val="center" w:pos="0"/>
        </w:tabs>
        <w:rPr>
          <w:ins w:id="258" w:author="Huang, Fred" w:date="2022-05-21T10:44:00Z"/>
          <w:iCs/>
          <w:szCs w:val="20"/>
        </w:rPr>
      </w:pPr>
    </w:p>
    <w:p w14:paraId="54D8C7EA" w14:textId="4AD03C50" w:rsidR="00B66334" w:rsidRDefault="00B71A6F" w:rsidP="00A41032">
      <w:pPr>
        <w:tabs>
          <w:tab w:val="center" w:pos="0"/>
        </w:tabs>
        <w:rPr>
          <w:ins w:id="259" w:author="ERCOT_06032022" w:date="2022-06-03T12:12:00Z"/>
          <w:iCs/>
          <w:szCs w:val="20"/>
        </w:rPr>
      </w:pPr>
      <w:ins w:id="260" w:author="ERCOT_06032022" w:date="2022-06-04T10:50:00Z">
        <w:r>
          <w:rPr>
            <w:iCs/>
            <w:szCs w:val="20"/>
          </w:rPr>
          <w:t>For</w:t>
        </w:r>
      </w:ins>
      <w:ins w:id="261" w:author="ERCOT_06032022" w:date="2022-06-03T12:11:00Z">
        <w:r w:rsidR="00CF56D7">
          <w:rPr>
            <w:iCs/>
            <w:szCs w:val="20"/>
          </w:rPr>
          <w:t xml:space="preserve"> each calendar year, </w:t>
        </w:r>
      </w:ins>
      <w:ins w:id="262" w:author="Huang, Fred" w:date="2022-05-21T10:47:00Z">
        <w:r w:rsidR="00B66334">
          <w:rPr>
            <w:iCs/>
            <w:szCs w:val="20"/>
          </w:rPr>
          <w:t xml:space="preserve">ERCOT will </w:t>
        </w:r>
      </w:ins>
      <w:ins w:id="263" w:author="Huang, Fred" w:date="2022-05-21T10:52:00Z">
        <w:r w:rsidR="00B66334">
          <w:rPr>
            <w:iCs/>
            <w:szCs w:val="20"/>
          </w:rPr>
          <w:t xml:space="preserve">review the current methodology </w:t>
        </w:r>
      </w:ins>
      <w:ins w:id="264" w:author="Huang, Fred" w:date="2022-05-21T10:53:00Z">
        <w:r w:rsidR="00B66334">
          <w:rPr>
            <w:iCs/>
            <w:szCs w:val="20"/>
          </w:rPr>
          <w:t>and the calculated Maximum Daily Resource Planned Outage Capacity</w:t>
        </w:r>
        <w:del w:id="265" w:author="ERCOT_06032022" w:date="2022-06-03T12:11:00Z">
          <w:r w:rsidR="00B66334" w:rsidDel="00CF56D7">
            <w:rPr>
              <w:iCs/>
              <w:szCs w:val="20"/>
            </w:rPr>
            <w:delText xml:space="preserve"> annually</w:delText>
          </w:r>
        </w:del>
        <w:del w:id="266" w:author="ERCOT_06032022" w:date="2022-06-04T10:51:00Z">
          <w:r w:rsidR="00B66334" w:rsidDel="00B71A6F">
            <w:rPr>
              <w:iCs/>
              <w:szCs w:val="20"/>
            </w:rPr>
            <w:delText>. ERCOT will</w:delText>
          </w:r>
        </w:del>
      </w:ins>
      <w:ins w:id="267" w:author="ERCOT_06032022" w:date="2022-06-04T10:51:00Z">
        <w:r>
          <w:rPr>
            <w:iCs/>
            <w:szCs w:val="20"/>
          </w:rPr>
          <w:t xml:space="preserve"> and</w:t>
        </w:r>
      </w:ins>
      <w:ins w:id="268" w:author="Huang, Fred" w:date="2022-05-21T10:52:00Z">
        <w:r w:rsidR="00B66334">
          <w:rPr>
            <w:iCs/>
            <w:szCs w:val="20"/>
          </w:rPr>
          <w:t xml:space="preserve"> report </w:t>
        </w:r>
      </w:ins>
      <w:ins w:id="269" w:author="Huang, Fred" w:date="2022-05-21T10:54:00Z">
        <w:r w:rsidR="00B66334">
          <w:rPr>
            <w:iCs/>
            <w:szCs w:val="20"/>
          </w:rPr>
          <w:t>its findings</w:t>
        </w:r>
      </w:ins>
      <w:ins w:id="270" w:author="Huang, Fred" w:date="2022-05-21T10:52:00Z">
        <w:r w:rsidR="00B66334">
          <w:rPr>
            <w:iCs/>
            <w:szCs w:val="20"/>
          </w:rPr>
          <w:t xml:space="preserve"> to </w:t>
        </w:r>
      </w:ins>
      <w:ins w:id="271" w:author="Huang, Fred" w:date="2022-05-21T10:47:00Z">
        <w:r w:rsidR="00B66334">
          <w:rPr>
            <w:iCs/>
            <w:szCs w:val="20"/>
          </w:rPr>
          <w:t xml:space="preserve">Technical </w:t>
        </w:r>
      </w:ins>
      <w:ins w:id="272" w:author="Huang, Fred" w:date="2022-05-21T10:48:00Z">
        <w:r w:rsidR="00B66334">
          <w:rPr>
            <w:iCs/>
            <w:szCs w:val="20"/>
          </w:rPr>
          <w:t>Advisory Committee (TAC)</w:t>
        </w:r>
      </w:ins>
      <w:ins w:id="273" w:author="Huang, Fred" w:date="2022-05-21T10:45:00Z">
        <w:del w:id="274" w:author="ERCOT_06032022" w:date="2022-06-04T10:52:00Z">
          <w:r w:rsidR="00B66334" w:rsidDel="00B71A6F">
            <w:rPr>
              <w:iCs/>
              <w:szCs w:val="20"/>
            </w:rPr>
            <w:delText xml:space="preserve"> </w:delText>
          </w:r>
        </w:del>
      </w:ins>
      <w:ins w:id="275" w:author="Huang, Fred" w:date="2022-05-21T10:53:00Z">
        <w:del w:id="276" w:author="ERCOT_06032022" w:date="2022-06-04T10:52:00Z">
          <w:r w:rsidR="00B66334" w:rsidDel="00B71A6F">
            <w:rPr>
              <w:iCs/>
              <w:szCs w:val="20"/>
            </w:rPr>
            <w:delText>annually</w:delText>
          </w:r>
        </w:del>
      </w:ins>
      <w:ins w:id="277" w:author="Huang, Fred" w:date="2022-05-21T10:48:00Z">
        <w:r w:rsidR="00B66334">
          <w:rPr>
            <w:iCs/>
            <w:szCs w:val="20"/>
          </w:rPr>
          <w:t xml:space="preserve">. </w:t>
        </w:r>
      </w:ins>
      <w:ins w:id="278" w:author="ERCOT_06032022" w:date="2022-06-03T12:11:00Z">
        <w:r w:rsidR="00CF56D7">
          <w:rPr>
            <w:iCs/>
            <w:szCs w:val="20"/>
          </w:rPr>
          <w:t xml:space="preserve">The findings </w:t>
        </w:r>
      </w:ins>
      <w:ins w:id="279" w:author="ERCOT_06032022" w:date="2022-06-05T12:11:00Z">
        <w:r w:rsidR="0019559B">
          <w:rPr>
            <w:iCs/>
            <w:szCs w:val="20"/>
          </w:rPr>
          <w:t>will</w:t>
        </w:r>
      </w:ins>
      <w:ins w:id="280" w:author="ERCOT_06032022" w:date="2022-06-03T12:11:00Z">
        <w:r w:rsidR="00CF56D7">
          <w:rPr>
            <w:iCs/>
            <w:szCs w:val="20"/>
          </w:rPr>
          <w:t xml:space="preserve"> include but not </w:t>
        </w:r>
      </w:ins>
      <w:ins w:id="281" w:author="ERCOT_06032022" w:date="2022-06-05T12:11:00Z">
        <w:r w:rsidR="0019559B">
          <w:rPr>
            <w:iCs/>
            <w:szCs w:val="20"/>
          </w:rPr>
          <w:t xml:space="preserve">be </w:t>
        </w:r>
      </w:ins>
      <w:ins w:id="282" w:author="ERCOT_06032022" w:date="2022-06-03T12:11:00Z">
        <w:r w:rsidR="00CF56D7">
          <w:rPr>
            <w:iCs/>
            <w:szCs w:val="20"/>
          </w:rPr>
          <w:t>limited to</w:t>
        </w:r>
      </w:ins>
      <w:ins w:id="283" w:author="ERCOT_06032022" w:date="2022-06-05T12:11:00Z">
        <w:r w:rsidR="0019559B">
          <w:rPr>
            <w:iCs/>
            <w:szCs w:val="20"/>
          </w:rPr>
          <w:t>, the following</w:t>
        </w:r>
      </w:ins>
      <w:ins w:id="284" w:author="ERCOT_06032022" w:date="2022-06-03T12:12:00Z">
        <w:r w:rsidR="00CF56D7">
          <w:rPr>
            <w:iCs/>
            <w:szCs w:val="20"/>
          </w:rPr>
          <w:t>:</w:t>
        </w:r>
      </w:ins>
    </w:p>
    <w:p w14:paraId="574D3A91" w14:textId="49E14C0B" w:rsidR="00B71A6F" w:rsidRDefault="00B71A6F" w:rsidP="00CF56D7">
      <w:pPr>
        <w:pStyle w:val="ListParagraph"/>
        <w:numPr>
          <w:ilvl w:val="0"/>
          <w:numId w:val="17"/>
        </w:numPr>
        <w:tabs>
          <w:tab w:val="center" w:pos="0"/>
        </w:tabs>
        <w:rPr>
          <w:ins w:id="285" w:author="ERCOT_06032022" w:date="2022-06-04T10:52:00Z"/>
          <w:iCs/>
          <w:szCs w:val="20"/>
        </w:rPr>
      </w:pPr>
      <w:ins w:id="286" w:author="ERCOT_06032022" w:date="2022-06-04T10:52:00Z">
        <w:r>
          <w:rPr>
            <w:iCs/>
            <w:szCs w:val="20"/>
          </w:rPr>
          <w:t>The aggregated hours of Resource Outages, including Planned Outages, Maintenance Outages, and Forced Outages in the preceding calendar year.</w:t>
        </w:r>
      </w:ins>
    </w:p>
    <w:p w14:paraId="3CF5F06A" w14:textId="5DC31FBB" w:rsidR="00CF56D7" w:rsidRDefault="00CF56D7" w:rsidP="00CF56D7">
      <w:pPr>
        <w:pStyle w:val="ListParagraph"/>
        <w:numPr>
          <w:ilvl w:val="0"/>
          <w:numId w:val="17"/>
        </w:numPr>
        <w:tabs>
          <w:tab w:val="center" w:pos="0"/>
        </w:tabs>
        <w:rPr>
          <w:ins w:id="287" w:author="ERCOT_06032022" w:date="2022-06-03T12:13:00Z"/>
          <w:iCs/>
          <w:szCs w:val="20"/>
        </w:rPr>
      </w:pPr>
      <w:ins w:id="288" w:author="ERCOT_06032022" w:date="2022-06-03T12:12:00Z">
        <w:r>
          <w:rPr>
            <w:iCs/>
            <w:szCs w:val="20"/>
          </w:rPr>
          <w:t xml:space="preserve">Comparison of the calculated Maximum Daily Resource Planned Outage Capacity and the aggregated </w:t>
        </w:r>
      </w:ins>
      <w:ins w:id="289" w:author="ERCOT_06032022" w:date="2022-06-04T10:53:00Z">
        <w:r w:rsidR="00B71A6F">
          <w:rPr>
            <w:iCs/>
            <w:szCs w:val="20"/>
          </w:rPr>
          <w:t xml:space="preserve">hours </w:t>
        </w:r>
      </w:ins>
      <w:ins w:id="290" w:author="ERCOT_06032022" w:date="2022-06-03T12:12:00Z">
        <w:r>
          <w:rPr>
            <w:iCs/>
            <w:szCs w:val="20"/>
          </w:rPr>
          <w:t>of thermal Resource Planned Outages in the preceding calendar year.</w:t>
        </w:r>
      </w:ins>
    </w:p>
    <w:p w14:paraId="6004CFEA" w14:textId="56B33F88" w:rsidR="00CF56D7" w:rsidRPr="00CF56D7" w:rsidDel="00B71A6F" w:rsidRDefault="00CF56D7">
      <w:pPr>
        <w:pStyle w:val="ListParagraph"/>
        <w:numPr>
          <w:ilvl w:val="0"/>
          <w:numId w:val="17"/>
        </w:numPr>
        <w:tabs>
          <w:tab w:val="center" w:pos="0"/>
        </w:tabs>
        <w:rPr>
          <w:del w:id="291" w:author="ERCOT_06032022" w:date="2022-06-04T10:52:00Z"/>
          <w:iCs/>
          <w:szCs w:val="20"/>
        </w:rPr>
        <w:pPrChange w:id="292" w:author="ERCOT_06032022" w:date="2022-06-03T12:12:00Z">
          <w:pPr>
            <w:tabs>
              <w:tab w:val="center" w:pos="0"/>
            </w:tabs>
          </w:pPr>
        </w:pPrChange>
      </w:pPr>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93" w:name="_Toc269281558"/>
      <w:bookmarkStart w:id="294" w:name="_Toc269281682"/>
      <w:bookmarkStart w:id="295" w:name="_Toc269281870"/>
      <w:bookmarkStart w:id="296" w:name="_Toc369177578"/>
      <w:bookmarkStart w:id="297" w:name="_Toc370806868"/>
      <w:bookmarkStart w:id="298" w:name="_Toc370985106"/>
      <w:bookmarkStart w:id="299" w:name="_Toc371343045"/>
      <w:bookmarkStart w:id="300" w:name="_Toc371347078"/>
      <w:bookmarkStart w:id="301" w:name="_Toc371665252"/>
      <w:bookmarkStart w:id="302" w:name="_Toc418158658"/>
      <w:bookmarkStart w:id="303" w:name="_Toc103062880"/>
      <w:bookmarkEnd w:id="293"/>
      <w:bookmarkEnd w:id="294"/>
      <w:bookmarkEnd w:id="295"/>
      <w:r>
        <w:rPr>
          <w:iCs/>
        </w:rPr>
        <w:t>Maximum Daily Resource Planned Outage Capacity</w:t>
      </w:r>
      <w:r>
        <w:t xml:space="preserve"> </w:t>
      </w:r>
      <w:r w:rsidR="00E76FEC">
        <w:t>for days more than seven days ahead of the operating Day</w:t>
      </w:r>
      <w:bookmarkEnd w:id="296"/>
      <w:bookmarkEnd w:id="297"/>
      <w:bookmarkEnd w:id="298"/>
      <w:bookmarkEnd w:id="299"/>
      <w:bookmarkEnd w:id="300"/>
      <w:bookmarkEnd w:id="301"/>
      <w:bookmarkEnd w:id="302"/>
      <w:bookmarkEnd w:id="303"/>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304" w:name="_Toc103062881"/>
      <w:r>
        <w:rPr>
          <w:iCs/>
        </w:rPr>
        <w:t>Maximum Daily Resource Planned Outage Capacity</w:t>
      </w:r>
      <w:r w:rsidR="005C0453">
        <w:t xml:space="preserve"> for </w:t>
      </w:r>
      <w:r w:rsidR="00666753">
        <w:t xml:space="preserve">Thermal </w:t>
      </w:r>
      <w:r w:rsidR="00E150B3">
        <w:t xml:space="preserve">Generation </w:t>
      </w:r>
      <w:r w:rsidR="005C0453">
        <w:t>Resources</w:t>
      </w:r>
      <w:bookmarkEnd w:id="304"/>
    </w:p>
    <w:p w14:paraId="5608B42A" w14:textId="70E8C644"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w:t>
      </w:r>
      <w:r w:rsidR="009E56B6">
        <w:lastRenderedPageBreak/>
        <w:t xml:space="preserve">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r w:rsidR="00E150B3">
        <w:t>–</w:t>
      </w:r>
      <w:r w:rsidR="002148F8">
        <w:t xml:space="preserve"> </w:t>
      </w:r>
      <w:r w:rsidR="00EA7264">
        <w:t>targeted reserve capacity + forecast</w:t>
      </w:r>
      <w:r w:rsidR="00E150B3">
        <w:t>ed</w:t>
      </w:r>
      <w:r w:rsidR="00EA7264">
        <w:t xml:space="preserve"> </w:t>
      </w:r>
      <w:r w:rsidR="00E150B3">
        <w:t xml:space="preserve">Demand reduction </w:t>
      </w:r>
      <w:r w:rsidR="00EA7264">
        <w:t xml:space="preserve">provided by price-responsive Demand </w:t>
      </w:r>
      <w:r w:rsidR="005C0453">
        <w:t>–</w:t>
      </w:r>
      <w:del w:id="305" w:author="Huang, Fred" w:date="2022-05-21T11:13:00Z">
        <w:r w:rsidR="005C0453" w:rsidDel="0087621B">
          <w:delText xml:space="preserve"> high </w:delText>
        </w:r>
      </w:del>
      <w:r w:rsidR="005C0453">
        <w:t>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462D85F0"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ins w:id="306" w:author="Huang, Fred" w:date="2022-05-21T11:37:00Z">
        <w:del w:id="307" w:author="ERCOT_06032022" w:date="2022-06-05T12:11:00Z">
          <w:r w:rsidR="00CD7859" w:rsidDel="0019559B">
            <w:delText xml:space="preserve">the </w:delText>
          </w:r>
        </w:del>
        <w:r w:rsidR="00CD7859">
          <w:t>Protocol Section 3.2.6.2.2</w:t>
        </w:r>
      </w:ins>
      <w:del w:id="308" w:author="Huang, Fred" w:date="2022-05-21T11:37:00Z">
        <w:r w:rsidR="00377165" w:rsidDel="00CD7859">
          <w:delText>ERCOT’s S</w:delText>
        </w:r>
        <w:r w:rsidR="009E56B6" w:rsidDel="00CD7859">
          <w:delText xml:space="preserve">easonal </w:delText>
        </w:r>
        <w:r w:rsidR="00377165" w:rsidDel="00CD7859">
          <w:delText>A</w:delText>
        </w:r>
        <w:r w:rsidR="009E56B6" w:rsidDel="00CD7859">
          <w:delText xml:space="preserve">ssessment of </w:delText>
        </w:r>
        <w:r w:rsidR="00377165" w:rsidDel="00CD7859">
          <w:delText>R</w:delText>
        </w:r>
        <w:r w:rsidR="009E56B6" w:rsidDel="00CD7859">
          <w:delText xml:space="preserve">esource </w:delText>
        </w:r>
        <w:r w:rsidR="00377165" w:rsidDel="00CD7859">
          <w:delText>A</w:delText>
        </w:r>
        <w:r w:rsidR="009E56B6" w:rsidDel="00CD7859">
          <w:delText>dequacy (SARA)</w:delText>
        </w:r>
      </w:del>
      <w:r w:rsidR="009E56B6">
        <w:t xml:space="preserve"> </w:t>
      </w:r>
      <w:ins w:id="309" w:author="Huang, Fred" w:date="2022-05-23T09:18:00Z">
        <w:r w:rsidR="0079049B">
          <w:t>for the applicable seasons</w:t>
        </w:r>
      </w:ins>
      <w:ins w:id="310" w:author="ERCOT_06032022" w:date="2022-06-05T12:11:00Z">
        <w:r w:rsidR="0019559B">
          <w:t xml:space="preserve">, and </w:t>
        </w:r>
      </w:ins>
      <w:ins w:id="311" w:author="Huang, Fred" w:date="2022-05-23T09:18:00Z">
        <w:del w:id="312" w:author="ERCOT_06032022" w:date="2022-06-05T12:11:00Z">
          <w:r w:rsidR="0079049B" w:rsidDel="0019559B">
            <w:delText xml:space="preserve"> </w:delText>
          </w:r>
        </w:del>
      </w:ins>
      <w:r w:rsidR="00666753">
        <w:t>exclud</w:t>
      </w:r>
      <w:ins w:id="313" w:author="ERCOT_06032022" w:date="2022-06-05T12:12:00Z">
        <w:r w:rsidR="0019559B">
          <w:t>es</w:t>
        </w:r>
      </w:ins>
      <w:del w:id="314" w:author="ERCOT_06032022" w:date="2022-06-05T12:12:00Z">
        <w:r w:rsidR="00666753" w:rsidDel="0019559B">
          <w:delText>ing</w:delText>
        </w:r>
      </w:del>
      <w:r w:rsidR="00666753">
        <w:t xml:space="preserve">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5B782579" w:rsidR="009E56B6" w:rsidRDefault="006C198A" w:rsidP="00A0164F">
      <w:pPr>
        <w:pStyle w:val="ListParagraph"/>
        <w:numPr>
          <w:ilvl w:val="0"/>
          <w:numId w:val="15"/>
        </w:numPr>
        <w:tabs>
          <w:tab w:val="center" w:pos="0"/>
        </w:tabs>
        <w:jc w:val="both"/>
      </w:pPr>
      <w:r>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w:t>
      </w:r>
      <w:del w:id="315" w:author="ERCOT_06032022" w:date="2022-06-05T12:12:00Z">
        <w:r w:rsidR="00A41032" w:rsidDel="0019559B">
          <w:delText xml:space="preserve">the </w:delText>
        </w:r>
      </w:del>
      <w:ins w:id="316" w:author="Huang, Fred" w:date="2022-05-21T11:27:00Z">
        <w:r w:rsidR="00907D4F">
          <w:t>Protocol Section 3.2.6.2.2</w:t>
        </w:r>
      </w:ins>
      <w:ins w:id="317" w:author="Huang, Fred" w:date="2022-05-23T09:18:00Z">
        <w:r w:rsidR="006D69EF">
          <w:t xml:space="preserve"> for the applicable seasons</w:t>
        </w:r>
      </w:ins>
      <w:del w:id="318" w:author="Huang, Fred" w:date="2022-05-21T11:27:00Z">
        <w:r w:rsidR="009E56B6" w:rsidDel="00907D4F">
          <w:delText>SARA</w:delText>
        </w:r>
      </w:del>
    </w:p>
    <w:p w14:paraId="221C15AE" w14:textId="2B427244"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w:t>
      </w:r>
      <w:del w:id="319" w:author="ERCOT_06032022" w:date="2022-06-05T12:12:00Z">
        <w:r w:rsidR="00A41032" w:rsidDel="0019559B">
          <w:delText xml:space="preserve">the </w:delText>
        </w:r>
      </w:del>
      <w:ins w:id="320" w:author="Huang, Fred" w:date="2022-05-21T11:35:00Z">
        <w:r w:rsidR="00907D4F">
          <w:t>Protocol Section 3.2.6.2.2</w:t>
        </w:r>
      </w:ins>
      <w:ins w:id="321" w:author="Huang, Fred" w:date="2022-05-23T09:26:00Z">
        <w:r w:rsidR="006D69EF">
          <w:t xml:space="preserve"> for the applicable seasons</w:t>
        </w:r>
      </w:ins>
      <w:del w:id="322" w:author="Huang, Fred" w:date="2022-05-21T11:35:00Z">
        <w:r w:rsidR="009E56B6" w:rsidDel="00907D4F">
          <w:delText>SARA</w:delText>
        </w:r>
      </w:del>
      <w:ins w:id="323" w:author="Huang, Fred" w:date="2022-05-21T11:35:00Z">
        <w:r w:rsidR="00907D4F">
          <w:t xml:space="preserve"> </w:t>
        </w:r>
      </w:ins>
    </w:p>
    <w:p w14:paraId="1E867128" w14:textId="7196C710"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 xml:space="preserve">the calculation used in </w:t>
      </w:r>
      <w:del w:id="324" w:author="ERCOT_06032022" w:date="2022-06-05T12:12:00Z">
        <w:r w:rsidR="00A41032" w:rsidDel="0019559B">
          <w:delText>the</w:delText>
        </w:r>
      </w:del>
      <w:ins w:id="325" w:author="Huang, Fred" w:date="2022-05-21T11:38:00Z">
        <w:del w:id="326" w:author="ERCOT_06032022" w:date="2022-06-05T12:12:00Z">
          <w:r w:rsidR="00CD7859" w:rsidDel="0019559B">
            <w:delText xml:space="preserve"> </w:delText>
          </w:r>
        </w:del>
        <w:r w:rsidR="00CD7859">
          <w:t>Protocol Section 3.2.6.2.2</w:t>
        </w:r>
      </w:ins>
      <w:ins w:id="327" w:author="Huang, Fred" w:date="2022-05-23T11:38:00Z">
        <w:r w:rsidR="00A0472C">
          <w:t xml:space="preserve"> for the applicable seasons</w:t>
        </w:r>
      </w:ins>
      <w:del w:id="328" w:author="Huang, Fred" w:date="2022-05-21T11:38:00Z">
        <w:r w:rsidR="00A41032" w:rsidDel="00CD7859">
          <w:delText xml:space="preserve"> </w:delText>
        </w:r>
        <w:r w:rsidR="009E56B6" w:rsidDel="00CD7859">
          <w:delText>SARA</w:delText>
        </w:r>
      </w:del>
      <w:r w:rsidR="009E56B6">
        <w:t xml:space="preserve">  </w:t>
      </w:r>
    </w:p>
    <w:p w14:paraId="207DBB0A" w14:textId="405F9A63" w:rsidR="009E56B6" w:rsidRDefault="006C198A" w:rsidP="00A0164F">
      <w:pPr>
        <w:pStyle w:val="ListParagraph"/>
        <w:numPr>
          <w:ilvl w:val="0"/>
          <w:numId w:val="15"/>
        </w:numPr>
        <w:tabs>
          <w:tab w:val="center" w:pos="0"/>
        </w:tabs>
        <w:jc w:val="both"/>
      </w:pPr>
      <w:r>
        <w:t xml:space="preserve">(+) </w:t>
      </w:r>
      <w:r w:rsidR="009E56B6">
        <w:t xml:space="preserve">capacity </w:t>
      </w:r>
      <w:del w:id="329" w:author="Huang, Fred" w:date="2022-05-23T11:06:00Z">
        <w:r w:rsidR="009E56B6" w:rsidDel="006D2103">
          <w:delText xml:space="preserve">from </w:delText>
        </w:r>
        <w:r w:rsidR="00696731" w:rsidDel="006D2103">
          <w:delText xml:space="preserve">capacity </w:delText>
        </w:r>
      </w:del>
      <w:r w:rsidR="00696731">
        <w:t xml:space="preserve">from private use network (PUN) </w:t>
      </w:r>
      <w:r w:rsidR="009E56B6">
        <w:t xml:space="preserve">is consistent with </w:t>
      </w:r>
      <w:r w:rsidR="00377165">
        <w:t xml:space="preserve">the </w:t>
      </w:r>
      <w:r w:rsidR="00A41032">
        <w:t>calculation used</w:t>
      </w:r>
      <w:r w:rsidR="00377165">
        <w:t xml:space="preserve"> </w:t>
      </w:r>
      <w:r w:rsidR="00A41032">
        <w:t xml:space="preserve">in </w:t>
      </w:r>
      <w:del w:id="330" w:author="ERCOT_06032022" w:date="2022-06-05T12:12:00Z">
        <w:r w:rsidR="00377165" w:rsidDel="0019559B">
          <w:delText xml:space="preserve">the </w:delText>
        </w:r>
      </w:del>
      <w:ins w:id="331" w:author="Huang, Fred" w:date="2022-05-21T11:39:00Z">
        <w:r w:rsidR="00CD7859">
          <w:t>Protocol Section 3.2.6.2.2</w:t>
        </w:r>
      </w:ins>
      <w:ins w:id="332" w:author="Huang, Fred" w:date="2022-05-23T09:23:00Z">
        <w:r w:rsidR="006D69EF">
          <w:t xml:space="preserve"> for the applicable seasons</w:t>
        </w:r>
      </w:ins>
      <w:del w:id="333" w:author="Huang, Fred" w:date="2022-05-21T11:39:00Z">
        <w:r w:rsidR="00A41032" w:rsidDel="00CD7859">
          <w:delText>SARA</w:delText>
        </w:r>
      </w:del>
    </w:p>
    <w:p w14:paraId="6C8427CC" w14:textId="159471E8"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w:t>
      </w:r>
      <w:del w:id="334" w:author="ERCOT_06032022" w:date="2022-06-05T12:12:00Z">
        <w:r w:rsidR="00A41032" w:rsidDel="0019559B">
          <w:delText>the</w:delText>
        </w:r>
        <w:r w:rsidR="009E56B6" w:rsidDel="0019559B">
          <w:delText xml:space="preserve"> </w:delText>
        </w:r>
      </w:del>
      <w:ins w:id="335" w:author="Huang, Fred" w:date="2022-05-21T11:39:00Z">
        <w:r w:rsidR="00CD7859">
          <w:t>Protocol Sectio</w:t>
        </w:r>
      </w:ins>
      <w:ins w:id="336" w:author="Huang, Fred" w:date="2022-05-21T11:40:00Z">
        <w:r w:rsidR="00CD7859">
          <w:t>n 3.2.6.2.2</w:t>
        </w:r>
      </w:ins>
      <w:ins w:id="337" w:author="Huang, Fred" w:date="2022-05-23T11:38:00Z">
        <w:r w:rsidR="00A0472C">
          <w:t xml:space="preserve"> for the application seasons</w:t>
        </w:r>
      </w:ins>
      <w:del w:id="338" w:author="Huang, Fred" w:date="2022-05-21T11:40:00Z">
        <w:r w:rsidR="009E56B6" w:rsidDel="00CD7859">
          <w:delText>SARA</w:delText>
        </w:r>
      </w:del>
    </w:p>
    <w:p w14:paraId="47A781F1" w14:textId="7203E5A3" w:rsidR="00EA7264" w:rsidRDefault="00D33FEC" w:rsidP="00A0164F">
      <w:pPr>
        <w:pStyle w:val="ListParagraph"/>
        <w:numPr>
          <w:ilvl w:val="0"/>
          <w:numId w:val="15"/>
        </w:numPr>
        <w:tabs>
          <w:tab w:val="center" w:pos="0"/>
        </w:tabs>
        <w:jc w:val="both"/>
      </w:pPr>
      <w:r>
        <w:t xml:space="preserve">(-) </w:t>
      </w:r>
      <w:r w:rsidR="00EA7264">
        <w:t xml:space="preserve">targeted reserve level is consistent with the Outage Adjustment Evaluation (OAE) in the Advance Action Notice (AAN) process described in </w:t>
      </w:r>
      <w:del w:id="339" w:author="ERCOT_06032022" w:date="2022-06-05T12:12:00Z">
        <w:r w:rsidR="00EA7264" w:rsidDel="0019559B">
          <w:delText xml:space="preserve">the </w:delText>
        </w:r>
      </w:del>
      <w:r w:rsidR="00EA7264">
        <w:t xml:space="preserve">Protocol </w:t>
      </w:r>
      <w:r w:rsidR="00377165">
        <w:t xml:space="preserve">Section </w:t>
      </w:r>
      <w:r w:rsidR="00EA7264">
        <w:t>3.1.6.9</w:t>
      </w:r>
    </w:p>
    <w:p w14:paraId="55E97390" w14:textId="5F191922"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r w:rsidR="004023D4">
        <w:t>10</w:t>
      </w:r>
      <w:r w:rsidR="004023D4" w:rsidRPr="004023D4">
        <w:rPr>
          <w:vertAlign w:val="superscript"/>
        </w:rPr>
        <w:t>th</w:t>
      </w:r>
      <w:r w:rsidR="004023D4">
        <w:t xml:space="preserve"> 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1A8D83E5"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using the 10</w:t>
      </w:r>
      <w:r w:rsidR="00395C61" w:rsidRPr="001E452C">
        <w:rPr>
          <w:vertAlign w:val="superscript"/>
        </w:rPr>
        <w:t>th</w:t>
      </w:r>
      <w:r w:rsidR="00395C61">
        <w:t xml:space="preserve"> percentile of the </w:t>
      </w:r>
      <w:r w:rsidR="008463F2">
        <w:t xml:space="preserve">historical </w:t>
      </w:r>
      <w:r w:rsidR="00395C61">
        <w:t>output per unit</w:t>
      </w:r>
      <w:ins w:id="340" w:author="ERCOT_06032022" w:date="2022-06-05T12:13:00Z">
        <w:r w:rsidR="0019559B">
          <w:t xml:space="preserve"> </w:t>
        </w:r>
      </w:ins>
      <w:r w:rsidR="00395C61">
        <w:t xml:space="preserve">of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10</w:t>
      </w:r>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C7230A2" w:rsidR="00EA7264" w:rsidRDefault="00D33FEC" w:rsidP="00A0164F">
      <w:pPr>
        <w:pStyle w:val="ListParagraph"/>
        <w:numPr>
          <w:ilvl w:val="0"/>
          <w:numId w:val="15"/>
        </w:numPr>
        <w:tabs>
          <w:tab w:val="center" w:pos="0"/>
        </w:tabs>
        <w:jc w:val="both"/>
      </w:pPr>
      <w:r>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w:t>
      </w:r>
      <w:del w:id="341" w:author="ERCOT_06032022" w:date="2022-06-05T12:13:00Z">
        <w:r w:rsidR="00EA7264" w:rsidDel="0019559B">
          <w:delText xml:space="preserve">the </w:delText>
        </w:r>
      </w:del>
      <w:r w:rsidR="00EA7264">
        <w:t xml:space="preserve">Protocol </w:t>
      </w:r>
      <w:r w:rsidR="0065232D">
        <w:t xml:space="preserve">Section </w:t>
      </w:r>
      <w:r w:rsidR="00EA7264">
        <w:t>3.1.6.9</w:t>
      </w:r>
    </w:p>
    <w:p w14:paraId="1B14BAF8" w14:textId="6E42332B" w:rsidR="009E56B6" w:rsidRDefault="00D33FEC" w:rsidP="00A0164F">
      <w:pPr>
        <w:pStyle w:val="ListParagraph"/>
        <w:numPr>
          <w:ilvl w:val="0"/>
          <w:numId w:val="15"/>
        </w:numPr>
        <w:tabs>
          <w:tab w:val="center" w:pos="0"/>
        </w:tabs>
        <w:jc w:val="both"/>
      </w:pPr>
      <w:r>
        <w:t xml:space="preserve">(-) </w:t>
      </w:r>
      <w:del w:id="342" w:author="Huang, Fred" w:date="2022-05-21T12:17:00Z">
        <w:r w:rsidR="009E56B6" w:rsidDel="00DE0D19">
          <w:delText xml:space="preserve">high </w:delText>
        </w:r>
      </w:del>
      <w:r w:rsidR="009E56B6">
        <w:t xml:space="preserve">unplanned outage capacity </w:t>
      </w:r>
      <w:r w:rsidR="009B1C3A">
        <w:t xml:space="preserve">for thermal </w:t>
      </w:r>
      <w:r w:rsidR="0065232D">
        <w:t>G</w:t>
      </w:r>
      <w:r w:rsidR="009B1C3A">
        <w:t xml:space="preserve">eneration </w:t>
      </w:r>
      <w:r w:rsidR="0065232D">
        <w:t>Resources</w:t>
      </w:r>
      <w:ins w:id="343" w:author="Huang, Fred" w:date="2022-05-23T09:57:00Z">
        <w:r w:rsidR="000E1C39">
          <w:t xml:space="preserve"> is calculated based on </w:t>
        </w:r>
      </w:ins>
      <w:ins w:id="344" w:author="ERCOT_06032022" w:date="2022-06-05T12:13:00Z">
        <w:r w:rsidR="0019559B">
          <w:t xml:space="preserve">the </w:t>
        </w:r>
      </w:ins>
      <w:ins w:id="345" w:author="Huang, Fred" w:date="2022-05-23T09:57:00Z">
        <w:r w:rsidR="000E1C39">
          <w:t>99</w:t>
        </w:r>
        <w:r w:rsidR="000E1C39" w:rsidRPr="000E1C39">
          <w:rPr>
            <w:vertAlign w:val="superscript"/>
            <w:rPrChange w:id="346" w:author="Huang, Fred" w:date="2022-05-23T09:57:00Z">
              <w:rPr/>
            </w:rPrChange>
          </w:rPr>
          <w:t>th</w:t>
        </w:r>
        <w:r w:rsidR="000E1C39">
          <w:t xml:space="preserve"> percentile of unplanned outages for the </w:t>
        </w:r>
      </w:ins>
      <w:ins w:id="347" w:author="ERCOT_06032022" w:date="2022-06-04T10:56:00Z">
        <w:r w:rsidR="00D12835">
          <w:t xml:space="preserve">peak load hours of the </w:t>
        </w:r>
      </w:ins>
      <w:ins w:id="348" w:author="Huang, Fred" w:date="2022-05-23T09:57:00Z">
        <w:r w:rsidR="000E1C39">
          <w:t>same season</w:t>
        </w:r>
        <w:del w:id="349" w:author="ERCOT_06032022" w:date="2022-06-04T10:56:00Z">
          <w:r w:rsidR="000E1C39" w:rsidDel="00D12835">
            <w:delText>s</w:delText>
          </w:r>
        </w:del>
        <w:r w:rsidR="000E1C39">
          <w:t xml:space="preserve"> </w:t>
        </w:r>
      </w:ins>
      <w:ins w:id="350" w:author="ERCOT_06032022" w:date="2022-06-05T12:13:00Z">
        <w:r w:rsidR="0019559B">
          <w:t xml:space="preserve">in the </w:t>
        </w:r>
      </w:ins>
      <w:ins w:id="351" w:author="Huang, Fred" w:date="2022-05-23T09:57:00Z">
        <w:del w:id="352" w:author="ERCOT_06032022" w:date="2022-06-05T12:13:00Z">
          <w:r w:rsidR="000E1C39" w:rsidDel="0019559B">
            <w:delText xml:space="preserve">of </w:delText>
          </w:r>
        </w:del>
        <w:r w:rsidR="000E1C39">
          <w:t>preceding 3 years</w:t>
        </w:r>
      </w:ins>
    </w:p>
    <w:p w14:paraId="5B5E5D33" w14:textId="2CB4844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ins w:id="353" w:author="Huang, Fred" w:date="2022-05-21T11:14:00Z">
        <w:r w:rsidR="0087621B">
          <w:t>, smoothed using a rolling 7-day average.</w:t>
        </w:r>
      </w:ins>
    </w:p>
    <w:p w14:paraId="3F1D02F3" w14:textId="77777777" w:rsidR="009E56B6" w:rsidRDefault="009E56B6" w:rsidP="00793D68">
      <w:pPr>
        <w:tabs>
          <w:tab w:val="center" w:pos="0"/>
        </w:tabs>
        <w:jc w:val="both"/>
      </w:pPr>
    </w:p>
    <w:p w14:paraId="67816CE5" w14:textId="262C7B6D" w:rsidR="008463F2" w:rsidRDefault="008463F2" w:rsidP="00793D68">
      <w:pPr>
        <w:tabs>
          <w:tab w:val="center" w:pos="0"/>
        </w:tabs>
        <w:jc w:val="both"/>
      </w:pPr>
      <w:r>
        <w:t xml:space="preserve">Historical Resource Planned Outages are also considered when determining the </w:t>
      </w:r>
      <w:r w:rsidR="00781746">
        <w:rPr>
          <w:iCs/>
          <w:szCs w:val="20"/>
        </w:rPr>
        <w:t>Maximum Daily Resource Planned Outage Capacity</w:t>
      </w:r>
      <w:r w:rsidR="000E7AEB">
        <w:t xml:space="preserve"> for </w:t>
      </w:r>
      <w:r w:rsidR="00666753">
        <w:t xml:space="preserve">thermal </w:t>
      </w:r>
      <w:r w:rsidR="0065232D">
        <w:t>Generation R</w:t>
      </w:r>
      <w:r w:rsidR="000E7AEB">
        <w:t>esources</w:t>
      </w:r>
      <w:r>
        <w:t>.</w:t>
      </w:r>
    </w:p>
    <w:p w14:paraId="002911E3" w14:textId="5291ED2A" w:rsidR="006C5A84" w:rsidRDefault="0065232D" w:rsidP="00A0164F">
      <w:pPr>
        <w:pStyle w:val="ListParagraph"/>
        <w:numPr>
          <w:ilvl w:val="0"/>
          <w:numId w:val="15"/>
        </w:numPr>
        <w:tabs>
          <w:tab w:val="center" w:pos="0"/>
        </w:tabs>
        <w:jc w:val="both"/>
      </w:pPr>
      <w:r>
        <w:t xml:space="preserve">The calculation of summer </w:t>
      </w:r>
      <w:r w:rsidR="00781746">
        <w:rPr>
          <w:iCs/>
          <w:szCs w:val="20"/>
        </w:rPr>
        <w:t>Maximum Daily Resource Planned Outage Capacity</w:t>
      </w:r>
      <w:r w:rsidR="006C5A84">
        <w:t xml:space="preserve"> </w:t>
      </w:r>
      <w:r>
        <w:t xml:space="preserve">values </w:t>
      </w:r>
      <w:r w:rsidR="000E7AEB">
        <w:t xml:space="preserve">for </w:t>
      </w:r>
      <w:r w:rsidR="00666753">
        <w:t xml:space="preserve">thermal </w:t>
      </w:r>
      <w:r>
        <w:t>Generation R</w:t>
      </w:r>
      <w:r w:rsidR="000E7AEB">
        <w:t xml:space="preserve">esources </w:t>
      </w:r>
      <w:r>
        <w:t xml:space="preserve">described </w:t>
      </w:r>
      <w:r w:rsidR="006C5A84">
        <w:t xml:space="preserve">in equation </w:t>
      </w:r>
      <w:r>
        <w:t>2.1</w:t>
      </w:r>
      <w:r w:rsidR="006C5A84">
        <w:t xml:space="preserve"> should not exceed 105% of the historical maximum Resource Planned Outage Capacity </w:t>
      </w:r>
      <w:r w:rsidR="000E7AEB">
        <w:t xml:space="preserve">of </w:t>
      </w:r>
      <w:r w:rsidR="00666753">
        <w:t xml:space="preserve">thermal </w:t>
      </w:r>
      <w:r>
        <w:t>Generation R</w:t>
      </w:r>
      <w:r w:rsidR="000E7AEB">
        <w:t xml:space="preserve">esources from </w:t>
      </w:r>
      <w:r w:rsidR="006C5A84">
        <w:t xml:space="preserve">the previous three </w:t>
      </w:r>
      <w:r w:rsidR="005B2973">
        <w:t>summer season</w:t>
      </w:r>
      <w:r w:rsidR="007E11E7">
        <w:t xml:space="preserve">s, and the calculation of the winter </w:t>
      </w:r>
      <w:r w:rsidR="00781746">
        <w:rPr>
          <w:iCs/>
          <w:szCs w:val="20"/>
        </w:rPr>
        <w:t>Maximum Daily Resource Planned Outage Capacity</w:t>
      </w:r>
      <w:r w:rsidR="007E11E7">
        <w:t xml:space="preserve"> values for thermal Generation Resources should not exceed 10</w:t>
      </w:r>
      <w:ins w:id="354" w:author="Huang, Fred" w:date="2022-05-21T12:17:00Z">
        <w:r w:rsidR="00DE0D19">
          <w:t>5</w:t>
        </w:r>
      </w:ins>
      <w:r w:rsidR="007E11E7">
        <w:t xml:space="preserve">% of the </w:t>
      </w:r>
      <w:r w:rsidR="00BD3774">
        <w:t xml:space="preserve">historical </w:t>
      </w:r>
      <w:r w:rsidR="007E11E7">
        <w:t>maximum Resource Planned Outage Capacity of thermal Generation Resources from the previous three winter seasons</w:t>
      </w:r>
      <w:r w:rsidR="006C5A84">
        <w:t>.</w:t>
      </w:r>
      <w:ins w:id="355" w:author="ERCOT_06032022" w:date="2022-06-04T11:11:00Z">
        <w:r w:rsidR="007B78CE">
          <w:t xml:space="preserve"> Summer months are June, July, </w:t>
        </w:r>
      </w:ins>
      <w:ins w:id="356" w:author="ERCOT_06032022" w:date="2022-06-04T11:12:00Z">
        <w:r w:rsidR="007B78CE">
          <w:t xml:space="preserve">and August; </w:t>
        </w:r>
      </w:ins>
      <w:ins w:id="357" w:author="ERCOT_06032022" w:date="2022-06-05T12:14:00Z">
        <w:r w:rsidR="0019559B">
          <w:t>w</w:t>
        </w:r>
      </w:ins>
      <w:ins w:id="358" w:author="ERCOT_06032022" w:date="2022-06-04T11:12:00Z">
        <w:r w:rsidR="007B78CE">
          <w:t>inter months are December, January, and February.</w:t>
        </w:r>
      </w:ins>
    </w:p>
    <w:p w14:paraId="4A2D76B6" w14:textId="6AA671D7" w:rsidR="006C5A84" w:rsidRPr="005C0453" w:rsidRDefault="00781746" w:rsidP="00082186">
      <w:pPr>
        <w:pStyle w:val="Heading2"/>
      </w:pPr>
      <w:bookmarkStart w:id="359" w:name="_Toc103062882"/>
      <w:r>
        <w:rPr>
          <w:iCs/>
        </w:rPr>
        <w:t>Maximum Daily Resource Planned Outage Capacity</w:t>
      </w:r>
      <w:r w:rsidR="006C5A84">
        <w:t xml:space="preserve"> for Intermittent Renewable Resources</w:t>
      </w:r>
      <w:r w:rsidR="00F54E80">
        <w:t xml:space="preserve"> (IRR)</w:t>
      </w:r>
      <w:bookmarkEnd w:id="359"/>
    </w:p>
    <w:p w14:paraId="58FEEB8E" w14:textId="05FB30B0" w:rsidR="006C5A84" w:rsidRDefault="00781746" w:rsidP="00793D68">
      <w:pPr>
        <w:tabs>
          <w:tab w:val="center" w:pos="0"/>
        </w:tabs>
        <w:jc w:val="both"/>
      </w:pPr>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p>
    <w:p w14:paraId="2AF92DDF" w14:textId="7C0972F8" w:rsidR="00666753" w:rsidRDefault="00F23074" w:rsidP="00082186">
      <w:pPr>
        <w:pStyle w:val="Heading2"/>
      </w:pPr>
      <w:bookmarkStart w:id="360" w:name="_Toc103062883"/>
      <w:r>
        <w:t xml:space="preserve">Resource Planned Outage </w:t>
      </w:r>
      <w:r w:rsidR="00BD3774">
        <w:t xml:space="preserve">Plan </w:t>
      </w:r>
      <w:r>
        <w:t xml:space="preserve">Review for </w:t>
      </w:r>
      <w:r w:rsidR="00666753">
        <w:t>Other Resources</w:t>
      </w:r>
      <w:bookmarkEnd w:id="360"/>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2AB06689"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del w:id="361" w:author="ERCOT_06032022" w:date="2022-06-05T12:14:00Z">
        <w:r w:rsidR="00BD3774" w:rsidDel="0019559B">
          <w:rPr>
            <w:iCs/>
            <w:szCs w:val="20"/>
          </w:rPr>
          <w:delText>the</w:delText>
        </w:r>
      </w:del>
      <w:ins w:id="362" w:author="Huang, Fred" w:date="2022-05-21T12:20:00Z">
        <w:del w:id="363" w:author="ERCOT_06032022" w:date="2022-06-05T12:14:00Z">
          <w:r w:rsidR="00DE0D19" w:rsidDel="0019559B">
            <w:rPr>
              <w:iCs/>
              <w:szCs w:val="20"/>
            </w:rPr>
            <w:delText xml:space="preserve"> </w:delText>
          </w:r>
        </w:del>
        <w:r w:rsidR="00DE0D19">
          <w:rPr>
            <w:iCs/>
            <w:szCs w:val="20"/>
          </w:rPr>
          <w:t>Protocol Section 3.2.6.2.2</w:t>
        </w:r>
      </w:ins>
      <w:del w:id="364" w:author="Huang, Fred" w:date="2022-05-21T12:20:00Z">
        <w:r w:rsidR="00BD3774" w:rsidDel="00DE0D19">
          <w:rPr>
            <w:iCs/>
            <w:szCs w:val="20"/>
          </w:rPr>
          <w:delText xml:space="preserve"> </w:delText>
        </w:r>
        <w:r w:rsidRPr="00666753" w:rsidDel="00DE0D19">
          <w:rPr>
            <w:iCs/>
            <w:szCs w:val="20"/>
          </w:rPr>
          <w:delText>SARA</w:delText>
        </w:r>
      </w:del>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lastRenderedPageBreak/>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365" w:name="_Toc103062884"/>
      <w:r>
        <w:rPr>
          <w:iCs/>
        </w:rPr>
        <w:t>Maximum Daily Resource Planned Outage Capacity</w:t>
      </w:r>
      <w:r w:rsidR="006C5A84">
        <w:t xml:space="preserve"> for Seven days or less prior to operating day</w:t>
      </w:r>
      <w:bookmarkStart w:id="366" w:name="_Toc302383743"/>
      <w:bookmarkEnd w:id="365"/>
    </w:p>
    <w:p w14:paraId="41F5C4D1" w14:textId="5F65C58C"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w:t>
      </w:r>
      <w:del w:id="367" w:author="ERCOT_06032022" w:date="2022-06-05T12:14:00Z">
        <w:r w:rsidDel="0019559B">
          <w:rPr>
            <w:iCs/>
            <w:szCs w:val="20"/>
          </w:rPr>
          <w:delText xml:space="preserve">the </w:delText>
        </w:r>
      </w:del>
      <w:r w:rsidR="003A2635">
        <w:rPr>
          <w:iCs/>
          <w:szCs w:val="20"/>
        </w:rPr>
        <w:t>Protocol</w:t>
      </w:r>
      <w:r>
        <w:rPr>
          <w:iCs/>
          <w:szCs w:val="20"/>
        </w:rPr>
        <w:t xml:space="preserve"> </w:t>
      </w:r>
      <w:ins w:id="368" w:author="ERCOT_06032022" w:date="2022-06-05T12:14:00Z">
        <w:r w:rsidR="0019559B">
          <w:rPr>
            <w:iCs/>
            <w:szCs w:val="20"/>
          </w:rPr>
          <w:t xml:space="preserve">Section </w:t>
        </w:r>
      </w:ins>
      <w:r>
        <w:rPr>
          <w:iCs/>
          <w:szCs w:val="20"/>
        </w:rPr>
        <w:t xml:space="preserve">3.1.6.9.  </w:t>
      </w:r>
      <w:bookmarkEnd w:id="366"/>
    </w:p>
    <w:p w14:paraId="4B31A55E" w14:textId="7B5F0CDE" w:rsidR="00FA3C81" w:rsidRPr="005C0453" w:rsidRDefault="00781746" w:rsidP="00082186">
      <w:pPr>
        <w:pStyle w:val="Heading2"/>
      </w:pPr>
      <w:bookmarkStart w:id="369" w:name="_Toc103062885"/>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369"/>
    </w:p>
    <w:p w14:paraId="7B9C6D2C" w14:textId="7135868F"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 targeted reserve levels +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r>
      <w:ins w:id="370" w:author="Huang, Fred" w:date="2022-05-21T12:22:00Z">
        <w:r w:rsidR="00DE0D19">
          <w:tab/>
        </w:r>
        <w:r w:rsidR="00DE0D19">
          <w:tab/>
        </w:r>
        <w:r w:rsidR="00DE0D19">
          <w:tab/>
        </w:r>
        <w:r w:rsidR="00DE0D19">
          <w:tab/>
        </w:r>
        <w:r w:rsidR="00DE0D19">
          <w:tab/>
        </w:r>
      </w:ins>
      <w:r w:rsidR="00DA60E2">
        <w:t xml:space="preserve">    </w:t>
      </w:r>
      <w:proofErr w:type="gramStart"/>
      <w:r w:rsidR="00DA60E2">
        <w:t xml:space="preserve">  </w:t>
      </w:r>
      <w:r w:rsidR="00446F8C">
        <w:t xml:space="preserve"> </w:t>
      </w:r>
      <w:r w:rsidR="00F36632">
        <w:t>(</w:t>
      </w:r>
      <w:proofErr w:type="gramEnd"/>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26519747" w:rsidR="00C40A9F" w:rsidRDefault="00D33FEC" w:rsidP="00A0164F">
      <w:pPr>
        <w:pStyle w:val="ListParagraph"/>
        <w:numPr>
          <w:ilvl w:val="0"/>
          <w:numId w:val="15"/>
        </w:numPr>
        <w:tabs>
          <w:tab w:val="center" w:pos="0"/>
        </w:tabs>
      </w:pPr>
      <w:r>
        <w:t>(+) t</w:t>
      </w:r>
      <w:r w:rsidR="00C40A9F">
        <w:t xml:space="preserve">he </w:t>
      </w:r>
      <w:ins w:id="371" w:author="Huang, Fred" w:date="2022-05-23T10:19:00Z">
        <w:r w:rsidR="00E4196A">
          <w:t>selected Wind-powered Generation Resource Produc</w:t>
        </w:r>
      </w:ins>
      <w:ins w:id="372" w:author="Huang, Fred" w:date="2022-05-23T10:20:00Z">
        <w:r w:rsidR="00E4196A">
          <w:t>tion Potential (WGRPP)</w:t>
        </w:r>
      </w:ins>
      <w:del w:id="373" w:author="Huang, Fred" w:date="2022-05-23T10:20:00Z">
        <w:r w:rsidR="00C40A9F" w:rsidDel="00E4196A">
          <w:delText>wind forecast</w:delText>
        </w:r>
      </w:del>
      <w:r w:rsidR="00C40A9F">
        <w:t xml:space="preserve"> </w:t>
      </w:r>
    </w:p>
    <w:p w14:paraId="1B1CC8F8" w14:textId="125EC4F9" w:rsidR="00C40A9F" w:rsidRDefault="00D33FEC" w:rsidP="00A0164F">
      <w:pPr>
        <w:pStyle w:val="ListParagraph"/>
        <w:numPr>
          <w:ilvl w:val="0"/>
          <w:numId w:val="15"/>
        </w:numPr>
        <w:tabs>
          <w:tab w:val="center" w:pos="0"/>
        </w:tabs>
      </w:pPr>
      <w:r>
        <w:t>(+) t</w:t>
      </w:r>
      <w:r w:rsidR="00C40A9F">
        <w:t xml:space="preserve">he </w:t>
      </w:r>
      <w:ins w:id="374" w:author="Huang, Fred" w:date="2022-05-23T10:20:00Z">
        <w:r w:rsidR="00E4196A">
          <w:t xml:space="preserve">selected </w:t>
        </w:r>
        <w:proofErr w:type="spellStart"/>
        <w:r w:rsidR="00E4196A">
          <w:t>PhotoVoltaic</w:t>
        </w:r>
        <w:proofErr w:type="spellEnd"/>
        <w:r w:rsidR="00E4196A">
          <w:t xml:space="preserve"> Generation Resource Production Potential (</w:t>
        </w:r>
      </w:ins>
      <w:ins w:id="375" w:author="Huang, Fred" w:date="2022-05-23T10:21:00Z">
        <w:r w:rsidR="00E4196A">
          <w:t>PVGRPP)</w:t>
        </w:r>
      </w:ins>
      <w:del w:id="376" w:author="Huang, Fred" w:date="2022-05-23T10:21:00Z">
        <w:r w:rsidR="00C40A9F" w:rsidDel="00E4196A">
          <w:delText>solar forecast</w:delText>
        </w:r>
      </w:del>
    </w:p>
    <w:p w14:paraId="24A0B7F0" w14:textId="5E5873A2"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 xml:space="preserve">is consistent with calculation used in </w:t>
      </w:r>
      <w:ins w:id="377" w:author="Huang, Fred" w:date="2022-05-21T12:21:00Z">
        <w:del w:id="378" w:author="ERCOT_06032022" w:date="2022-06-05T12:14:00Z">
          <w:r w:rsidR="00DE0D19" w:rsidDel="0019559B">
            <w:delText xml:space="preserve">the </w:delText>
          </w:r>
        </w:del>
        <w:r w:rsidR="00DE0D19">
          <w:t>Protocol Section 3.2.6.2.2</w:t>
        </w:r>
      </w:ins>
      <w:ins w:id="379" w:author="Huang, Fred" w:date="2022-05-23T11:39:00Z">
        <w:r w:rsidR="00A0472C">
          <w:t xml:space="preserve"> for the applicable seasons</w:t>
        </w:r>
      </w:ins>
      <w:del w:id="380" w:author="Huang, Fred" w:date="2022-05-21T12:21:00Z">
        <w:r w:rsidDel="00DE0D19">
          <w:delText>SARA</w:delText>
        </w:r>
      </w:del>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6026EC78"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 xml:space="preserve">ie capacity is consistent with the calculation used in </w:t>
      </w:r>
      <w:del w:id="381" w:author="ERCOT_06032022" w:date="2022-06-05T12:14:00Z">
        <w:r w:rsidR="00666753" w:rsidDel="0019559B">
          <w:delText xml:space="preserve">the </w:delText>
        </w:r>
      </w:del>
      <w:ins w:id="382" w:author="Huang, Fred" w:date="2022-05-23T11:39:00Z">
        <w:r w:rsidR="00A0472C">
          <w:t>Protocol Section 3.2.6.2.2 for the applicable seasons</w:t>
        </w:r>
      </w:ins>
      <w:del w:id="383" w:author="Huang, Fred" w:date="2022-05-23T11:39:00Z">
        <w:r w:rsidR="00666753" w:rsidDel="00A0472C">
          <w:delText>SARA</w:delText>
        </w:r>
      </w:del>
    </w:p>
    <w:p w14:paraId="7FEC2221" w14:textId="7A31D751" w:rsidR="006C198A" w:rsidRDefault="00D33FEC" w:rsidP="00A0164F">
      <w:pPr>
        <w:pStyle w:val="ListParagraph"/>
        <w:numPr>
          <w:ilvl w:val="0"/>
          <w:numId w:val="15"/>
        </w:numPr>
        <w:tabs>
          <w:tab w:val="center" w:pos="0"/>
        </w:tabs>
      </w:pPr>
      <w:r>
        <w:t xml:space="preserve">(-) </w:t>
      </w:r>
      <w:r w:rsidR="00666753">
        <w:t>the</w:t>
      </w:r>
      <w:ins w:id="384" w:author="Huang, Fred" w:date="2022-05-21T12:21:00Z">
        <w:r w:rsidR="00DE0D19">
          <w:t xml:space="preserve"> </w:t>
        </w:r>
      </w:ins>
      <w:ins w:id="385" w:author="Huang, Fred" w:date="2022-05-23T10:21:00Z">
        <w:r w:rsidR="00E4196A">
          <w:t>selected</w:t>
        </w:r>
      </w:ins>
      <w:r w:rsidR="00666753">
        <w:t xml:space="preserve"> </w:t>
      </w:r>
      <w:r w:rsidR="00EA79D3">
        <w:t>L</w:t>
      </w:r>
      <w:r w:rsidR="006C198A">
        <w:t xml:space="preserve">oad forecast </w:t>
      </w:r>
    </w:p>
    <w:p w14:paraId="61048E42" w14:textId="771DFEB6" w:rsidR="00D33FEC" w:rsidRDefault="00D33FEC" w:rsidP="00A0164F">
      <w:pPr>
        <w:pStyle w:val="ListParagraph"/>
        <w:numPr>
          <w:ilvl w:val="0"/>
          <w:numId w:val="15"/>
        </w:numPr>
        <w:tabs>
          <w:tab w:val="center" w:pos="0"/>
        </w:tabs>
      </w:pPr>
      <w:r>
        <w:t>(-) targeted reserve levels</w:t>
      </w:r>
      <w:r w:rsidR="000140E4">
        <w:t xml:space="preserve"> </w:t>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386" w:name="_Toc103062886"/>
      <w:r>
        <w:rPr>
          <w:iCs/>
        </w:rPr>
        <w:lastRenderedPageBreak/>
        <w:t>Maximum Daily Resource Planned Outage Capacity</w:t>
      </w:r>
      <w:r w:rsidR="00081547">
        <w:t xml:space="preserve"> for Intermittent Renewable Resources (IRR)</w:t>
      </w:r>
      <w:bookmarkEnd w:id="386"/>
    </w:p>
    <w:p w14:paraId="0B28274C" w14:textId="2CEFC05E" w:rsidR="00081547" w:rsidRDefault="002605C5" w:rsidP="00081547">
      <w:pPr>
        <w:tabs>
          <w:tab w:val="center" w:pos="0"/>
        </w:tabs>
        <w:jc w:val="both"/>
      </w:pPr>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w:t>
      </w:r>
      <w:del w:id="387" w:author="Huang, Fred" w:date="2022-05-23T16:10:00Z">
        <w:r w:rsidR="00081547" w:rsidDel="008C543B">
          <w:delText>ly</w:delText>
        </w:r>
      </w:del>
      <w:r w:rsidR="00081547">
        <w:t xml:space="preserve"> three years.</w:t>
      </w:r>
      <w:r w:rsidR="004C13F9">
        <w:t xml:space="preserve"> </w:t>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388" w:name="_Toc103062887"/>
      <w:r>
        <w:t>Resource Planned Outage Request Review for Other Resources</w:t>
      </w:r>
      <w:bookmarkEnd w:id="388"/>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504AA49D"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del w:id="389" w:author="ERCOT_06032022" w:date="2022-06-05T12:15:00Z">
        <w:r w:rsidR="00EA79D3" w:rsidDel="0019559B">
          <w:rPr>
            <w:iCs/>
            <w:szCs w:val="20"/>
          </w:rPr>
          <w:delText xml:space="preserve">the </w:delText>
        </w:r>
      </w:del>
      <w:ins w:id="390" w:author="Huang, Fred" w:date="2022-05-21T12:21:00Z">
        <w:r w:rsidR="00DE0D19">
          <w:rPr>
            <w:iCs/>
            <w:szCs w:val="20"/>
          </w:rPr>
          <w:t>Protocol Sec</w:t>
        </w:r>
      </w:ins>
      <w:ins w:id="391" w:author="Huang, Fred" w:date="2022-05-21T12:22:00Z">
        <w:r w:rsidR="00DE0D19">
          <w:rPr>
            <w:iCs/>
            <w:szCs w:val="20"/>
          </w:rPr>
          <w:t>tion 3.2.6.2.2</w:t>
        </w:r>
      </w:ins>
      <w:del w:id="392" w:author="Huang, Fred" w:date="2022-05-21T12:22:00Z">
        <w:r w:rsidRPr="00666753" w:rsidDel="00DE0D19">
          <w:rPr>
            <w:iCs/>
            <w:szCs w:val="20"/>
          </w:rPr>
          <w:delText>SARA</w:delText>
        </w:r>
      </w:del>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EB2C4" w14:textId="77777777" w:rsidR="00E630B0" w:rsidRDefault="00E630B0">
      <w:r>
        <w:separator/>
      </w:r>
    </w:p>
  </w:endnote>
  <w:endnote w:type="continuationSeparator" w:id="0">
    <w:p w14:paraId="5A12DE00" w14:textId="77777777" w:rsidR="00E630B0" w:rsidRDefault="00E6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C48D4" w14:textId="77777777" w:rsidR="00E630B0" w:rsidRDefault="00E630B0">
      <w:r>
        <w:separator/>
      </w:r>
    </w:p>
  </w:footnote>
  <w:footnote w:type="continuationSeparator" w:id="0">
    <w:p w14:paraId="0EB2B996" w14:textId="77777777" w:rsidR="00E630B0" w:rsidRDefault="00E63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2143657"/>
    <w:multiLevelType w:val="hybridMultilevel"/>
    <w:tmpl w:val="A814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4"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6"/>
  </w:num>
  <w:num w:numId="2">
    <w:abstractNumId w:val="4"/>
  </w:num>
  <w:num w:numId="3">
    <w:abstractNumId w:val="8"/>
  </w:num>
  <w:num w:numId="4">
    <w:abstractNumId w:val="7"/>
  </w:num>
  <w:num w:numId="5">
    <w:abstractNumId w:val="12"/>
  </w:num>
  <w:num w:numId="6">
    <w:abstractNumId w:val="5"/>
  </w:num>
  <w:num w:numId="7">
    <w:abstractNumId w:val="3"/>
  </w:num>
  <w:num w:numId="8">
    <w:abstractNumId w:val="10"/>
  </w:num>
  <w:num w:numId="9">
    <w:abstractNumId w:val="2"/>
  </w:num>
  <w:num w:numId="10">
    <w:abstractNumId w:val="1"/>
  </w:num>
  <w:num w:numId="11">
    <w:abstractNumId w:val="0"/>
  </w:num>
  <w:num w:numId="12">
    <w:abstractNumId w:val="13"/>
    <w:lvlOverride w:ilvl="0">
      <w:startOverride w:val="1"/>
    </w:lvlOverride>
  </w:num>
  <w:num w:numId="13">
    <w:abstractNumId w:val="15"/>
  </w:num>
  <w:num w:numId="14">
    <w:abstractNumId w:val="9"/>
  </w:num>
  <w:num w:numId="15">
    <w:abstractNumId w:val="14"/>
  </w:num>
  <w:num w:numId="16">
    <w:abstractNumId w:val="6"/>
  </w:num>
  <w:num w:numId="17">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ang, Fred">
    <w15:presenceInfo w15:providerId="AD" w15:userId="S::Shun-Hsien.Huang@ercot.com::604a4aa9-2658-4d75-8cf1-9e07b94baee6"/>
  </w15:person>
  <w15:person w15:author="ERCOT_06032022">
    <w15:presenceInfo w15:providerId="None" w15:userId="ERCOT_06032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28B"/>
    <w:rsid w:val="00026C89"/>
    <w:rsid w:val="00031FE6"/>
    <w:rsid w:val="00033B75"/>
    <w:rsid w:val="0004409F"/>
    <w:rsid w:val="00056B72"/>
    <w:rsid w:val="00056D59"/>
    <w:rsid w:val="000609B9"/>
    <w:rsid w:val="00060A2B"/>
    <w:rsid w:val="000633E7"/>
    <w:rsid w:val="00065F1E"/>
    <w:rsid w:val="000677F0"/>
    <w:rsid w:val="00067FE2"/>
    <w:rsid w:val="00081547"/>
    <w:rsid w:val="00082186"/>
    <w:rsid w:val="00084C70"/>
    <w:rsid w:val="000939D9"/>
    <w:rsid w:val="00097C75"/>
    <w:rsid w:val="000A25AE"/>
    <w:rsid w:val="000A6B15"/>
    <w:rsid w:val="000B1905"/>
    <w:rsid w:val="000B47A1"/>
    <w:rsid w:val="000B5AE4"/>
    <w:rsid w:val="000B7166"/>
    <w:rsid w:val="000B7D44"/>
    <w:rsid w:val="000C62D6"/>
    <w:rsid w:val="000C7BFA"/>
    <w:rsid w:val="000D5E5B"/>
    <w:rsid w:val="000E1C39"/>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59B"/>
    <w:rsid w:val="00195B2D"/>
    <w:rsid w:val="001A419F"/>
    <w:rsid w:val="001A635B"/>
    <w:rsid w:val="001A7F4C"/>
    <w:rsid w:val="001B42E2"/>
    <w:rsid w:val="001B7A35"/>
    <w:rsid w:val="001C3D65"/>
    <w:rsid w:val="001D1500"/>
    <w:rsid w:val="001D1746"/>
    <w:rsid w:val="001D744A"/>
    <w:rsid w:val="001E0CC3"/>
    <w:rsid w:val="001E1D70"/>
    <w:rsid w:val="001E3C05"/>
    <w:rsid w:val="001E452C"/>
    <w:rsid w:val="001F5336"/>
    <w:rsid w:val="00200057"/>
    <w:rsid w:val="002071D0"/>
    <w:rsid w:val="00207C6E"/>
    <w:rsid w:val="002148F8"/>
    <w:rsid w:val="00216459"/>
    <w:rsid w:val="002164E6"/>
    <w:rsid w:val="002169EC"/>
    <w:rsid w:val="00221351"/>
    <w:rsid w:val="00221FB3"/>
    <w:rsid w:val="0023374F"/>
    <w:rsid w:val="00234597"/>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49C9"/>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694"/>
    <w:rsid w:val="00316FE1"/>
    <w:rsid w:val="0032000C"/>
    <w:rsid w:val="00320A7B"/>
    <w:rsid w:val="00320BC4"/>
    <w:rsid w:val="0032677B"/>
    <w:rsid w:val="00327381"/>
    <w:rsid w:val="00334FD1"/>
    <w:rsid w:val="003374D3"/>
    <w:rsid w:val="00352C53"/>
    <w:rsid w:val="00357AF0"/>
    <w:rsid w:val="0036197E"/>
    <w:rsid w:val="00364954"/>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0A10"/>
    <w:rsid w:val="003A2635"/>
    <w:rsid w:val="003A28C3"/>
    <w:rsid w:val="003A3D77"/>
    <w:rsid w:val="003A4138"/>
    <w:rsid w:val="003C56CF"/>
    <w:rsid w:val="003C56F0"/>
    <w:rsid w:val="003E314C"/>
    <w:rsid w:val="004000B4"/>
    <w:rsid w:val="00401DF7"/>
    <w:rsid w:val="004023D4"/>
    <w:rsid w:val="004074D2"/>
    <w:rsid w:val="00413681"/>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87AAC"/>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4416"/>
    <w:rsid w:val="006A587B"/>
    <w:rsid w:val="006A7375"/>
    <w:rsid w:val="006B2AE4"/>
    <w:rsid w:val="006B7E38"/>
    <w:rsid w:val="006C14E9"/>
    <w:rsid w:val="006C198A"/>
    <w:rsid w:val="006C465D"/>
    <w:rsid w:val="006C5A84"/>
    <w:rsid w:val="006D2103"/>
    <w:rsid w:val="006D467B"/>
    <w:rsid w:val="006D69EF"/>
    <w:rsid w:val="006E2819"/>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049B"/>
    <w:rsid w:val="00791CB9"/>
    <w:rsid w:val="00793812"/>
    <w:rsid w:val="00793D68"/>
    <w:rsid w:val="00794581"/>
    <w:rsid w:val="0079480C"/>
    <w:rsid w:val="007A496D"/>
    <w:rsid w:val="007A7976"/>
    <w:rsid w:val="007B0B7D"/>
    <w:rsid w:val="007B51BE"/>
    <w:rsid w:val="007B78C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7F4758"/>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7621B"/>
    <w:rsid w:val="008917D0"/>
    <w:rsid w:val="00894DAC"/>
    <w:rsid w:val="00895AE9"/>
    <w:rsid w:val="008A0325"/>
    <w:rsid w:val="008A0359"/>
    <w:rsid w:val="008A06DB"/>
    <w:rsid w:val="008A2B4A"/>
    <w:rsid w:val="008A3DAE"/>
    <w:rsid w:val="008A7730"/>
    <w:rsid w:val="008B0EFE"/>
    <w:rsid w:val="008B5923"/>
    <w:rsid w:val="008B7260"/>
    <w:rsid w:val="008C4BBC"/>
    <w:rsid w:val="008C543B"/>
    <w:rsid w:val="008C55D9"/>
    <w:rsid w:val="008C7004"/>
    <w:rsid w:val="008D21A4"/>
    <w:rsid w:val="008D4F8F"/>
    <w:rsid w:val="008D5B38"/>
    <w:rsid w:val="008E056B"/>
    <w:rsid w:val="008E1DA8"/>
    <w:rsid w:val="008E6C20"/>
    <w:rsid w:val="008F3EA7"/>
    <w:rsid w:val="009037C4"/>
    <w:rsid w:val="009051EC"/>
    <w:rsid w:val="00907D4F"/>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202A"/>
    <w:rsid w:val="009C4373"/>
    <w:rsid w:val="009C7200"/>
    <w:rsid w:val="009D0645"/>
    <w:rsid w:val="009D314D"/>
    <w:rsid w:val="009D788E"/>
    <w:rsid w:val="009E563C"/>
    <w:rsid w:val="009E56B6"/>
    <w:rsid w:val="009E770D"/>
    <w:rsid w:val="009F0653"/>
    <w:rsid w:val="00A0164F"/>
    <w:rsid w:val="00A0472C"/>
    <w:rsid w:val="00A112E8"/>
    <w:rsid w:val="00A12655"/>
    <w:rsid w:val="00A149E9"/>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254F"/>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334"/>
    <w:rsid w:val="00B66A9F"/>
    <w:rsid w:val="00B679C8"/>
    <w:rsid w:val="00B71A6F"/>
    <w:rsid w:val="00B71E7E"/>
    <w:rsid w:val="00B75380"/>
    <w:rsid w:val="00B77D68"/>
    <w:rsid w:val="00B81F59"/>
    <w:rsid w:val="00B8735E"/>
    <w:rsid w:val="00B97C2F"/>
    <w:rsid w:val="00BB2940"/>
    <w:rsid w:val="00BB397F"/>
    <w:rsid w:val="00BB45A5"/>
    <w:rsid w:val="00BC2532"/>
    <w:rsid w:val="00BC2D06"/>
    <w:rsid w:val="00BC5B89"/>
    <w:rsid w:val="00BD2748"/>
    <w:rsid w:val="00BD3774"/>
    <w:rsid w:val="00BD44E7"/>
    <w:rsid w:val="00BE0622"/>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552C"/>
    <w:rsid w:val="00CD0ED4"/>
    <w:rsid w:val="00CD27C8"/>
    <w:rsid w:val="00CD4231"/>
    <w:rsid w:val="00CD4C3D"/>
    <w:rsid w:val="00CD7859"/>
    <w:rsid w:val="00CE3FF0"/>
    <w:rsid w:val="00CE54B1"/>
    <w:rsid w:val="00CE6779"/>
    <w:rsid w:val="00CF3824"/>
    <w:rsid w:val="00CF56D7"/>
    <w:rsid w:val="00D00B68"/>
    <w:rsid w:val="00D01020"/>
    <w:rsid w:val="00D06B90"/>
    <w:rsid w:val="00D12835"/>
    <w:rsid w:val="00D131F6"/>
    <w:rsid w:val="00D13753"/>
    <w:rsid w:val="00D13EB9"/>
    <w:rsid w:val="00D149C8"/>
    <w:rsid w:val="00D15C1C"/>
    <w:rsid w:val="00D20D14"/>
    <w:rsid w:val="00D21F76"/>
    <w:rsid w:val="00D243BA"/>
    <w:rsid w:val="00D33FEC"/>
    <w:rsid w:val="00D47A80"/>
    <w:rsid w:val="00D636E2"/>
    <w:rsid w:val="00D636FB"/>
    <w:rsid w:val="00D64EE7"/>
    <w:rsid w:val="00D745ED"/>
    <w:rsid w:val="00D77FED"/>
    <w:rsid w:val="00D82798"/>
    <w:rsid w:val="00D84CC2"/>
    <w:rsid w:val="00D874B9"/>
    <w:rsid w:val="00D94A82"/>
    <w:rsid w:val="00D955F2"/>
    <w:rsid w:val="00D96BCE"/>
    <w:rsid w:val="00D97220"/>
    <w:rsid w:val="00DA60E2"/>
    <w:rsid w:val="00DC7B5D"/>
    <w:rsid w:val="00DC7C8C"/>
    <w:rsid w:val="00DD0484"/>
    <w:rsid w:val="00DD6AF1"/>
    <w:rsid w:val="00DE0734"/>
    <w:rsid w:val="00DE0D19"/>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FBC"/>
    <w:rsid w:val="00E37AB0"/>
    <w:rsid w:val="00E4196A"/>
    <w:rsid w:val="00E607B9"/>
    <w:rsid w:val="00E630B0"/>
    <w:rsid w:val="00E679B8"/>
    <w:rsid w:val="00E717AC"/>
    <w:rsid w:val="00E72B3F"/>
    <w:rsid w:val="00E74D57"/>
    <w:rsid w:val="00E76FEC"/>
    <w:rsid w:val="00E778A1"/>
    <w:rsid w:val="00E818B0"/>
    <w:rsid w:val="00E82638"/>
    <w:rsid w:val="00E83E54"/>
    <w:rsid w:val="00E90F92"/>
    <w:rsid w:val="00E939CA"/>
    <w:rsid w:val="00E946D0"/>
    <w:rsid w:val="00E96615"/>
    <w:rsid w:val="00E97311"/>
    <w:rsid w:val="00EA2757"/>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2190"/>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8</Pages>
  <Words>2258</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15099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ERCOT_06032022</cp:lastModifiedBy>
  <cp:revision>5</cp:revision>
  <cp:lastPrinted>2015-06-29T20:10:00Z</cp:lastPrinted>
  <dcterms:created xsi:type="dcterms:W3CDTF">2022-05-31T15:10:00Z</dcterms:created>
  <dcterms:modified xsi:type="dcterms:W3CDTF">2022-06-05T17:16:00Z</dcterms:modified>
</cp:coreProperties>
</file>