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4F2CB" w14:textId="6D0BFC39" w:rsidR="00E0703A" w:rsidRPr="002300E9" w:rsidRDefault="002300E9" w:rsidP="00E0703A">
      <w:pPr>
        <w:rPr>
          <w:sz w:val="40"/>
          <w:szCs w:val="40"/>
        </w:rPr>
      </w:pPr>
      <w:r>
        <w:rPr>
          <w:sz w:val="40"/>
          <w:szCs w:val="40"/>
        </w:rPr>
        <w:t>Table 1</w:t>
      </w:r>
      <w:r w:rsidR="003D6ED0">
        <w:rPr>
          <w:sz w:val="40"/>
          <w:szCs w:val="40"/>
        </w:rPr>
        <w:t>- Preliminary List of Items for Discussions</w:t>
      </w:r>
      <w:r w:rsidR="002425EA">
        <w:rPr>
          <w:sz w:val="40"/>
          <w:szCs w:val="40"/>
        </w:rPr>
        <w:t xml:space="preserve"> (OBDRR-041)</w:t>
      </w:r>
    </w:p>
    <w:p w14:paraId="4192729E" w14:textId="2A43F789" w:rsidR="00E0703A" w:rsidRDefault="00E0703A" w:rsidP="00E0703A"/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1530"/>
        <w:gridCol w:w="3555"/>
        <w:gridCol w:w="4716"/>
        <w:gridCol w:w="3964"/>
      </w:tblGrid>
      <w:tr w:rsidR="000817C1" w14:paraId="18E1CB2D" w14:textId="77777777" w:rsidTr="006647F2">
        <w:tc>
          <w:tcPr>
            <w:tcW w:w="1530" w:type="dxa"/>
          </w:tcPr>
          <w:p w14:paraId="62898DCD" w14:textId="77777777" w:rsidR="000817C1" w:rsidRPr="00D10DF7" w:rsidRDefault="000817C1" w:rsidP="00E0703A">
            <w:pPr>
              <w:rPr>
                <w:b/>
                <w:bCs/>
                <w:sz w:val="28"/>
                <w:szCs w:val="28"/>
              </w:rPr>
            </w:pPr>
            <w:r w:rsidRPr="00D10DF7">
              <w:rPr>
                <w:b/>
                <w:bCs/>
                <w:sz w:val="28"/>
                <w:szCs w:val="28"/>
              </w:rPr>
              <w:t>Topic</w:t>
            </w:r>
          </w:p>
          <w:p w14:paraId="2B076FE7" w14:textId="7BED880E" w:rsidR="000817C1" w:rsidRPr="00D10DF7" w:rsidRDefault="000817C1" w:rsidP="00E0703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55" w:type="dxa"/>
          </w:tcPr>
          <w:p w14:paraId="0D8EE324" w14:textId="77777777" w:rsidR="000817C1" w:rsidRDefault="000817C1" w:rsidP="00E0703A">
            <w:pPr>
              <w:rPr>
                <w:b/>
                <w:bCs/>
                <w:sz w:val="28"/>
                <w:szCs w:val="28"/>
              </w:rPr>
            </w:pPr>
            <w:r w:rsidRPr="00D10DF7">
              <w:rPr>
                <w:b/>
                <w:bCs/>
                <w:sz w:val="28"/>
                <w:szCs w:val="28"/>
              </w:rPr>
              <w:t>Current Protocol and OBD</w:t>
            </w:r>
            <w:r>
              <w:rPr>
                <w:b/>
                <w:bCs/>
                <w:sz w:val="28"/>
                <w:szCs w:val="28"/>
              </w:rPr>
              <w:t xml:space="preserve"> Language</w:t>
            </w:r>
          </w:p>
          <w:p w14:paraId="575CAD89" w14:textId="64BEFA22" w:rsidR="000817C1" w:rsidRPr="00D10DF7" w:rsidRDefault="000817C1" w:rsidP="00E0703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16" w:type="dxa"/>
          </w:tcPr>
          <w:p w14:paraId="197A3897" w14:textId="5C875EA7" w:rsidR="000817C1" w:rsidRPr="00D10DF7" w:rsidRDefault="000817C1" w:rsidP="00E0703A">
            <w:pPr>
              <w:rPr>
                <w:b/>
                <w:bCs/>
                <w:sz w:val="28"/>
                <w:szCs w:val="28"/>
              </w:rPr>
            </w:pPr>
            <w:r w:rsidRPr="00D10DF7">
              <w:rPr>
                <w:b/>
                <w:bCs/>
                <w:sz w:val="28"/>
                <w:szCs w:val="28"/>
              </w:rPr>
              <w:t>Short-Term Approach</w:t>
            </w:r>
          </w:p>
        </w:tc>
        <w:tc>
          <w:tcPr>
            <w:tcW w:w="3964" w:type="dxa"/>
          </w:tcPr>
          <w:p w14:paraId="00D9A7D7" w14:textId="6671570B" w:rsidR="000817C1" w:rsidRPr="00D10DF7" w:rsidRDefault="000817C1" w:rsidP="00E0703A">
            <w:pPr>
              <w:rPr>
                <w:b/>
                <w:bCs/>
                <w:sz w:val="28"/>
                <w:szCs w:val="28"/>
              </w:rPr>
            </w:pPr>
            <w:r w:rsidRPr="00D10DF7">
              <w:rPr>
                <w:b/>
                <w:bCs/>
                <w:sz w:val="28"/>
                <w:szCs w:val="28"/>
              </w:rPr>
              <w:t>Long-Term Approach</w:t>
            </w:r>
          </w:p>
        </w:tc>
      </w:tr>
      <w:tr w:rsidR="000817C1" w14:paraId="76B0A85F" w14:textId="77777777" w:rsidTr="006647F2">
        <w:tc>
          <w:tcPr>
            <w:tcW w:w="1530" w:type="dxa"/>
          </w:tcPr>
          <w:p w14:paraId="74CC25E3" w14:textId="30BCC108" w:rsidR="000817C1" w:rsidRDefault="000817C1" w:rsidP="001028F8">
            <w:r>
              <w:t>Background (Timing)</w:t>
            </w:r>
          </w:p>
        </w:tc>
        <w:tc>
          <w:tcPr>
            <w:tcW w:w="3555" w:type="dxa"/>
          </w:tcPr>
          <w:p w14:paraId="400E6F3D" w14:textId="7EF9CB5B" w:rsidR="000817C1" w:rsidRDefault="000817C1" w:rsidP="004C13E5">
            <w:r w:rsidRPr="00D8637C">
              <w:t>Current Protocol and Other Binding Document Language</w:t>
            </w:r>
            <w:r>
              <w:t>.</w:t>
            </w:r>
          </w:p>
          <w:p w14:paraId="3349BCD5" w14:textId="23F33BB1" w:rsidR="00860395" w:rsidRPr="004C13E5" w:rsidRDefault="00860395" w:rsidP="004C13E5">
            <w:pPr>
              <w:rPr>
                <w:u w:val="single"/>
              </w:rPr>
            </w:pPr>
          </w:p>
          <w:p w14:paraId="1B34CFE7" w14:textId="77777777" w:rsidR="000817C1" w:rsidRDefault="000817C1" w:rsidP="004C13E5"/>
          <w:p w14:paraId="04CE45EA" w14:textId="6F834D2E" w:rsidR="000817C1" w:rsidRPr="004C13E5" w:rsidRDefault="000817C1" w:rsidP="004C13E5">
            <w:pPr>
              <w:rPr>
                <w:u w:val="single"/>
              </w:rPr>
            </w:pPr>
            <w:r>
              <w:t>Today there are no</w:t>
            </w:r>
            <w:r w:rsidRPr="00D8637C">
              <w:t xml:space="preserve"> ALRs currently Registered</w:t>
            </w:r>
          </w:p>
          <w:p w14:paraId="56D66BB3" w14:textId="4DBF5436" w:rsidR="000817C1" w:rsidRPr="00351011" w:rsidRDefault="000817C1" w:rsidP="001028F8"/>
        </w:tc>
        <w:tc>
          <w:tcPr>
            <w:tcW w:w="4716" w:type="dxa"/>
          </w:tcPr>
          <w:p w14:paraId="4D6328C7" w14:textId="4BCC6A56" w:rsidR="000817C1" w:rsidRDefault="000817C1" w:rsidP="004C13E5">
            <w:r>
              <w:t xml:space="preserve">Assumes OBDRR 041 </w:t>
            </w:r>
            <w:r w:rsidRPr="00BA4365">
              <w:t>Updates to Requirements for Aggregate Load Participation in the ERCOT Markets</w:t>
            </w:r>
            <w:r>
              <w:t xml:space="preserve"> or some “improved” version </w:t>
            </w:r>
            <w:r w:rsidR="000E45DC">
              <w:t>of the OBDRR</w:t>
            </w:r>
            <w:r>
              <w:t>).</w:t>
            </w:r>
          </w:p>
          <w:p w14:paraId="487FF268" w14:textId="77777777" w:rsidR="000817C1" w:rsidRDefault="000817C1" w:rsidP="001028F8"/>
          <w:p w14:paraId="22C4FCC3" w14:textId="59F7DBA6" w:rsidR="00DE7BBD" w:rsidRPr="006647F2" w:rsidRDefault="00FE0568" w:rsidP="00DE7BBD">
            <w:pPr>
              <w:pStyle w:val="ListParagraph"/>
              <w:numPr>
                <w:ilvl w:val="0"/>
                <w:numId w:val="11"/>
              </w:numPr>
            </w:pPr>
            <w:r w:rsidRPr="006647F2">
              <w:t>May</w:t>
            </w:r>
            <w:r w:rsidR="00DE7BBD" w:rsidRPr="006647F2">
              <w:t xml:space="preserve"> not require </w:t>
            </w:r>
            <w:r w:rsidR="003E654C" w:rsidRPr="006647F2">
              <w:t xml:space="preserve">extensive </w:t>
            </w:r>
            <w:r w:rsidR="00DE7BBD" w:rsidRPr="006647F2">
              <w:t xml:space="preserve">system changes to implement </w:t>
            </w:r>
          </w:p>
          <w:p w14:paraId="07FBA091" w14:textId="55293218" w:rsidR="006647F2" w:rsidRPr="006647F2" w:rsidRDefault="006647F2" w:rsidP="00DE7BBD">
            <w:pPr>
              <w:pStyle w:val="ListParagraph"/>
              <w:numPr>
                <w:ilvl w:val="0"/>
                <w:numId w:val="11"/>
              </w:numPr>
            </w:pPr>
            <w:r w:rsidRPr="006647F2">
              <w:t>May require an NPRR?</w:t>
            </w:r>
          </w:p>
          <w:p w14:paraId="7A218DF7" w14:textId="4E99C82A" w:rsidR="00DE7BBD" w:rsidRPr="006647F2" w:rsidRDefault="00DE7BBD" w:rsidP="00DE7BBD">
            <w:pPr>
              <w:pStyle w:val="ListParagraph"/>
              <w:numPr>
                <w:ilvl w:val="0"/>
                <w:numId w:val="11"/>
              </w:numPr>
            </w:pPr>
            <w:r w:rsidRPr="006647F2">
              <w:t>May not enable full value of all equipment behind the premise meter</w:t>
            </w:r>
          </w:p>
          <w:p w14:paraId="7CA0C59A" w14:textId="14B263AC" w:rsidR="00ED0095" w:rsidRPr="006647F2" w:rsidRDefault="00ED0095" w:rsidP="00DE7BBD">
            <w:pPr>
              <w:pStyle w:val="ListParagraph"/>
              <w:numPr>
                <w:ilvl w:val="0"/>
                <w:numId w:val="11"/>
              </w:numPr>
            </w:pPr>
            <w:r w:rsidRPr="006647F2">
              <w:t>Can only provide NSRS</w:t>
            </w:r>
          </w:p>
          <w:p w14:paraId="7AEEA424" w14:textId="20EED142" w:rsidR="000817C1" w:rsidRDefault="000817C1" w:rsidP="001028F8"/>
        </w:tc>
        <w:tc>
          <w:tcPr>
            <w:tcW w:w="3964" w:type="dxa"/>
          </w:tcPr>
          <w:p w14:paraId="22B47737" w14:textId="5C917C0D" w:rsidR="000817C1" w:rsidRDefault="000817C1" w:rsidP="001028F8">
            <w:r>
              <w:t>Details TBD</w:t>
            </w:r>
            <w:r w:rsidR="00ED2CB0">
              <w:t>.</w:t>
            </w:r>
            <w:r w:rsidR="008A14E6">
              <w:t xml:space="preserve"> </w:t>
            </w:r>
            <w:r w:rsidR="00ED2CB0" w:rsidRPr="00B15F75">
              <w:t xml:space="preserve"> Protocol and Other Binding Document Language</w:t>
            </w:r>
            <w:r w:rsidR="008A14E6">
              <w:t xml:space="preserve"> would need to be developed and written</w:t>
            </w:r>
            <w:r>
              <w:t>.</w:t>
            </w:r>
            <w:r w:rsidR="00DF69BD">
              <w:t xml:space="preserve">  </w:t>
            </w:r>
            <w:r w:rsidR="00657795">
              <w:t>Would address</w:t>
            </w:r>
            <w:r w:rsidR="00ED0095" w:rsidRPr="006647F2">
              <w:t xml:space="preserve"> participation in more than NSRS (RRS-PFR, ECRS and R</w:t>
            </w:r>
            <w:r w:rsidR="006647F2" w:rsidRPr="006647F2">
              <w:t>eg</w:t>
            </w:r>
            <w:r w:rsidR="00ED0095" w:rsidRPr="006647F2">
              <w:t>),</w:t>
            </w:r>
            <w:r w:rsidR="00657795">
              <w:t xml:space="preserve"> congestion management, SoC and other items.</w:t>
            </w:r>
          </w:p>
          <w:p w14:paraId="31242F66" w14:textId="77777777" w:rsidR="00657795" w:rsidRDefault="00657795" w:rsidP="001028F8"/>
          <w:p w14:paraId="1A718D0A" w14:textId="1AA67456" w:rsidR="00DE7BBD" w:rsidRPr="006647F2" w:rsidRDefault="00DE7BBD" w:rsidP="00DE7BBD">
            <w:pPr>
              <w:pStyle w:val="ListParagraph"/>
              <w:numPr>
                <w:ilvl w:val="0"/>
                <w:numId w:val="14"/>
              </w:numPr>
            </w:pPr>
            <w:r w:rsidRPr="006647F2">
              <w:t xml:space="preserve">System changes </w:t>
            </w:r>
            <w:r w:rsidR="003E654C" w:rsidRPr="006647F2">
              <w:t>are</w:t>
            </w:r>
            <w:r w:rsidRPr="006647F2">
              <w:t xml:space="preserve"> required</w:t>
            </w:r>
          </w:p>
          <w:p w14:paraId="75A3331E" w14:textId="7C12FC77" w:rsidR="006647F2" w:rsidRPr="006647F2" w:rsidRDefault="006647F2" w:rsidP="00DE7BBD">
            <w:pPr>
              <w:pStyle w:val="ListParagraph"/>
              <w:numPr>
                <w:ilvl w:val="0"/>
                <w:numId w:val="14"/>
              </w:numPr>
            </w:pPr>
            <w:r w:rsidRPr="006647F2">
              <w:t>NPRR &amp; OBDRR required</w:t>
            </w:r>
          </w:p>
          <w:p w14:paraId="301BEB6C" w14:textId="7EC9B937" w:rsidR="000817C1" w:rsidRDefault="000817C1" w:rsidP="00DE7BBD">
            <w:pPr>
              <w:pStyle w:val="ListParagraph"/>
              <w:numPr>
                <w:ilvl w:val="0"/>
                <w:numId w:val="14"/>
              </w:numPr>
            </w:pPr>
            <w:r>
              <w:t xml:space="preserve">At least </w:t>
            </w:r>
            <w:r w:rsidR="003E654C">
              <w:t xml:space="preserve">few </w:t>
            </w:r>
            <w:r>
              <w:t>years away.</w:t>
            </w:r>
          </w:p>
        </w:tc>
      </w:tr>
      <w:tr w:rsidR="00AC1AF7" w14:paraId="21558C29" w14:textId="77777777" w:rsidTr="006647F2">
        <w:tc>
          <w:tcPr>
            <w:tcW w:w="1530" w:type="dxa"/>
          </w:tcPr>
          <w:p w14:paraId="1303E8C1" w14:textId="1D0AE4D5" w:rsidR="00AC1AF7" w:rsidRDefault="00D5049E" w:rsidP="0076187B">
            <w:r>
              <w:t xml:space="preserve">Participation Model </w:t>
            </w:r>
          </w:p>
        </w:tc>
        <w:tc>
          <w:tcPr>
            <w:tcW w:w="3555" w:type="dxa"/>
          </w:tcPr>
          <w:p w14:paraId="1804F1C8" w14:textId="66A68502" w:rsidR="00AC1AF7" w:rsidRDefault="00860395" w:rsidP="0076187B">
            <w:r>
              <w:rPr>
                <w:iCs/>
                <w:lang w:eastAsia="x-none"/>
              </w:rPr>
              <w:t xml:space="preserve">Only homogenous aggregation is allowed. </w:t>
            </w:r>
            <w:r w:rsidR="00AC1AF7" w:rsidRPr="00351011">
              <w:rPr>
                <w:iCs/>
                <w:lang w:eastAsia="x-none"/>
              </w:rPr>
              <w:t xml:space="preserve">ALR </w:t>
            </w:r>
            <w:r w:rsidR="003C2FE2" w:rsidRPr="00351011">
              <w:rPr>
                <w:iCs/>
                <w:lang w:eastAsia="x-none"/>
              </w:rPr>
              <w:t>is aggregation</w:t>
            </w:r>
            <w:r w:rsidR="00AC1AF7" w:rsidRPr="00351011">
              <w:rPr>
                <w:iCs/>
                <w:lang w:eastAsia="x-none"/>
              </w:rPr>
              <w:t xml:space="preserve"> of only sites that are always load.</w:t>
            </w:r>
          </w:p>
        </w:tc>
        <w:tc>
          <w:tcPr>
            <w:tcW w:w="4716" w:type="dxa"/>
          </w:tcPr>
          <w:p w14:paraId="37D82C6B" w14:textId="77777777" w:rsidR="00AC1AF7" w:rsidRDefault="00860395" w:rsidP="0076187B">
            <w:r w:rsidRPr="00AB7666">
              <w:t xml:space="preserve">Allow </w:t>
            </w:r>
            <w:r>
              <w:t>heterogenous aggregation,</w:t>
            </w:r>
            <w:r w:rsidRPr="00AB7666">
              <w:t xml:space="preserve"> </w:t>
            </w:r>
            <w:r w:rsidR="00AC1AF7" w:rsidRPr="00AB7666">
              <w:t>ALR to be an aggregation of sites that are net load and sites that are net gen.</w:t>
            </w:r>
          </w:p>
          <w:p w14:paraId="00FBD9BA" w14:textId="77777777" w:rsidR="00D5049E" w:rsidRDefault="00D5049E" w:rsidP="0076187B"/>
          <w:p w14:paraId="757A508E" w14:textId="00D5C241" w:rsidR="00D5049E" w:rsidRDefault="00D5049E" w:rsidP="003C02A8">
            <w:pPr>
              <w:pStyle w:val="ListParagraph"/>
              <w:numPr>
                <w:ilvl w:val="0"/>
                <w:numId w:val="8"/>
              </w:numPr>
            </w:pPr>
            <w:r>
              <w:t>ALR participation in energy and AS limited to demand response capability</w:t>
            </w:r>
            <w:r w:rsidR="003C2FE2">
              <w:t xml:space="preserve"> (behavioral rule as well as systematic check)</w:t>
            </w:r>
            <w:r w:rsidR="00FE0568">
              <w:t xml:space="preserve"> only</w:t>
            </w:r>
          </w:p>
          <w:p w14:paraId="5E27586E" w14:textId="77777777" w:rsidR="004E4811" w:rsidRPr="006647F2" w:rsidRDefault="004E4811" w:rsidP="006647F2">
            <w:pPr>
              <w:pStyle w:val="ListParagraph"/>
              <w:numPr>
                <w:ilvl w:val="0"/>
                <w:numId w:val="8"/>
              </w:numPr>
            </w:pPr>
            <w:r w:rsidRPr="006647F2">
              <w:t>-QSE must telemeter an aggregate consumption value for the ALR</w:t>
            </w:r>
          </w:p>
          <w:p w14:paraId="2678579E" w14:textId="574DA697" w:rsidR="004E4811" w:rsidRPr="006647F2" w:rsidRDefault="004E4811" w:rsidP="006647F2">
            <w:pPr>
              <w:pStyle w:val="ListParagraph"/>
              <w:numPr>
                <w:ilvl w:val="0"/>
                <w:numId w:val="8"/>
              </w:numPr>
            </w:pPr>
            <w:r w:rsidRPr="006647F2">
              <w:t>-Aggregate consumption value is sum of premise-level net consumption</w:t>
            </w:r>
            <w:r w:rsidR="00A76E62" w:rsidRPr="006647F2">
              <w:t xml:space="preserve"> or injection</w:t>
            </w:r>
            <w:r w:rsidRPr="006647F2">
              <w:t xml:space="preserve"> values</w:t>
            </w:r>
          </w:p>
          <w:p w14:paraId="26BC82AC" w14:textId="77777777" w:rsidR="008770AB" w:rsidRPr="003646E4" w:rsidRDefault="008770AB" w:rsidP="004E4811">
            <w:pPr>
              <w:rPr>
                <w:color w:val="7030A0"/>
              </w:rPr>
            </w:pPr>
          </w:p>
          <w:p w14:paraId="3A3BBC84" w14:textId="77777777" w:rsidR="004E4811" w:rsidRPr="004E4811" w:rsidRDefault="004E4811" w:rsidP="004E4811">
            <w:pPr>
              <w:rPr>
                <w:color w:val="538135" w:themeColor="accent6" w:themeShade="BF"/>
              </w:rPr>
            </w:pPr>
          </w:p>
          <w:p w14:paraId="04B21485" w14:textId="77777777" w:rsidR="003C02A8" w:rsidRDefault="003C02A8" w:rsidP="003C02A8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 xml:space="preserve">ALR using battery device telemetry must telemeter aggregated SOC capability </w:t>
            </w:r>
          </w:p>
          <w:p w14:paraId="17EA1B34" w14:textId="4E14DA86" w:rsidR="003C02A8" w:rsidRDefault="003C02A8" w:rsidP="003C02A8">
            <w:pPr>
              <w:pStyle w:val="ListParagraph"/>
              <w:numPr>
                <w:ilvl w:val="0"/>
                <w:numId w:val="8"/>
              </w:numPr>
            </w:pPr>
            <w:r>
              <w:t>SOC accounting in ERCOT Physical Response Capability (PRC) and Operating Demand Reserve Curve (ORDC) reserve calculation consistent with</w:t>
            </w:r>
            <w:r w:rsidR="000E7552">
              <w:t xml:space="preserve"> how we handle ESRs??</w:t>
            </w:r>
          </w:p>
          <w:p w14:paraId="3B343EA1" w14:textId="77777777" w:rsidR="000E7552" w:rsidRDefault="000E7552" w:rsidP="003C02A8">
            <w:pPr>
              <w:pStyle w:val="ListParagraph"/>
              <w:numPr>
                <w:ilvl w:val="0"/>
                <w:numId w:val="8"/>
              </w:numPr>
            </w:pPr>
            <w:r>
              <w:t>ALR using battery device must meet duration requirements for Non-Spin AS</w:t>
            </w:r>
          </w:p>
          <w:p w14:paraId="10BC4BF1" w14:textId="07DE72A2" w:rsidR="00DE7BBD" w:rsidRDefault="00DE7BBD" w:rsidP="00AB11EF">
            <w:pPr>
              <w:ind w:left="50"/>
            </w:pPr>
          </w:p>
        </w:tc>
        <w:tc>
          <w:tcPr>
            <w:tcW w:w="3964" w:type="dxa"/>
          </w:tcPr>
          <w:p w14:paraId="22D17B3B" w14:textId="605FF1C5" w:rsidR="00AC1AF7" w:rsidRPr="00BA5AF4" w:rsidRDefault="00AC1AF7" w:rsidP="00BA5AF4">
            <w:pPr>
              <w:rPr>
                <w:iCs/>
              </w:rPr>
            </w:pPr>
            <w:r w:rsidRPr="00BA5AF4">
              <w:rPr>
                <w:iCs/>
                <w:lang w:eastAsia="x-none"/>
              </w:rPr>
              <w:lastRenderedPageBreak/>
              <w:t xml:space="preserve">New construct.  Aggregate Injection Withdraw Resource (AIWR).  </w:t>
            </w:r>
            <w:r>
              <w:rPr>
                <w:iCs/>
                <w:lang w:eastAsia="x-none"/>
              </w:rPr>
              <w:t xml:space="preserve">An </w:t>
            </w:r>
            <w:r w:rsidRPr="00BA5AF4">
              <w:rPr>
                <w:iCs/>
                <w:lang w:eastAsia="x-none"/>
              </w:rPr>
              <w:t>AIWR is an aggregation of devices (not sites) that can</w:t>
            </w:r>
            <w:r>
              <w:rPr>
                <w:iCs/>
                <w:lang w:eastAsia="x-none"/>
              </w:rPr>
              <w:t xml:space="preserve"> follow dispatch instructions</w:t>
            </w:r>
            <w:r w:rsidRPr="00BA5AF4">
              <w:rPr>
                <w:iCs/>
                <w:lang w:eastAsia="x-none"/>
              </w:rPr>
              <w:t xml:space="preserve"> provide changes in withdrawal or injection</w:t>
            </w:r>
            <w:r>
              <w:rPr>
                <w:iCs/>
                <w:lang w:eastAsia="x-none"/>
              </w:rPr>
              <w:t xml:space="preserve"> quantities</w:t>
            </w:r>
            <w:r w:rsidR="003E654C">
              <w:rPr>
                <w:iCs/>
                <w:lang w:eastAsia="x-none"/>
              </w:rPr>
              <w:t>?</w:t>
            </w:r>
          </w:p>
          <w:p w14:paraId="22BA1E91" w14:textId="70986E6F" w:rsidR="00AC1AF7" w:rsidRDefault="00AC1AF7" w:rsidP="0076187B"/>
        </w:tc>
      </w:tr>
      <w:tr w:rsidR="00C61DC3" w14:paraId="2469E59B" w14:textId="77777777" w:rsidTr="006647F2">
        <w:tc>
          <w:tcPr>
            <w:tcW w:w="1530" w:type="dxa"/>
          </w:tcPr>
          <w:p w14:paraId="69EECB12" w14:textId="036675C7" w:rsidR="00C61DC3" w:rsidRDefault="001449CA" w:rsidP="00C61DC3">
            <w:r>
              <w:t>Congestion Manag</w:t>
            </w:r>
            <w:r w:rsidR="00AB11EF">
              <w:t>e</w:t>
            </w:r>
            <w:r>
              <w:t>ment</w:t>
            </w:r>
          </w:p>
        </w:tc>
        <w:tc>
          <w:tcPr>
            <w:tcW w:w="3555" w:type="dxa"/>
            <w:shd w:val="clear" w:color="auto" w:fill="auto"/>
          </w:tcPr>
          <w:p w14:paraId="40C161E4" w14:textId="77777777" w:rsidR="00C61DC3" w:rsidRDefault="00C61DC3" w:rsidP="00C61DC3">
            <w:pPr>
              <w:rPr>
                <w:iCs/>
                <w:lang w:eastAsia="x-none"/>
              </w:rPr>
            </w:pPr>
            <w:r w:rsidRPr="00351011">
              <w:rPr>
                <w:iCs/>
                <w:lang w:eastAsia="x-none"/>
              </w:rPr>
              <w:t>All sites in an ALR must be within only one Load Zone.</w:t>
            </w:r>
          </w:p>
          <w:p w14:paraId="08F16B00" w14:textId="403CFFEA" w:rsidR="00860395" w:rsidRPr="006647F2" w:rsidRDefault="00860395" w:rsidP="00C61DC3">
            <w:pPr>
              <w:rPr>
                <w:iCs/>
                <w:lang w:eastAsia="x-none"/>
              </w:rPr>
            </w:pPr>
            <w:r>
              <w:rPr>
                <w:iCs/>
                <w:lang w:eastAsia="x-none"/>
              </w:rPr>
              <w:t xml:space="preserve">ERCOT has </w:t>
            </w:r>
            <w:r w:rsidR="00FE0568">
              <w:rPr>
                <w:iCs/>
                <w:lang w:eastAsia="x-none"/>
              </w:rPr>
              <w:t>eight</w:t>
            </w:r>
            <w:r>
              <w:rPr>
                <w:iCs/>
                <w:lang w:eastAsia="x-none"/>
              </w:rPr>
              <w:t xml:space="preserve"> </w:t>
            </w:r>
            <w:r w:rsidR="00FE0568">
              <w:rPr>
                <w:iCs/>
                <w:lang w:eastAsia="x-none"/>
              </w:rPr>
              <w:t>l</w:t>
            </w:r>
            <w:r>
              <w:rPr>
                <w:iCs/>
                <w:lang w:eastAsia="x-none"/>
              </w:rPr>
              <w:t xml:space="preserve">oad </w:t>
            </w:r>
            <w:r w:rsidR="00FE0568">
              <w:rPr>
                <w:iCs/>
                <w:lang w:eastAsia="x-none"/>
              </w:rPr>
              <w:t>z</w:t>
            </w:r>
            <w:r>
              <w:rPr>
                <w:iCs/>
                <w:lang w:eastAsia="x-none"/>
              </w:rPr>
              <w:t>ones</w:t>
            </w:r>
            <w:r w:rsidR="00FE0568">
              <w:rPr>
                <w:iCs/>
                <w:lang w:eastAsia="x-none"/>
              </w:rPr>
              <w:t xml:space="preserve"> including four competitive load zones</w:t>
            </w:r>
          </w:p>
        </w:tc>
        <w:tc>
          <w:tcPr>
            <w:tcW w:w="4716" w:type="dxa"/>
            <w:shd w:val="clear" w:color="auto" w:fill="auto"/>
          </w:tcPr>
          <w:p w14:paraId="0BF02821" w14:textId="0D14349B" w:rsidR="00C61DC3" w:rsidRPr="003C02A8" w:rsidRDefault="001449CA" w:rsidP="003C02A8">
            <w:pPr>
              <w:pStyle w:val="ListParagraph"/>
              <w:numPr>
                <w:ilvl w:val="0"/>
                <w:numId w:val="7"/>
              </w:numPr>
              <w:rPr>
                <w:iCs/>
                <w:lang w:eastAsia="x-none"/>
              </w:rPr>
            </w:pPr>
            <w:r w:rsidRPr="003C02A8">
              <w:rPr>
                <w:iCs/>
                <w:lang w:eastAsia="x-none"/>
              </w:rPr>
              <w:t>Keep the current construct that requires all sites in the aggregation</w:t>
            </w:r>
            <w:r w:rsidR="00C61DC3" w:rsidRPr="003C02A8">
              <w:rPr>
                <w:iCs/>
                <w:lang w:eastAsia="x-none"/>
              </w:rPr>
              <w:t xml:space="preserve"> must be within only one Load Zone.</w:t>
            </w:r>
          </w:p>
          <w:p w14:paraId="4E2A3FE0" w14:textId="77777777" w:rsidR="001449CA" w:rsidRPr="006647F2" w:rsidRDefault="001449CA" w:rsidP="003C02A8">
            <w:pPr>
              <w:pStyle w:val="ListParagraph"/>
              <w:numPr>
                <w:ilvl w:val="0"/>
                <w:numId w:val="7"/>
              </w:numPr>
              <w:rPr>
                <w:iCs/>
                <w:lang w:eastAsia="x-none"/>
              </w:rPr>
            </w:pPr>
            <w:r w:rsidRPr="006647F2">
              <w:rPr>
                <w:iCs/>
                <w:lang w:eastAsia="x-none"/>
              </w:rPr>
              <w:t>Review current ALR cap of 5% of ERCOT Peak Load</w:t>
            </w:r>
          </w:p>
          <w:p w14:paraId="217CE546" w14:textId="452EDCBB" w:rsidR="001449CA" w:rsidRPr="006647F2" w:rsidRDefault="001449CA" w:rsidP="00BE62A6">
            <w:pPr>
              <w:pStyle w:val="ListParagraph"/>
              <w:numPr>
                <w:ilvl w:val="0"/>
                <w:numId w:val="7"/>
              </w:numPr>
              <w:rPr>
                <w:iCs/>
                <w:lang w:eastAsia="x-none"/>
              </w:rPr>
            </w:pPr>
            <w:r w:rsidRPr="006647F2">
              <w:rPr>
                <w:iCs/>
                <w:lang w:eastAsia="x-none"/>
              </w:rPr>
              <w:t xml:space="preserve">Review the maximum size allowance for each individual metered sites within an aggregation </w:t>
            </w:r>
          </w:p>
          <w:p w14:paraId="31D6BAD7" w14:textId="4364BF34" w:rsidR="00126DDF" w:rsidRPr="006647F2" w:rsidRDefault="00A57AFC" w:rsidP="00BE62A6">
            <w:pPr>
              <w:pStyle w:val="ListParagraph"/>
              <w:numPr>
                <w:ilvl w:val="0"/>
                <w:numId w:val="7"/>
              </w:numPr>
              <w:rPr>
                <w:iCs/>
                <w:lang w:eastAsia="x-none"/>
              </w:rPr>
            </w:pPr>
            <w:r w:rsidRPr="006647F2">
              <w:rPr>
                <w:iCs/>
                <w:lang w:eastAsia="x-none"/>
              </w:rPr>
              <w:t xml:space="preserve">Consider if there may </w:t>
            </w:r>
            <w:r w:rsidR="00905C0C" w:rsidRPr="006647F2">
              <w:rPr>
                <w:iCs/>
                <w:lang w:eastAsia="x-none"/>
              </w:rPr>
              <w:t xml:space="preserve">need to </w:t>
            </w:r>
            <w:r w:rsidRPr="006647F2">
              <w:rPr>
                <w:iCs/>
                <w:lang w:eastAsia="x-none"/>
              </w:rPr>
              <w:t>be limits for a</w:t>
            </w:r>
            <w:r w:rsidR="007C6199" w:rsidRPr="006647F2">
              <w:rPr>
                <w:iCs/>
                <w:lang w:eastAsia="x-none"/>
              </w:rPr>
              <w:t>n</w:t>
            </w:r>
            <w:r w:rsidRPr="006647F2">
              <w:rPr>
                <w:iCs/>
                <w:lang w:eastAsia="x-none"/>
              </w:rPr>
              <w:t xml:space="preserve"> </w:t>
            </w:r>
            <w:r w:rsidR="00F91E8A" w:rsidRPr="006647F2">
              <w:rPr>
                <w:iCs/>
                <w:lang w:eastAsia="x-none"/>
              </w:rPr>
              <w:t xml:space="preserve">electrically or </w:t>
            </w:r>
            <w:r w:rsidR="007777F1" w:rsidRPr="006647F2">
              <w:rPr>
                <w:iCs/>
                <w:lang w:eastAsia="x-none"/>
              </w:rPr>
              <w:t>geographic</w:t>
            </w:r>
            <w:r w:rsidR="007C6199" w:rsidRPr="006647F2">
              <w:rPr>
                <w:iCs/>
                <w:lang w:eastAsia="x-none"/>
              </w:rPr>
              <w:t>ally</w:t>
            </w:r>
            <w:r w:rsidR="00F91E8A" w:rsidRPr="006647F2">
              <w:rPr>
                <w:iCs/>
                <w:lang w:eastAsia="x-none"/>
              </w:rPr>
              <w:t xml:space="preserve"> </w:t>
            </w:r>
            <w:r w:rsidR="007777F1" w:rsidRPr="006647F2">
              <w:rPr>
                <w:iCs/>
                <w:lang w:eastAsia="x-none"/>
              </w:rPr>
              <w:t>defined</w:t>
            </w:r>
            <w:r w:rsidRPr="006647F2">
              <w:rPr>
                <w:iCs/>
                <w:lang w:eastAsia="x-none"/>
              </w:rPr>
              <w:t xml:space="preserve"> area of a Load Zone</w:t>
            </w:r>
          </w:p>
          <w:p w14:paraId="30A2A356" w14:textId="54FA26CA" w:rsidR="003C02A8" w:rsidRPr="006647F2" w:rsidRDefault="003C02A8" w:rsidP="00E113AC">
            <w:pPr>
              <w:pStyle w:val="ListParagraph"/>
              <w:rPr>
                <w:iCs/>
                <w:lang w:eastAsia="x-none"/>
              </w:rPr>
            </w:pPr>
          </w:p>
        </w:tc>
        <w:tc>
          <w:tcPr>
            <w:tcW w:w="3964" w:type="dxa"/>
          </w:tcPr>
          <w:p w14:paraId="6A60E6E4" w14:textId="39C2BB9B" w:rsidR="00662144" w:rsidRDefault="00662144" w:rsidP="00662144">
            <w:r>
              <w:t>Move to nodal dispatch and nodal settlement.  More discussions needed.</w:t>
            </w:r>
          </w:p>
        </w:tc>
      </w:tr>
      <w:tr w:rsidR="006647F2" w14:paraId="11837403" w14:textId="77777777" w:rsidTr="006647F2">
        <w:tc>
          <w:tcPr>
            <w:tcW w:w="1530" w:type="dxa"/>
          </w:tcPr>
          <w:p w14:paraId="0503920E" w14:textId="57EFB99E" w:rsidR="006647F2" w:rsidRDefault="006647F2" w:rsidP="006647F2">
            <w:r>
              <w:t>Transmission and Operations Planning</w:t>
            </w:r>
          </w:p>
        </w:tc>
        <w:tc>
          <w:tcPr>
            <w:tcW w:w="3555" w:type="dxa"/>
            <w:shd w:val="clear" w:color="auto" w:fill="auto"/>
          </w:tcPr>
          <w:p w14:paraId="5F125715" w14:textId="77777777" w:rsidR="006647F2" w:rsidRDefault="006647F2" w:rsidP="006647F2">
            <w:pPr>
              <w:rPr>
                <w:iCs/>
                <w:lang w:eastAsia="x-none"/>
              </w:rPr>
            </w:pPr>
          </w:p>
          <w:p w14:paraId="7506DF53" w14:textId="37A8BAC8" w:rsidR="006647F2" w:rsidRPr="00351011" w:rsidRDefault="006647F2" w:rsidP="006647F2">
            <w:pPr>
              <w:rPr>
                <w:iCs/>
                <w:lang w:eastAsia="x-none"/>
              </w:rPr>
            </w:pPr>
          </w:p>
        </w:tc>
        <w:tc>
          <w:tcPr>
            <w:tcW w:w="4716" w:type="dxa"/>
            <w:shd w:val="clear" w:color="auto" w:fill="auto"/>
          </w:tcPr>
          <w:p w14:paraId="65E81660" w14:textId="77777777" w:rsidR="006647F2" w:rsidRDefault="006647F2" w:rsidP="006647F2">
            <w:pPr>
              <w:rPr>
                <w:iCs/>
                <w:lang w:eastAsia="x-none"/>
              </w:rPr>
            </w:pPr>
          </w:p>
          <w:p w14:paraId="23B274DB" w14:textId="2DB723E0" w:rsidR="006647F2" w:rsidRPr="00AB7666" w:rsidRDefault="006647F2" w:rsidP="006647F2">
            <w:pPr>
              <w:rPr>
                <w:iCs/>
                <w:lang w:eastAsia="x-none"/>
              </w:rPr>
            </w:pPr>
            <w:r w:rsidRPr="00E85D13">
              <w:rPr>
                <w:iCs/>
                <w:lang w:eastAsia="x-none"/>
              </w:rPr>
              <w:t>Further internal discussions needed</w:t>
            </w:r>
          </w:p>
        </w:tc>
        <w:tc>
          <w:tcPr>
            <w:tcW w:w="3964" w:type="dxa"/>
          </w:tcPr>
          <w:p w14:paraId="44EDAA55" w14:textId="77777777" w:rsidR="006647F2" w:rsidRDefault="006647F2" w:rsidP="006647F2">
            <w:pPr>
              <w:rPr>
                <w:iCs/>
                <w:lang w:eastAsia="x-none"/>
              </w:rPr>
            </w:pPr>
          </w:p>
          <w:p w14:paraId="1039B939" w14:textId="6CAC5EA3" w:rsidR="006647F2" w:rsidRPr="00B15F75" w:rsidRDefault="006647F2" w:rsidP="006647F2">
            <w:pPr>
              <w:rPr>
                <w:iCs/>
                <w:lang w:eastAsia="x-none"/>
              </w:rPr>
            </w:pPr>
            <w:r w:rsidRPr="00E85D13">
              <w:rPr>
                <w:iCs/>
                <w:lang w:eastAsia="x-none"/>
              </w:rPr>
              <w:t>Further internal discussions needed</w:t>
            </w:r>
          </w:p>
        </w:tc>
      </w:tr>
      <w:tr w:rsidR="00C61DC3" w14:paraId="25F1E076" w14:textId="77777777" w:rsidTr="006647F2">
        <w:tc>
          <w:tcPr>
            <w:tcW w:w="1530" w:type="dxa"/>
          </w:tcPr>
          <w:p w14:paraId="0D9A4454" w14:textId="484AB652" w:rsidR="00C61DC3" w:rsidRDefault="002B0960" w:rsidP="00C61DC3">
            <w:r>
              <w:t>Maximum Size of ALR</w:t>
            </w:r>
          </w:p>
        </w:tc>
        <w:tc>
          <w:tcPr>
            <w:tcW w:w="3555" w:type="dxa"/>
            <w:shd w:val="clear" w:color="auto" w:fill="auto"/>
          </w:tcPr>
          <w:p w14:paraId="723BF5E5" w14:textId="73C4602B" w:rsidR="00BE62A6" w:rsidRPr="006647F2" w:rsidRDefault="00025D02" w:rsidP="00C61DC3">
            <w:pPr>
              <w:rPr>
                <w:iCs/>
                <w:lang w:eastAsia="x-none"/>
              </w:rPr>
            </w:pPr>
            <w:r w:rsidRPr="006647F2">
              <w:rPr>
                <w:iCs/>
                <w:lang w:eastAsia="x-none"/>
              </w:rPr>
              <w:t>No Maximum Size</w:t>
            </w:r>
          </w:p>
        </w:tc>
        <w:tc>
          <w:tcPr>
            <w:tcW w:w="4716" w:type="dxa"/>
            <w:shd w:val="clear" w:color="auto" w:fill="auto"/>
          </w:tcPr>
          <w:p w14:paraId="590AC123" w14:textId="6967C010" w:rsidR="002B0960" w:rsidRPr="006647F2" w:rsidRDefault="00C1506A" w:rsidP="000E7552">
            <w:pPr>
              <w:rPr>
                <w:iCs/>
                <w:lang w:eastAsia="x-none"/>
              </w:rPr>
            </w:pPr>
            <w:r>
              <w:rPr>
                <w:iCs/>
                <w:lang w:eastAsia="x-none"/>
              </w:rPr>
              <w:t>Further internal discussions needed</w:t>
            </w:r>
          </w:p>
          <w:p w14:paraId="015558EB" w14:textId="0A9F3FB9" w:rsidR="00BE62A6" w:rsidRPr="006647F2" w:rsidRDefault="00BE62A6" w:rsidP="000E7552">
            <w:pPr>
              <w:rPr>
                <w:iCs/>
                <w:lang w:eastAsia="x-none"/>
              </w:rPr>
            </w:pPr>
          </w:p>
        </w:tc>
        <w:tc>
          <w:tcPr>
            <w:tcW w:w="3964" w:type="dxa"/>
          </w:tcPr>
          <w:p w14:paraId="6FCBDFBF" w14:textId="662DEB0D" w:rsidR="00C61DC3" w:rsidRDefault="00C61DC3" w:rsidP="006647F2">
            <w:pPr>
              <w:rPr>
                <w:iCs/>
                <w:strike/>
                <w:lang w:eastAsia="x-none"/>
              </w:rPr>
            </w:pPr>
          </w:p>
          <w:p w14:paraId="4240D343" w14:textId="7B53A056" w:rsidR="00662144" w:rsidRPr="006A574B" w:rsidRDefault="00662144" w:rsidP="006647F2">
            <w:pPr>
              <w:rPr>
                <w:strike/>
              </w:rPr>
            </w:pPr>
            <w:r>
              <w:rPr>
                <w:iCs/>
                <w:lang w:eastAsia="x-none"/>
              </w:rPr>
              <w:t>Further internal discussions needed</w:t>
            </w:r>
          </w:p>
        </w:tc>
      </w:tr>
      <w:tr w:rsidR="002B0960" w14:paraId="26FDFBB6" w14:textId="77777777" w:rsidTr="006647F2">
        <w:tc>
          <w:tcPr>
            <w:tcW w:w="1530" w:type="dxa"/>
          </w:tcPr>
          <w:p w14:paraId="3448042D" w14:textId="0F035155" w:rsidR="002B0960" w:rsidRDefault="002B0960" w:rsidP="00C61DC3">
            <w:r>
              <w:t>Maximum Size of individual sites</w:t>
            </w:r>
            <w:r w:rsidR="00D5049E">
              <w:t xml:space="preserve"> within the aggregation </w:t>
            </w:r>
          </w:p>
        </w:tc>
        <w:tc>
          <w:tcPr>
            <w:tcW w:w="3555" w:type="dxa"/>
          </w:tcPr>
          <w:p w14:paraId="0C06700A" w14:textId="6E04DF0F" w:rsidR="006647F2" w:rsidRDefault="00025D02" w:rsidP="00025D02">
            <w:pPr>
              <w:pStyle w:val="ListParagraph"/>
              <w:numPr>
                <w:ilvl w:val="0"/>
                <w:numId w:val="15"/>
              </w:numPr>
              <w:rPr>
                <w:iCs/>
                <w:lang w:eastAsia="x-none"/>
              </w:rPr>
            </w:pPr>
            <w:r w:rsidRPr="006647F2">
              <w:rPr>
                <w:iCs/>
                <w:lang w:eastAsia="x-none"/>
              </w:rPr>
              <w:t>Individual sites within an ALR cannot be more than 10 MW</w:t>
            </w:r>
            <w:r w:rsidR="006647F2">
              <w:rPr>
                <w:iCs/>
                <w:lang w:eastAsia="x-none"/>
              </w:rPr>
              <w:t xml:space="preserve">, </w:t>
            </w:r>
            <w:r w:rsidRPr="006647F2">
              <w:rPr>
                <w:iCs/>
                <w:lang w:eastAsia="x-none"/>
              </w:rPr>
              <w:t xml:space="preserve">Or </w:t>
            </w:r>
          </w:p>
          <w:p w14:paraId="49D4F5B5" w14:textId="5B7AAB31" w:rsidR="002B0960" w:rsidRPr="006647F2" w:rsidRDefault="00025D02" w:rsidP="00025D02">
            <w:pPr>
              <w:pStyle w:val="ListParagraph"/>
              <w:numPr>
                <w:ilvl w:val="0"/>
                <w:numId w:val="15"/>
              </w:numPr>
              <w:rPr>
                <w:iCs/>
                <w:lang w:eastAsia="x-none"/>
              </w:rPr>
            </w:pPr>
            <w:r w:rsidRPr="006647F2">
              <w:rPr>
                <w:iCs/>
                <w:lang w:eastAsia="x-none"/>
              </w:rPr>
              <w:t>greater than the CIM Load in the model</w:t>
            </w:r>
          </w:p>
        </w:tc>
        <w:tc>
          <w:tcPr>
            <w:tcW w:w="4716" w:type="dxa"/>
          </w:tcPr>
          <w:p w14:paraId="09E305E9" w14:textId="55035255" w:rsidR="00025D02" w:rsidRPr="00AB7666" w:rsidRDefault="00025D02" w:rsidP="00C61DC3">
            <w:pPr>
              <w:rPr>
                <w:iCs/>
                <w:lang w:eastAsia="x-none"/>
              </w:rPr>
            </w:pPr>
            <w:r>
              <w:rPr>
                <w:iCs/>
                <w:lang w:eastAsia="x-none"/>
              </w:rPr>
              <w:t>Further internal discussions needed</w:t>
            </w:r>
            <w:r w:rsidR="003D6ED0">
              <w:rPr>
                <w:iCs/>
                <w:lang w:eastAsia="x-none"/>
              </w:rPr>
              <w:t xml:space="preserve"> 1MW</w:t>
            </w:r>
            <w:r w:rsidR="006647F2">
              <w:rPr>
                <w:iCs/>
                <w:lang w:eastAsia="x-none"/>
              </w:rPr>
              <w:t>?</w:t>
            </w:r>
          </w:p>
        </w:tc>
        <w:tc>
          <w:tcPr>
            <w:tcW w:w="3964" w:type="dxa"/>
          </w:tcPr>
          <w:p w14:paraId="6566775C" w14:textId="38E75355" w:rsidR="002B0960" w:rsidRPr="00B15F75" w:rsidRDefault="000E7552" w:rsidP="00C61DC3">
            <w:pPr>
              <w:rPr>
                <w:iCs/>
                <w:lang w:eastAsia="x-none"/>
              </w:rPr>
            </w:pPr>
            <w:r>
              <w:rPr>
                <w:iCs/>
                <w:lang w:eastAsia="x-none"/>
              </w:rPr>
              <w:t xml:space="preserve">Individual sites within the heterogenous ALR shall not be greater than </w:t>
            </w:r>
            <w:r w:rsidR="00026E84">
              <w:rPr>
                <w:iCs/>
                <w:lang w:eastAsia="x-none"/>
              </w:rPr>
              <w:t>X</w:t>
            </w:r>
            <w:r>
              <w:rPr>
                <w:iCs/>
                <w:lang w:eastAsia="x-none"/>
              </w:rPr>
              <w:t xml:space="preserve"> MW</w:t>
            </w:r>
            <w:r w:rsidR="003E654C">
              <w:rPr>
                <w:iCs/>
                <w:lang w:eastAsia="x-none"/>
              </w:rPr>
              <w:t>?</w:t>
            </w:r>
          </w:p>
        </w:tc>
      </w:tr>
      <w:tr w:rsidR="00D5049E" w14:paraId="113B77EB" w14:textId="77777777" w:rsidTr="006647F2">
        <w:tc>
          <w:tcPr>
            <w:tcW w:w="1530" w:type="dxa"/>
          </w:tcPr>
          <w:p w14:paraId="7DE5A24B" w14:textId="1EB5A616" w:rsidR="00D5049E" w:rsidRDefault="00D5049E" w:rsidP="00C61DC3">
            <w:r>
              <w:t xml:space="preserve">ALR Program Cap </w:t>
            </w:r>
          </w:p>
        </w:tc>
        <w:tc>
          <w:tcPr>
            <w:tcW w:w="3555" w:type="dxa"/>
          </w:tcPr>
          <w:p w14:paraId="78434BB4" w14:textId="77777777" w:rsidR="00D5049E" w:rsidRDefault="00D5049E" w:rsidP="00C61DC3">
            <w:pPr>
              <w:rPr>
                <w:iCs/>
                <w:lang w:eastAsia="x-none"/>
              </w:rPr>
            </w:pPr>
            <w:r>
              <w:rPr>
                <w:iCs/>
                <w:lang w:eastAsia="x-none"/>
              </w:rPr>
              <w:t>5% of load zone’s summer peak load</w:t>
            </w:r>
          </w:p>
          <w:p w14:paraId="793860ED" w14:textId="77777777" w:rsidR="00D5049E" w:rsidRDefault="00D5049E" w:rsidP="00C61DC3">
            <w:pPr>
              <w:rPr>
                <w:iCs/>
                <w:lang w:eastAsia="x-none"/>
              </w:rPr>
            </w:pPr>
          </w:p>
          <w:p w14:paraId="6D90253C" w14:textId="2A9798BF" w:rsidR="00D5049E" w:rsidRPr="00351011" w:rsidRDefault="00D5049E" w:rsidP="00C61DC3">
            <w:pPr>
              <w:rPr>
                <w:iCs/>
                <w:lang w:eastAsia="x-none"/>
              </w:rPr>
            </w:pPr>
            <w:r>
              <w:rPr>
                <w:iCs/>
                <w:lang w:eastAsia="x-none"/>
              </w:rPr>
              <w:lastRenderedPageBreak/>
              <w:t>~4,000 MW</w:t>
            </w:r>
          </w:p>
        </w:tc>
        <w:tc>
          <w:tcPr>
            <w:tcW w:w="4716" w:type="dxa"/>
          </w:tcPr>
          <w:p w14:paraId="4DF150BA" w14:textId="16A6DF05" w:rsidR="00D5049E" w:rsidRPr="00AB7666" w:rsidRDefault="00D5049E" w:rsidP="00C61DC3">
            <w:pPr>
              <w:rPr>
                <w:iCs/>
                <w:lang w:eastAsia="x-none"/>
              </w:rPr>
            </w:pPr>
            <w:r>
              <w:rPr>
                <w:iCs/>
                <w:lang w:eastAsia="x-none"/>
              </w:rPr>
              <w:lastRenderedPageBreak/>
              <w:t>Review and Lower the ALR program Cap</w:t>
            </w:r>
            <w:r w:rsidR="00025D02">
              <w:rPr>
                <w:iCs/>
                <w:lang w:eastAsia="x-none"/>
              </w:rPr>
              <w:t xml:space="preserve">, </w:t>
            </w:r>
            <w:r w:rsidR="006647F2">
              <w:rPr>
                <w:iCs/>
                <w:lang w:eastAsia="x-none"/>
              </w:rPr>
              <w:t>further</w:t>
            </w:r>
            <w:r w:rsidR="00025D02">
              <w:rPr>
                <w:iCs/>
                <w:lang w:eastAsia="x-none"/>
              </w:rPr>
              <w:t xml:space="preserve"> internal discussions needed</w:t>
            </w:r>
          </w:p>
        </w:tc>
        <w:tc>
          <w:tcPr>
            <w:tcW w:w="3964" w:type="dxa"/>
          </w:tcPr>
          <w:p w14:paraId="3DB2D8FF" w14:textId="79FB22E7" w:rsidR="00D5049E" w:rsidRPr="00B15F75" w:rsidRDefault="00D5049E" w:rsidP="00C61DC3">
            <w:pPr>
              <w:rPr>
                <w:iCs/>
                <w:lang w:eastAsia="x-none"/>
              </w:rPr>
            </w:pPr>
            <w:r>
              <w:rPr>
                <w:iCs/>
                <w:lang w:eastAsia="x-none"/>
              </w:rPr>
              <w:t xml:space="preserve">Is Cap necessary? </w:t>
            </w:r>
          </w:p>
        </w:tc>
      </w:tr>
      <w:tr w:rsidR="00C61DC3" w14:paraId="2EE41279" w14:textId="77777777" w:rsidTr="006647F2">
        <w:tc>
          <w:tcPr>
            <w:tcW w:w="1530" w:type="dxa"/>
          </w:tcPr>
          <w:p w14:paraId="4B3CD3E0" w14:textId="4A0D9139" w:rsidR="00C61DC3" w:rsidRDefault="003E654C" w:rsidP="00C61DC3">
            <w:r>
              <w:t xml:space="preserve">Device </w:t>
            </w:r>
            <w:r w:rsidR="006647F2">
              <w:t>Characteristics</w:t>
            </w:r>
          </w:p>
        </w:tc>
        <w:tc>
          <w:tcPr>
            <w:tcW w:w="3555" w:type="dxa"/>
          </w:tcPr>
          <w:p w14:paraId="77991D60" w14:textId="08F54407" w:rsidR="00C61DC3" w:rsidRDefault="00C61DC3" w:rsidP="00C61DC3">
            <w:r w:rsidRPr="00351011">
              <w:rPr>
                <w:iCs/>
                <w:lang w:eastAsia="x-none"/>
              </w:rPr>
              <w:t>The devices are required to only be equipment that reduces load.</w:t>
            </w:r>
          </w:p>
        </w:tc>
        <w:tc>
          <w:tcPr>
            <w:tcW w:w="4716" w:type="dxa"/>
          </w:tcPr>
          <w:p w14:paraId="4808E662" w14:textId="41D4B2CD" w:rsidR="00C61DC3" w:rsidRDefault="00C61DC3" w:rsidP="00C61DC3">
            <w:r w:rsidRPr="00AB7666">
              <w:rPr>
                <w:iCs/>
                <w:lang w:eastAsia="x-none"/>
              </w:rPr>
              <w:t>The devices are allowed to be equipment that reduces load or equipment that injects (generation or energy storage</w:t>
            </w:r>
            <w:r w:rsidR="000E7552">
              <w:rPr>
                <w:iCs/>
                <w:lang w:eastAsia="x-none"/>
              </w:rPr>
              <w:t xml:space="preserve"> systems</w:t>
            </w:r>
            <w:r w:rsidRPr="00AB7666">
              <w:rPr>
                <w:iCs/>
                <w:lang w:eastAsia="x-none"/>
              </w:rPr>
              <w:t>).</w:t>
            </w:r>
          </w:p>
        </w:tc>
        <w:tc>
          <w:tcPr>
            <w:tcW w:w="3964" w:type="dxa"/>
          </w:tcPr>
          <w:p w14:paraId="187B16D8" w14:textId="6247BCA8" w:rsidR="00C61DC3" w:rsidRDefault="00C61DC3" w:rsidP="00C61DC3">
            <w:r w:rsidRPr="00B15F75">
              <w:rPr>
                <w:iCs/>
                <w:lang w:eastAsia="x-none"/>
              </w:rPr>
              <w:t>The devices can be equipment that reduces load and</w:t>
            </w:r>
            <w:r>
              <w:rPr>
                <w:iCs/>
                <w:lang w:eastAsia="x-none"/>
              </w:rPr>
              <w:t>/or</w:t>
            </w:r>
            <w:r w:rsidRPr="00B15F75">
              <w:rPr>
                <w:iCs/>
                <w:lang w:eastAsia="x-none"/>
              </w:rPr>
              <w:t xml:space="preserve"> equipment that </w:t>
            </w:r>
            <w:r w:rsidR="000E7552">
              <w:rPr>
                <w:iCs/>
                <w:lang w:eastAsia="x-none"/>
              </w:rPr>
              <w:t>injects into distribution system</w:t>
            </w:r>
            <w:r w:rsidRPr="00B15F75">
              <w:rPr>
                <w:iCs/>
                <w:lang w:eastAsia="x-none"/>
              </w:rPr>
              <w:t>.</w:t>
            </w:r>
          </w:p>
        </w:tc>
      </w:tr>
      <w:tr w:rsidR="00C61DC3" w14:paraId="44E9FC63" w14:textId="77777777" w:rsidTr="006647F2">
        <w:tc>
          <w:tcPr>
            <w:tcW w:w="1530" w:type="dxa"/>
          </w:tcPr>
          <w:p w14:paraId="7EA5772E" w14:textId="6960271F" w:rsidR="00C61DC3" w:rsidRDefault="003D6ED0" w:rsidP="00C61DC3">
            <w:r>
              <w:t>Offer</w:t>
            </w:r>
          </w:p>
        </w:tc>
        <w:tc>
          <w:tcPr>
            <w:tcW w:w="3555" w:type="dxa"/>
            <w:shd w:val="clear" w:color="auto" w:fill="auto"/>
          </w:tcPr>
          <w:p w14:paraId="2CDA2E00" w14:textId="443F72D2" w:rsidR="00C61DC3" w:rsidRDefault="00C61DC3" w:rsidP="00C61DC3">
            <w:r w:rsidRPr="00351011">
              <w:rPr>
                <w:iCs/>
                <w:lang w:eastAsia="x-none"/>
              </w:rPr>
              <w:t>“Bid to Buy” to be submitted.</w:t>
            </w:r>
          </w:p>
        </w:tc>
        <w:tc>
          <w:tcPr>
            <w:tcW w:w="4716" w:type="dxa"/>
            <w:shd w:val="clear" w:color="auto" w:fill="auto"/>
          </w:tcPr>
          <w:p w14:paraId="49238D71" w14:textId="5380D313" w:rsidR="00C61DC3" w:rsidRDefault="00C61DC3" w:rsidP="00C61DC3">
            <w:r w:rsidRPr="00AB7666">
              <w:rPr>
                <w:iCs/>
                <w:lang w:eastAsia="x-none"/>
              </w:rPr>
              <w:t>“Bid to Buy” to be submitted.</w:t>
            </w:r>
          </w:p>
        </w:tc>
        <w:tc>
          <w:tcPr>
            <w:tcW w:w="3964" w:type="dxa"/>
          </w:tcPr>
          <w:p w14:paraId="73F600EA" w14:textId="1D74BE2C" w:rsidR="00C61DC3" w:rsidRDefault="00C61DC3" w:rsidP="00C61DC3">
            <w:r w:rsidRPr="00B15F75">
              <w:rPr>
                <w:iCs/>
                <w:lang w:eastAsia="x-none"/>
              </w:rPr>
              <w:t>“Bid to Buy/ Offer</w:t>
            </w:r>
            <w:r w:rsidR="00D76AA4">
              <w:rPr>
                <w:iCs/>
                <w:lang w:eastAsia="x-none"/>
              </w:rPr>
              <w:t>”</w:t>
            </w:r>
            <w:r w:rsidRPr="00B15F75">
              <w:rPr>
                <w:iCs/>
                <w:lang w:eastAsia="x-none"/>
              </w:rPr>
              <w:t xml:space="preserve"> to Sell to be submitted.</w:t>
            </w:r>
          </w:p>
        </w:tc>
      </w:tr>
      <w:tr w:rsidR="00C61DC3" w14:paraId="4C883D61" w14:textId="77777777" w:rsidTr="006647F2">
        <w:tc>
          <w:tcPr>
            <w:tcW w:w="1530" w:type="dxa"/>
          </w:tcPr>
          <w:p w14:paraId="5F843249" w14:textId="47EAE9C3" w:rsidR="00C61DC3" w:rsidRDefault="003D6ED0" w:rsidP="00C61DC3">
            <w:r>
              <w:t>Dispatch</w:t>
            </w:r>
          </w:p>
        </w:tc>
        <w:tc>
          <w:tcPr>
            <w:tcW w:w="3555" w:type="dxa"/>
            <w:shd w:val="clear" w:color="auto" w:fill="auto"/>
          </w:tcPr>
          <w:p w14:paraId="6D8A0FEE" w14:textId="5124B78F" w:rsidR="00C61DC3" w:rsidRDefault="00C61DC3" w:rsidP="00C61DC3">
            <w:r w:rsidRPr="00351011">
              <w:rPr>
                <w:iCs/>
              </w:rPr>
              <w:t>Dispatched using Zonal Shift Factor.  Load is settled using Load Zone Price.</w:t>
            </w:r>
          </w:p>
        </w:tc>
        <w:tc>
          <w:tcPr>
            <w:tcW w:w="4716" w:type="dxa"/>
            <w:shd w:val="clear" w:color="auto" w:fill="auto"/>
          </w:tcPr>
          <w:p w14:paraId="64920F80" w14:textId="45D12FD6" w:rsidR="00C61DC3" w:rsidRDefault="00C61DC3" w:rsidP="00C61DC3">
            <w:r w:rsidRPr="00AB7666">
              <w:rPr>
                <w:iCs/>
              </w:rPr>
              <w:t>Dispatched using Zonal Shift Factor.  Load is settled using Load Zone Price.  (Energy injected at a metered site lowers QSE load</w:t>
            </w:r>
            <w:r>
              <w:rPr>
                <w:iCs/>
              </w:rPr>
              <w:t xml:space="preserve"> and is</w:t>
            </w:r>
            <w:r w:rsidRPr="00AB7666">
              <w:rPr>
                <w:iCs/>
              </w:rPr>
              <w:t xml:space="preserve"> settled/valued using Load Zone Price.)</w:t>
            </w:r>
          </w:p>
        </w:tc>
        <w:tc>
          <w:tcPr>
            <w:tcW w:w="3964" w:type="dxa"/>
          </w:tcPr>
          <w:p w14:paraId="52698D05" w14:textId="38A94C60" w:rsidR="00C61DC3" w:rsidRDefault="00C61DC3" w:rsidP="00C61DC3">
            <w:r w:rsidRPr="00B15F75">
              <w:rPr>
                <w:iCs/>
              </w:rPr>
              <w:t>Dispatched using Nodal Shift Factor.  Withdrawals and injections are settled using nodal pricing.</w:t>
            </w:r>
          </w:p>
        </w:tc>
      </w:tr>
      <w:tr w:rsidR="00C61DC3" w14:paraId="2F5F67D5" w14:textId="77777777" w:rsidTr="006647F2">
        <w:tc>
          <w:tcPr>
            <w:tcW w:w="1530" w:type="dxa"/>
          </w:tcPr>
          <w:p w14:paraId="1169158D" w14:textId="04542F34" w:rsidR="00C61DC3" w:rsidRDefault="00582DBE" w:rsidP="00C61DC3">
            <w:r>
              <w:t>Telemetry</w:t>
            </w:r>
          </w:p>
        </w:tc>
        <w:tc>
          <w:tcPr>
            <w:tcW w:w="3555" w:type="dxa"/>
            <w:shd w:val="clear" w:color="auto" w:fill="auto"/>
          </w:tcPr>
          <w:p w14:paraId="076C8A02" w14:textId="2CA38B39" w:rsidR="00C61DC3" w:rsidRPr="00351011" w:rsidRDefault="00C61DC3" w:rsidP="00C61DC3">
            <w:pPr>
              <w:rPr>
                <w:iCs/>
              </w:rPr>
            </w:pPr>
            <w:r w:rsidRPr="00C8486F">
              <w:rPr>
                <w:iCs/>
              </w:rPr>
              <w:t xml:space="preserve">Premise Telemetry is used </w:t>
            </w:r>
            <w:r w:rsidR="002B0960">
              <w:rPr>
                <w:iCs/>
              </w:rPr>
              <w:t xml:space="preserve">for participation in </w:t>
            </w:r>
            <w:r w:rsidRPr="00C8486F">
              <w:rPr>
                <w:iCs/>
              </w:rPr>
              <w:t>SCED and for performance evaluation.</w:t>
            </w:r>
          </w:p>
        </w:tc>
        <w:tc>
          <w:tcPr>
            <w:tcW w:w="4716" w:type="dxa"/>
            <w:shd w:val="clear" w:color="auto" w:fill="auto"/>
          </w:tcPr>
          <w:p w14:paraId="73C8D69C" w14:textId="2B7EF162" w:rsidR="00C61DC3" w:rsidRDefault="00C61DC3" w:rsidP="00C61DC3">
            <w:r w:rsidRPr="00AB7666">
              <w:t>Premise or Device</w:t>
            </w:r>
            <w:r w:rsidR="002B0960">
              <w:t xml:space="preserve"> (load, </w:t>
            </w:r>
            <w:r w:rsidR="00253304">
              <w:t>battery,</w:t>
            </w:r>
            <w:r w:rsidR="002B0960">
              <w:t xml:space="preserve"> or generator)</w:t>
            </w:r>
            <w:r w:rsidRPr="00AB7666">
              <w:t xml:space="preserve"> level telemetry is used </w:t>
            </w:r>
            <w:r>
              <w:t>as</w:t>
            </w:r>
            <w:r w:rsidRPr="00AB7666">
              <w:t xml:space="preserve"> input to SCED and for performance evaluation.</w:t>
            </w:r>
          </w:p>
          <w:p w14:paraId="21BE2776" w14:textId="77777777" w:rsidR="009C2377" w:rsidRPr="006647F2" w:rsidRDefault="009C2377" w:rsidP="009C2377"/>
          <w:p w14:paraId="284834CC" w14:textId="0F9B0BBE" w:rsidR="006E7AA7" w:rsidRPr="006647F2" w:rsidRDefault="00025D02" w:rsidP="006E7AA7">
            <w:r w:rsidRPr="006647F2">
              <w:t xml:space="preserve">ALR participating in SCED and AS by using device level telemetry must also </w:t>
            </w:r>
            <w:r w:rsidR="006647F2" w:rsidRPr="006647F2">
              <w:t>telemeter</w:t>
            </w:r>
            <w:r w:rsidR="006E7AA7" w:rsidRPr="006647F2">
              <w:t xml:space="preserve"> consumption value for the ALR</w:t>
            </w:r>
          </w:p>
          <w:p w14:paraId="34440A4E" w14:textId="751E417C" w:rsidR="00025D02" w:rsidRPr="006647F2" w:rsidRDefault="00025D02" w:rsidP="009C2377">
            <w:r w:rsidRPr="006647F2">
              <w:t xml:space="preserve"> </w:t>
            </w:r>
          </w:p>
          <w:p w14:paraId="3FFEFD31" w14:textId="77777777" w:rsidR="00025D02" w:rsidRDefault="00025D02" w:rsidP="00C61DC3"/>
          <w:p w14:paraId="69F722A6" w14:textId="5A8D24C7" w:rsidR="002B0960" w:rsidRDefault="002B0960" w:rsidP="00C61DC3"/>
        </w:tc>
        <w:tc>
          <w:tcPr>
            <w:tcW w:w="3964" w:type="dxa"/>
          </w:tcPr>
          <w:p w14:paraId="48F935C9" w14:textId="683EDCFA" w:rsidR="00C61DC3" w:rsidRDefault="00C61DC3" w:rsidP="00C61DC3">
            <w:r>
              <w:rPr>
                <w:iCs/>
              </w:rPr>
              <w:t>Summation of Device</w:t>
            </w:r>
            <w:r w:rsidRPr="00B15F75">
              <w:rPr>
                <w:iCs/>
              </w:rPr>
              <w:t xml:space="preserve"> Telemetry is used as input to SCED and for performance evaluation.</w:t>
            </w:r>
            <w:r w:rsidR="002B0960">
              <w:rPr>
                <w:iCs/>
              </w:rPr>
              <w:t xml:space="preserve"> Restriction to participate up to aggregated demand response capability may not be required</w:t>
            </w:r>
          </w:p>
        </w:tc>
      </w:tr>
      <w:tr w:rsidR="006647F2" w14:paraId="45A7BD52" w14:textId="77777777" w:rsidTr="006647F2">
        <w:tc>
          <w:tcPr>
            <w:tcW w:w="1530" w:type="dxa"/>
          </w:tcPr>
          <w:p w14:paraId="414CDF3D" w14:textId="39258C7A" w:rsidR="006647F2" w:rsidRDefault="006647F2" w:rsidP="006647F2">
            <w:r>
              <w:t xml:space="preserve">Performance Validation </w:t>
            </w:r>
          </w:p>
        </w:tc>
        <w:tc>
          <w:tcPr>
            <w:tcW w:w="3555" w:type="dxa"/>
            <w:shd w:val="clear" w:color="auto" w:fill="auto"/>
          </w:tcPr>
          <w:p w14:paraId="3D1CF3F6" w14:textId="585C679E" w:rsidR="006647F2" w:rsidRPr="00C8486F" w:rsidRDefault="006647F2" w:rsidP="006647F2">
            <w:pPr>
              <w:rPr>
                <w:iCs/>
              </w:rPr>
            </w:pPr>
            <w:r>
              <w:rPr>
                <w:iCs/>
              </w:rPr>
              <w:t>Baseline</w:t>
            </w:r>
          </w:p>
        </w:tc>
        <w:tc>
          <w:tcPr>
            <w:tcW w:w="4716" w:type="dxa"/>
            <w:shd w:val="clear" w:color="auto" w:fill="auto"/>
          </w:tcPr>
          <w:p w14:paraId="1AC8052D" w14:textId="707A863A" w:rsidR="006647F2" w:rsidRPr="00AB7666" w:rsidRDefault="006647F2" w:rsidP="006647F2">
            <w:r>
              <w:t>For heterogenous aggregation using batteries or generators, is baselining needed?</w:t>
            </w:r>
          </w:p>
        </w:tc>
        <w:tc>
          <w:tcPr>
            <w:tcW w:w="3964" w:type="dxa"/>
          </w:tcPr>
          <w:p w14:paraId="067B5CE7" w14:textId="08406955" w:rsidR="006647F2" w:rsidRDefault="006647F2" w:rsidP="006647F2">
            <w:pPr>
              <w:rPr>
                <w:iCs/>
              </w:rPr>
            </w:pPr>
            <w:r>
              <w:rPr>
                <w:iCs/>
                <w:lang w:eastAsia="x-none"/>
              </w:rPr>
              <w:t>Further internal discussions needed?</w:t>
            </w:r>
          </w:p>
        </w:tc>
      </w:tr>
    </w:tbl>
    <w:p w14:paraId="0314A829" w14:textId="04F3E43A" w:rsidR="00317D5F" w:rsidRDefault="00317D5F" w:rsidP="00E0703A"/>
    <w:p w14:paraId="3405D5A0" w14:textId="77777777" w:rsidR="00317D5F" w:rsidRDefault="00317D5F" w:rsidP="00746E90"/>
    <w:sectPr w:rsidR="00317D5F" w:rsidSect="00317D5F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8CDEF" w14:textId="77777777" w:rsidR="00321F4C" w:rsidRDefault="00321F4C" w:rsidP="006616C1">
      <w:pPr>
        <w:spacing w:after="0" w:line="240" w:lineRule="auto"/>
      </w:pPr>
      <w:r>
        <w:separator/>
      </w:r>
    </w:p>
  </w:endnote>
  <w:endnote w:type="continuationSeparator" w:id="0">
    <w:p w14:paraId="75A0CD9B" w14:textId="77777777" w:rsidR="00321F4C" w:rsidRDefault="00321F4C" w:rsidP="0066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06027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26545" w14:textId="055E849E" w:rsidR="00381DBE" w:rsidRDefault="00381D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29CB37" w14:textId="227C958F" w:rsidR="009572C9" w:rsidRDefault="00957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19459" w14:textId="77777777" w:rsidR="00321F4C" w:rsidRDefault="00321F4C" w:rsidP="006616C1">
      <w:pPr>
        <w:spacing w:after="0" w:line="240" w:lineRule="auto"/>
      </w:pPr>
      <w:r>
        <w:separator/>
      </w:r>
    </w:p>
  </w:footnote>
  <w:footnote w:type="continuationSeparator" w:id="0">
    <w:p w14:paraId="4B953209" w14:textId="77777777" w:rsidR="00321F4C" w:rsidRDefault="00321F4C" w:rsidP="00661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992C7" w14:textId="32201851" w:rsidR="00602D30" w:rsidRDefault="009D2D49">
    <w:pPr>
      <w:pStyle w:val="Header"/>
    </w:pPr>
    <w:r>
      <w:t>ERCOT (For Discussion Purposes Only) 5-</w:t>
    </w:r>
    <w:r w:rsidR="00D76AA4">
      <w:t>31</w:t>
    </w:r>
    <w:r>
      <w:t>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287"/>
    <w:multiLevelType w:val="hybridMultilevel"/>
    <w:tmpl w:val="78A48D7A"/>
    <w:lvl w:ilvl="0" w:tplc="FC0E2E10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0AC679FE"/>
    <w:multiLevelType w:val="hybridMultilevel"/>
    <w:tmpl w:val="98B8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C59BA"/>
    <w:multiLevelType w:val="hybridMultilevel"/>
    <w:tmpl w:val="F2600B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023C38"/>
    <w:multiLevelType w:val="hybridMultilevel"/>
    <w:tmpl w:val="F60E3D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BA13CB"/>
    <w:multiLevelType w:val="hybridMultilevel"/>
    <w:tmpl w:val="FE325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F14CA6"/>
    <w:multiLevelType w:val="hybridMultilevel"/>
    <w:tmpl w:val="5C42A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BB29AF"/>
    <w:multiLevelType w:val="hybridMultilevel"/>
    <w:tmpl w:val="9278894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43276F"/>
    <w:multiLevelType w:val="hybridMultilevel"/>
    <w:tmpl w:val="1C846040"/>
    <w:lvl w:ilvl="0" w:tplc="B90471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06C2D"/>
    <w:multiLevelType w:val="hybridMultilevel"/>
    <w:tmpl w:val="8A487D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5D7F03"/>
    <w:multiLevelType w:val="hybridMultilevel"/>
    <w:tmpl w:val="DFE29E84"/>
    <w:lvl w:ilvl="0" w:tplc="B904716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132C48"/>
    <w:multiLevelType w:val="hybridMultilevel"/>
    <w:tmpl w:val="D264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F2173"/>
    <w:multiLevelType w:val="hybridMultilevel"/>
    <w:tmpl w:val="DB284C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4F46DB"/>
    <w:multiLevelType w:val="hybridMultilevel"/>
    <w:tmpl w:val="1D8003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5B1BE9"/>
    <w:multiLevelType w:val="hybridMultilevel"/>
    <w:tmpl w:val="F0BAB4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C226AAB"/>
    <w:multiLevelType w:val="hybridMultilevel"/>
    <w:tmpl w:val="6376177C"/>
    <w:lvl w:ilvl="0" w:tplc="B90471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9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3A"/>
    <w:rsid w:val="00025D02"/>
    <w:rsid w:val="00026E84"/>
    <w:rsid w:val="00045920"/>
    <w:rsid w:val="00050993"/>
    <w:rsid w:val="00065F6E"/>
    <w:rsid w:val="000817C1"/>
    <w:rsid w:val="000925EC"/>
    <w:rsid w:val="00097140"/>
    <w:rsid w:val="000B668E"/>
    <w:rsid w:val="000C5086"/>
    <w:rsid w:val="000E45DC"/>
    <w:rsid w:val="000E6BCC"/>
    <w:rsid w:val="000E7552"/>
    <w:rsid w:val="000F4734"/>
    <w:rsid w:val="001028F8"/>
    <w:rsid w:val="00104BC5"/>
    <w:rsid w:val="00113ABF"/>
    <w:rsid w:val="00120513"/>
    <w:rsid w:val="00126DDF"/>
    <w:rsid w:val="001449CA"/>
    <w:rsid w:val="0015550A"/>
    <w:rsid w:val="00161A81"/>
    <w:rsid w:val="00165970"/>
    <w:rsid w:val="00167FE5"/>
    <w:rsid w:val="001755D4"/>
    <w:rsid w:val="00185E33"/>
    <w:rsid w:val="001A3032"/>
    <w:rsid w:val="001B7C5F"/>
    <w:rsid w:val="001C08EA"/>
    <w:rsid w:val="001C75C0"/>
    <w:rsid w:val="001D21A2"/>
    <w:rsid w:val="001E486D"/>
    <w:rsid w:val="001F329E"/>
    <w:rsid w:val="00200E7C"/>
    <w:rsid w:val="002107D8"/>
    <w:rsid w:val="0021271E"/>
    <w:rsid w:val="00215EFE"/>
    <w:rsid w:val="002300E9"/>
    <w:rsid w:val="00231ED6"/>
    <w:rsid w:val="002356B3"/>
    <w:rsid w:val="00235F06"/>
    <w:rsid w:val="00240F68"/>
    <w:rsid w:val="002425EA"/>
    <w:rsid w:val="00253304"/>
    <w:rsid w:val="002576A2"/>
    <w:rsid w:val="00282967"/>
    <w:rsid w:val="002833F8"/>
    <w:rsid w:val="00284246"/>
    <w:rsid w:val="002A01AB"/>
    <w:rsid w:val="002A0E19"/>
    <w:rsid w:val="002A7E92"/>
    <w:rsid w:val="002B0960"/>
    <w:rsid w:val="002C501B"/>
    <w:rsid w:val="002E6CFF"/>
    <w:rsid w:val="003041CD"/>
    <w:rsid w:val="00311543"/>
    <w:rsid w:val="00312068"/>
    <w:rsid w:val="00317D5F"/>
    <w:rsid w:val="003213E3"/>
    <w:rsid w:val="00321F4C"/>
    <w:rsid w:val="00325AC6"/>
    <w:rsid w:val="00326CFA"/>
    <w:rsid w:val="003427B2"/>
    <w:rsid w:val="003646E4"/>
    <w:rsid w:val="00381DBE"/>
    <w:rsid w:val="00382B65"/>
    <w:rsid w:val="00396D79"/>
    <w:rsid w:val="003A5146"/>
    <w:rsid w:val="003A546B"/>
    <w:rsid w:val="003B3C00"/>
    <w:rsid w:val="003C02A8"/>
    <w:rsid w:val="003C2FE2"/>
    <w:rsid w:val="003D6ED0"/>
    <w:rsid w:val="003E0884"/>
    <w:rsid w:val="003E3CFF"/>
    <w:rsid w:val="003E654C"/>
    <w:rsid w:val="003F4B51"/>
    <w:rsid w:val="003F7F21"/>
    <w:rsid w:val="00403718"/>
    <w:rsid w:val="00404BD8"/>
    <w:rsid w:val="00407BDE"/>
    <w:rsid w:val="00410241"/>
    <w:rsid w:val="00413552"/>
    <w:rsid w:val="00421D9C"/>
    <w:rsid w:val="004300A9"/>
    <w:rsid w:val="004665BD"/>
    <w:rsid w:val="0048181F"/>
    <w:rsid w:val="004C13E5"/>
    <w:rsid w:val="004D48EF"/>
    <w:rsid w:val="004E4811"/>
    <w:rsid w:val="00530545"/>
    <w:rsid w:val="005322FE"/>
    <w:rsid w:val="005472D9"/>
    <w:rsid w:val="00577A60"/>
    <w:rsid w:val="00582DBE"/>
    <w:rsid w:val="00590E05"/>
    <w:rsid w:val="005B07D0"/>
    <w:rsid w:val="005B094E"/>
    <w:rsid w:val="005B198F"/>
    <w:rsid w:val="005B3539"/>
    <w:rsid w:val="005C02A3"/>
    <w:rsid w:val="005D729A"/>
    <w:rsid w:val="005F63C8"/>
    <w:rsid w:val="00602D30"/>
    <w:rsid w:val="006102A0"/>
    <w:rsid w:val="00616F1D"/>
    <w:rsid w:val="00657795"/>
    <w:rsid w:val="006616C1"/>
    <w:rsid w:val="00662144"/>
    <w:rsid w:val="006633D9"/>
    <w:rsid w:val="006647F2"/>
    <w:rsid w:val="00690DD5"/>
    <w:rsid w:val="0069201A"/>
    <w:rsid w:val="006A574B"/>
    <w:rsid w:val="006B3E1D"/>
    <w:rsid w:val="006D1368"/>
    <w:rsid w:val="006D2996"/>
    <w:rsid w:val="006D5628"/>
    <w:rsid w:val="006E7AA7"/>
    <w:rsid w:val="006F1961"/>
    <w:rsid w:val="00702AD1"/>
    <w:rsid w:val="00711886"/>
    <w:rsid w:val="0073356F"/>
    <w:rsid w:val="00737211"/>
    <w:rsid w:val="00744CD9"/>
    <w:rsid w:val="00745372"/>
    <w:rsid w:val="00746E90"/>
    <w:rsid w:val="00754323"/>
    <w:rsid w:val="0076187B"/>
    <w:rsid w:val="0077401D"/>
    <w:rsid w:val="007777F1"/>
    <w:rsid w:val="00781C3B"/>
    <w:rsid w:val="00783F84"/>
    <w:rsid w:val="00784457"/>
    <w:rsid w:val="00785F5F"/>
    <w:rsid w:val="007911CA"/>
    <w:rsid w:val="007919E4"/>
    <w:rsid w:val="00794403"/>
    <w:rsid w:val="007B306C"/>
    <w:rsid w:val="007B3352"/>
    <w:rsid w:val="007C41D3"/>
    <w:rsid w:val="007C6199"/>
    <w:rsid w:val="007D40A5"/>
    <w:rsid w:val="007E5DE4"/>
    <w:rsid w:val="007F38E2"/>
    <w:rsid w:val="00803BB6"/>
    <w:rsid w:val="008271EE"/>
    <w:rsid w:val="00845D08"/>
    <w:rsid w:val="00860395"/>
    <w:rsid w:val="00872E6B"/>
    <w:rsid w:val="008769B8"/>
    <w:rsid w:val="008770AB"/>
    <w:rsid w:val="0089036C"/>
    <w:rsid w:val="008934E2"/>
    <w:rsid w:val="00897255"/>
    <w:rsid w:val="008A14E6"/>
    <w:rsid w:val="008B13B8"/>
    <w:rsid w:val="008B581F"/>
    <w:rsid w:val="008C136C"/>
    <w:rsid w:val="008D64CA"/>
    <w:rsid w:val="00905C0C"/>
    <w:rsid w:val="009159A2"/>
    <w:rsid w:val="009305BF"/>
    <w:rsid w:val="00945934"/>
    <w:rsid w:val="009572C9"/>
    <w:rsid w:val="00967113"/>
    <w:rsid w:val="0098165A"/>
    <w:rsid w:val="009965A7"/>
    <w:rsid w:val="009B77D3"/>
    <w:rsid w:val="009C2377"/>
    <w:rsid w:val="009D2D49"/>
    <w:rsid w:val="009E767E"/>
    <w:rsid w:val="009F060A"/>
    <w:rsid w:val="00A14B5F"/>
    <w:rsid w:val="00A37F0C"/>
    <w:rsid w:val="00A57AFC"/>
    <w:rsid w:val="00A702BE"/>
    <w:rsid w:val="00A74C7D"/>
    <w:rsid w:val="00A76E62"/>
    <w:rsid w:val="00A77693"/>
    <w:rsid w:val="00A82D41"/>
    <w:rsid w:val="00AB11EF"/>
    <w:rsid w:val="00AB1FB4"/>
    <w:rsid w:val="00AC1AF7"/>
    <w:rsid w:val="00AD18ED"/>
    <w:rsid w:val="00AD598D"/>
    <w:rsid w:val="00AE1CA8"/>
    <w:rsid w:val="00B13238"/>
    <w:rsid w:val="00B2160F"/>
    <w:rsid w:val="00B260B6"/>
    <w:rsid w:val="00B32129"/>
    <w:rsid w:val="00B41732"/>
    <w:rsid w:val="00B61E70"/>
    <w:rsid w:val="00B85F11"/>
    <w:rsid w:val="00BA0442"/>
    <w:rsid w:val="00BA5AF4"/>
    <w:rsid w:val="00BC2816"/>
    <w:rsid w:val="00BC3584"/>
    <w:rsid w:val="00BD6E4B"/>
    <w:rsid w:val="00BE43A8"/>
    <w:rsid w:val="00BE4A6A"/>
    <w:rsid w:val="00BE62A6"/>
    <w:rsid w:val="00BF038C"/>
    <w:rsid w:val="00C14B46"/>
    <w:rsid w:val="00C1506A"/>
    <w:rsid w:val="00C237E4"/>
    <w:rsid w:val="00C61DC3"/>
    <w:rsid w:val="00C86478"/>
    <w:rsid w:val="00CA7C37"/>
    <w:rsid w:val="00CD00A7"/>
    <w:rsid w:val="00CE75D3"/>
    <w:rsid w:val="00D02F7D"/>
    <w:rsid w:val="00D10DF7"/>
    <w:rsid w:val="00D159A1"/>
    <w:rsid w:val="00D277AD"/>
    <w:rsid w:val="00D5049E"/>
    <w:rsid w:val="00D53E45"/>
    <w:rsid w:val="00D76AA4"/>
    <w:rsid w:val="00D85092"/>
    <w:rsid w:val="00D8637C"/>
    <w:rsid w:val="00DB0A71"/>
    <w:rsid w:val="00DC48DE"/>
    <w:rsid w:val="00DE7BBD"/>
    <w:rsid w:val="00DF69BD"/>
    <w:rsid w:val="00E06F72"/>
    <w:rsid w:val="00E0703A"/>
    <w:rsid w:val="00E113AC"/>
    <w:rsid w:val="00E13A00"/>
    <w:rsid w:val="00E33FC1"/>
    <w:rsid w:val="00E40A54"/>
    <w:rsid w:val="00E620A6"/>
    <w:rsid w:val="00E63A1E"/>
    <w:rsid w:val="00E673B3"/>
    <w:rsid w:val="00E93864"/>
    <w:rsid w:val="00EC2143"/>
    <w:rsid w:val="00EC7592"/>
    <w:rsid w:val="00ED0095"/>
    <w:rsid w:val="00ED2CB0"/>
    <w:rsid w:val="00EE1468"/>
    <w:rsid w:val="00EE264F"/>
    <w:rsid w:val="00EF027F"/>
    <w:rsid w:val="00EF1FDD"/>
    <w:rsid w:val="00EF6F07"/>
    <w:rsid w:val="00F76568"/>
    <w:rsid w:val="00F81407"/>
    <w:rsid w:val="00F87565"/>
    <w:rsid w:val="00F91E8A"/>
    <w:rsid w:val="00FA2050"/>
    <w:rsid w:val="00FA6B02"/>
    <w:rsid w:val="00FB5C44"/>
    <w:rsid w:val="00FE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184A97"/>
  <w15:chartTrackingRefBased/>
  <w15:docId w15:val="{7C6B2B0D-BD18-4E79-858D-A9C2A79A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03A"/>
    <w:pPr>
      <w:ind w:left="720"/>
      <w:contextualSpacing/>
    </w:pPr>
  </w:style>
  <w:style w:type="table" w:styleId="TableGrid">
    <w:name w:val="Table Grid"/>
    <w:basedOn w:val="TableNormal"/>
    <w:uiPriority w:val="39"/>
    <w:rsid w:val="00E07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1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6C1"/>
  </w:style>
  <w:style w:type="paragraph" w:styleId="Footer">
    <w:name w:val="footer"/>
    <w:basedOn w:val="Normal"/>
    <w:link w:val="FooterChar"/>
    <w:uiPriority w:val="99"/>
    <w:unhideWhenUsed/>
    <w:rsid w:val="00661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6C1"/>
  </w:style>
  <w:style w:type="character" w:styleId="CommentReference">
    <w:name w:val="annotation reference"/>
    <w:basedOn w:val="DefaultParagraphFont"/>
    <w:uiPriority w:val="99"/>
    <w:semiHidden/>
    <w:unhideWhenUsed/>
    <w:rsid w:val="002B0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09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09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9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3888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Ragsdale</dc:creator>
  <cp:keywords/>
  <dc:description/>
  <cp:lastModifiedBy>Sandip Sharma</cp:lastModifiedBy>
  <cp:revision>2</cp:revision>
  <dcterms:created xsi:type="dcterms:W3CDTF">2022-05-31T14:19:00Z</dcterms:created>
  <dcterms:modified xsi:type="dcterms:W3CDTF">2022-05-31T14:19:00Z</dcterms:modified>
</cp:coreProperties>
</file>