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2E0B2B06" w:rsidR="00446742" w:rsidRPr="00123FEE" w:rsidRDefault="00192A8A" w:rsidP="00123FEE">
      <w:pPr>
        <w:pStyle w:val="NoSpacing"/>
        <w:rPr>
          <w:b/>
          <w:sz w:val="28"/>
          <w:szCs w:val="24"/>
        </w:rPr>
      </w:pPr>
      <w:r>
        <w:rPr>
          <w:b/>
          <w:sz w:val="28"/>
          <w:szCs w:val="24"/>
        </w:rPr>
        <w:t>March 24th</w:t>
      </w:r>
      <w:r w:rsidR="00091428">
        <w:rPr>
          <w:b/>
          <w:sz w:val="28"/>
          <w:szCs w:val="24"/>
        </w:rPr>
        <w:t>, 2022</w:t>
      </w:r>
    </w:p>
    <w:p w14:paraId="1B0B0C81" w14:textId="6992A47F" w:rsidR="009F7D81" w:rsidRPr="00123FEE" w:rsidRDefault="001D1935" w:rsidP="00123FEE">
      <w:pPr>
        <w:pStyle w:val="NoSpacing"/>
        <w:rPr>
          <w:b/>
          <w:sz w:val="28"/>
          <w:szCs w:val="24"/>
        </w:rPr>
      </w:pPr>
      <w:proofErr w:type="spellStart"/>
      <w:r>
        <w:rPr>
          <w:b/>
          <w:sz w:val="28"/>
          <w:szCs w:val="24"/>
        </w:rPr>
        <w:t>MetCenter</w:t>
      </w:r>
      <w:proofErr w:type="spellEnd"/>
      <w:r w:rsidR="00F122F3">
        <w:rPr>
          <w:b/>
          <w:sz w:val="28"/>
          <w:szCs w:val="24"/>
        </w:rPr>
        <w:t xml:space="preserve"> (in person)</w:t>
      </w:r>
      <w:r>
        <w:rPr>
          <w:b/>
          <w:sz w:val="28"/>
          <w:szCs w:val="24"/>
        </w:rPr>
        <w:t xml:space="preserve"> &amp; WebEx</w:t>
      </w:r>
    </w:p>
    <w:tbl>
      <w:tblPr>
        <w:tblStyle w:val="GridTable4-Accent3"/>
        <w:tblW w:w="11065" w:type="dxa"/>
        <w:tblLook w:val="04A0" w:firstRow="1" w:lastRow="0" w:firstColumn="1" w:lastColumn="0" w:noHBand="0" w:noVBand="1"/>
      </w:tblPr>
      <w:tblGrid>
        <w:gridCol w:w="2081"/>
        <w:gridCol w:w="1352"/>
        <w:gridCol w:w="2364"/>
        <w:gridCol w:w="1334"/>
        <w:gridCol w:w="2599"/>
        <w:gridCol w:w="1335"/>
      </w:tblGrid>
      <w:tr w:rsidR="00EA742D" w:rsidRPr="00020312" w14:paraId="53D58736" w14:textId="77777777" w:rsidTr="001D1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shd w:val="clear" w:color="auto" w:fill="C0504D" w:themeFill="accent2"/>
          </w:tcPr>
          <w:p w14:paraId="11EB658A" w14:textId="77777777" w:rsidR="00446742" w:rsidRPr="00020312" w:rsidRDefault="00446742" w:rsidP="00446742">
            <w:r w:rsidRPr="00020312">
              <w:t>Attendee</w:t>
            </w:r>
          </w:p>
        </w:tc>
        <w:tc>
          <w:tcPr>
            <w:tcW w:w="135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64"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34"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599"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35"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C469C3" w:rsidRPr="00020312" w14:paraId="307EA89B" w14:textId="77777777" w:rsidTr="001D1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41B11050" w14:textId="234F3E6A" w:rsidR="00C469C3" w:rsidRPr="00020312" w:rsidRDefault="00C469C3" w:rsidP="00C469C3">
            <w:pPr>
              <w:rPr>
                <w:b w:val="0"/>
              </w:rPr>
            </w:pPr>
            <w:r w:rsidRPr="00131D16">
              <w:rPr>
                <w:b w:val="0"/>
                <w:bCs w:val="0"/>
              </w:rPr>
              <w:t>Diana</w:t>
            </w:r>
            <w:r>
              <w:t xml:space="preserve"> </w:t>
            </w:r>
            <w:r w:rsidRPr="00131D16">
              <w:rPr>
                <w:b w:val="0"/>
                <w:bCs w:val="0"/>
              </w:rPr>
              <w:t>Rehfeldt</w:t>
            </w:r>
          </w:p>
        </w:tc>
        <w:tc>
          <w:tcPr>
            <w:tcW w:w="1352" w:type="dxa"/>
          </w:tcPr>
          <w:p w14:paraId="40CBA3E8" w14:textId="321A225B"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TNMP</w:t>
            </w:r>
          </w:p>
        </w:tc>
        <w:tc>
          <w:tcPr>
            <w:tcW w:w="2364" w:type="dxa"/>
          </w:tcPr>
          <w:p w14:paraId="5F5BC2C3" w14:textId="77777777"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Dave Michelson</w:t>
            </w:r>
          </w:p>
        </w:tc>
        <w:tc>
          <w:tcPr>
            <w:tcW w:w="1334" w:type="dxa"/>
          </w:tcPr>
          <w:p w14:paraId="5E4B979E" w14:textId="77777777"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ERCOT</w:t>
            </w:r>
          </w:p>
        </w:tc>
        <w:tc>
          <w:tcPr>
            <w:tcW w:w="2599" w:type="dxa"/>
          </w:tcPr>
          <w:p w14:paraId="15046E01" w14:textId="767A5905" w:rsidR="00C469C3" w:rsidRPr="00131D16" w:rsidRDefault="00C469C3" w:rsidP="00C469C3">
            <w:pPr>
              <w:cnfStyle w:val="000000100000" w:firstRow="0" w:lastRow="0" w:firstColumn="0" w:lastColumn="0" w:oddVBand="0" w:evenVBand="0" w:oddHBand="1" w:evenHBand="0" w:firstRowFirstColumn="0" w:firstRowLastColumn="0" w:lastRowFirstColumn="0" w:lastRowLastColumn="0"/>
              <w:rPr>
                <w:bCs/>
              </w:rPr>
            </w:pPr>
            <w:r w:rsidRPr="00020312">
              <w:t>Kyle Patrick</w:t>
            </w:r>
            <w:r>
              <w:t>*</w:t>
            </w:r>
          </w:p>
        </w:tc>
        <w:tc>
          <w:tcPr>
            <w:tcW w:w="1335" w:type="dxa"/>
          </w:tcPr>
          <w:p w14:paraId="65FCDB87" w14:textId="3AE43D3F"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rsidRPr="00020312">
              <w:t>NRG</w:t>
            </w:r>
          </w:p>
        </w:tc>
      </w:tr>
      <w:tr w:rsidR="00C469C3" w:rsidRPr="00020312" w14:paraId="04C1EB1B" w14:textId="77777777" w:rsidTr="001D1935">
        <w:tc>
          <w:tcPr>
            <w:cnfStyle w:val="001000000000" w:firstRow="0" w:lastRow="0" w:firstColumn="1" w:lastColumn="0" w:oddVBand="0" w:evenVBand="0" w:oddHBand="0" w:evenHBand="0" w:firstRowFirstColumn="0" w:firstRowLastColumn="0" w:lastRowFirstColumn="0" w:lastRowLastColumn="0"/>
            <w:tcW w:w="2081" w:type="dxa"/>
          </w:tcPr>
          <w:p w14:paraId="0616FEA1" w14:textId="375774E9" w:rsidR="00C469C3" w:rsidRPr="00020312" w:rsidRDefault="00C469C3" w:rsidP="00C469C3">
            <w:pPr>
              <w:rPr>
                <w:b w:val="0"/>
              </w:rPr>
            </w:pPr>
            <w:r w:rsidRPr="00020312">
              <w:rPr>
                <w:b w:val="0"/>
              </w:rPr>
              <w:t>Sam Pak</w:t>
            </w:r>
            <w:r>
              <w:rPr>
                <w:b w:val="0"/>
              </w:rPr>
              <w:t>*</w:t>
            </w:r>
          </w:p>
        </w:tc>
        <w:tc>
          <w:tcPr>
            <w:tcW w:w="1352" w:type="dxa"/>
          </w:tcPr>
          <w:p w14:paraId="3B33226E" w14:textId="77777777"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rsidRPr="00020312">
              <w:t>Oncor</w:t>
            </w:r>
          </w:p>
        </w:tc>
        <w:tc>
          <w:tcPr>
            <w:tcW w:w="2364" w:type="dxa"/>
          </w:tcPr>
          <w:p w14:paraId="33BCBBCA" w14:textId="4F3373BB" w:rsidR="00C469C3" w:rsidRPr="00A43704" w:rsidRDefault="00C469C3" w:rsidP="00C469C3">
            <w:pPr>
              <w:cnfStyle w:val="000000000000" w:firstRow="0" w:lastRow="0" w:firstColumn="0" w:lastColumn="0" w:oddVBand="0" w:evenVBand="0" w:oddHBand="0" w:evenHBand="0" w:firstRowFirstColumn="0" w:firstRowLastColumn="0" w:lastRowFirstColumn="0" w:lastRowLastColumn="0"/>
              <w:rPr>
                <w:bCs/>
              </w:rPr>
            </w:pPr>
            <w:r>
              <w:t>Melinda Earnest</w:t>
            </w:r>
          </w:p>
        </w:tc>
        <w:tc>
          <w:tcPr>
            <w:tcW w:w="1334" w:type="dxa"/>
          </w:tcPr>
          <w:p w14:paraId="6A7D0873" w14:textId="03EB9F22"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AEP</w:t>
            </w:r>
          </w:p>
        </w:tc>
        <w:tc>
          <w:tcPr>
            <w:tcW w:w="2599" w:type="dxa"/>
          </w:tcPr>
          <w:p w14:paraId="59BA1C56" w14:textId="748D3D1C" w:rsidR="00C469C3" w:rsidRPr="00170E4D" w:rsidRDefault="00C469C3" w:rsidP="00C469C3">
            <w:pPr>
              <w:cnfStyle w:val="000000000000" w:firstRow="0" w:lastRow="0" w:firstColumn="0" w:lastColumn="0" w:oddVBand="0" w:evenVBand="0" w:oddHBand="0" w:evenHBand="0" w:firstRowFirstColumn="0" w:firstRowLastColumn="0" w:lastRowFirstColumn="0" w:lastRowLastColumn="0"/>
              <w:rPr>
                <w:bCs/>
              </w:rPr>
            </w:pPr>
            <w:r>
              <w:t>Monica Jones</w:t>
            </w:r>
          </w:p>
        </w:tc>
        <w:tc>
          <w:tcPr>
            <w:tcW w:w="1335" w:type="dxa"/>
          </w:tcPr>
          <w:p w14:paraId="53DDF30C" w14:textId="696E4D6F"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CNP</w:t>
            </w:r>
          </w:p>
        </w:tc>
      </w:tr>
      <w:tr w:rsidR="00C469C3" w:rsidRPr="00020312" w14:paraId="131ADFC9" w14:textId="77777777" w:rsidTr="001D1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1E6512D3" w14:textId="5AF14F41" w:rsidR="00C469C3" w:rsidRPr="00170E4D" w:rsidRDefault="00C469C3" w:rsidP="00C469C3">
            <w:pPr>
              <w:rPr>
                <w:b w:val="0"/>
              </w:rPr>
            </w:pPr>
            <w:r>
              <w:rPr>
                <w:b w:val="0"/>
              </w:rPr>
              <w:t>Stephen Wilson</w:t>
            </w:r>
          </w:p>
        </w:tc>
        <w:tc>
          <w:tcPr>
            <w:tcW w:w="1352" w:type="dxa"/>
          </w:tcPr>
          <w:p w14:paraId="268FDBFB" w14:textId="767A6041"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c>
          <w:tcPr>
            <w:tcW w:w="2364" w:type="dxa"/>
          </w:tcPr>
          <w:p w14:paraId="77F6EFEA" w14:textId="4EB6012A"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Mick Hanna*</w:t>
            </w:r>
          </w:p>
        </w:tc>
        <w:tc>
          <w:tcPr>
            <w:tcW w:w="1334" w:type="dxa"/>
          </w:tcPr>
          <w:p w14:paraId="575EEC00" w14:textId="239B426A"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ERCOT</w:t>
            </w:r>
          </w:p>
        </w:tc>
        <w:tc>
          <w:tcPr>
            <w:tcW w:w="2599" w:type="dxa"/>
          </w:tcPr>
          <w:p w14:paraId="6F90AFE9" w14:textId="7375D582"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Eric Lotter</w:t>
            </w:r>
          </w:p>
        </w:tc>
        <w:tc>
          <w:tcPr>
            <w:tcW w:w="1335" w:type="dxa"/>
          </w:tcPr>
          <w:p w14:paraId="1CB97DC6" w14:textId="0A8CCC8C"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C469C3" w:rsidRPr="00020312" w14:paraId="061575F3" w14:textId="77777777" w:rsidTr="001D1935">
        <w:tc>
          <w:tcPr>
            <w:cnfStyle w:val="001000000000" w:firstRow="0" w:lastRow="0" w:firstColumn="1" w:lastColumn="0" w:oddVBand="0" w:evenVBand="0" w:oddHBand="0" w:evenHBand="0" w:firstRowFirstColumn="0" w:firstRowLastColumn="0" w:lastRowFirstColumn="0" w:lastRowLastColumn="0"/>
            <w:tcW w:w="2081" w:type="dxa"/>
          </w:tcPr>
          <w:p w14:paraId="0907E71B" w14:textId="312CE184" w:rsidR="00C469C3" w:rsidRPr="003D3023" w:rsidRDefault="00C469C3" w:rsidP="00C469C3">
            <w:pPr>
              <w:rPr>
                <w:b w:val="0"/>
              </w:rPr>
            </w:pPr>
            <w:r w:rsidRPr="003D3023">
              <w:rPr>
                <w:b w:val="0"/>
              </w:rPr>
              <w:t>Sheri W</w:t>
            </w:r>
            <w:r>
              <w:rPr>
                <w:b w:val="0"/>
              </w:rPr>
              <w:t>ie</w:t>
            </w:r>
            <w:r w:rsidRPr="003D3023">
              <w:rPr>
                <w:b w:val="0"/>
              </w:rPr>
              <w:t>gand</w:t>
            </w:r>
            <w:r>
              <w:rPr>
                <w:b w:val="0"/>
              </w:rPr>
              <w:t>*</w:t>
            </w:r>
          </w:p>
        </w:tc>
        <w:tc>
          <w:tcPr>
            <w:tcW w:w="1352" w:type="dxa"/>
          </w:tcPr>
          <w:p w14:paraId="0F39BC6C" w14:textId="39E3CC8E"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64" w:type="dxa"/>
          </w:tcPr>
          <w:p w14:paraId="34FE24E5" w14:textId="4BCCCD40"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Jordan Troublefield</w:t>
            </w:r>
          </w:p>
        </w:tc>
        <w:tc>
          <w:tcPr>
            <w:tcW w:w="1334" w:type="dxa"/>
          </w:tcPr>
          <w:p w14:paraId="14DA3EBC" w14:textId="0AEAF70E"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ERCOT</w:t>
            </w:r>
          </w:p>
        </w:tc>
        <w:tc>
          <w:tcPr>
            <w:tcW w:w="2599" w:type="dxa"/>
          </w:tcPr>
          <w:p w14:paraId="13A56819" w14:textId="6BABFCBF"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Kathy Scott</w:t>
            </w:r>
          </w:p>
        </w:tc>
        <w:tc>
          <w:tcPr>
            <w:tcW w:w="1335" w:type="dxa"/>
          </w:tcPr>
          <w:p w14:paraId="4B974A98" w14:textId="400C17F5"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CNP</w:t>
            </w:r>
          </w:p>
        </w:tc>
      </w:tr>
      <w:tr w:rsidR="00C469C3" w:rsidRPr="00020312" w14:paraId="152A8007" w14:textId="77777777" w:rsidTr="001D1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005A9EC2" w14:textId="505F6BDE" w:rsidR="00C469C3" w:rsidRPr="00170E4D" w:rsidRDefault="00C469C3" w:rsidP="00C469C3">
            <w:pPr>
              <w:rPr>
                <w:b w:val="0"/>
                <w:bCs w:val="0"/>
              </w:rPr>
            </w:pPr>
            <w:r>
              <w:rPr>
                <w:b w:val="0"/>
                <w:bCs w:val="0"/>
              </w:rPr>
              <w:t>Britney Taylor</w:t>
            </w:r>
          </w:p>
        </w:tc>
        <w:tc>
          <w:tcPr>
            <w:tcW w:w="1352" w:type="dxa"/>
          </w:tcPr>
          <w:p w14:paraId="2F8923C9" w14:textId="0473EBAF"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Chariot</w:t>
            </w:r>
          </w:p>
        </w:tc>
        <w:tc>
          <w:tcPr>
            <w:tcW w:w="2364" w:type="dxa"/>
          </w:tcPr>
          <w:p w14:paraId="3B2EAF69" w14:textId="5A228459"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Angela Ghormley</w:t>
            </w:r>
          </w:p>
        </w:tc>
        <w:tc>
          <w:tcPr>
            <w:tcW w:w="1334" w:type="dxa"/>
          </w:tcPr>
          <w:p w14:paraId="090C2BC2" w14:textId="2CE1BB3B"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Calpine</w:t>
            </w:r>
          </w:p>
        </w:tc>
        <w:tc>
          <w:tcPr>
            <w:tcW w:w="2599" w:type="dxa"/>
          </w:tcPr>
          <w:p w14:paraId="32F7786F" w14:textId="1E56795B"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Carolyn Reed*</w:t>
            </w:r>
          </w:p>
        </w:tc>
        <w:tc>
          <w:tcPr>
            <w:tcW w:w="1335" w:type="dxa"/>
          </w:tcPr>
          <w:p w14:paraId="5AD414B0" w14:textId="11A5BD29"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 xml:space="preserve">CNP </w:t>
            </w:r>
          </w:p>
        </w:tc>
      </w:tr>
      <w:tr w:rsidR="00C469C3" w:rsidRPr="00020312" w14:paraId="482BCBD4" w14:textId="77777777" w:rsidTr="001D1935">
        <w:trPr>
          <w:trHeight w:val="350"/>
        </w:trPr>
        <w:tc>
          <w:tcPr>
            <w:cnfStyle w:val="001000000000" w:firstRow="0" w:lastRow="0" w:firstColumn="1" w:lastColumn="0" w:oddVBand="0" w:evenVBand="0" w:oddHBand="0" w:evenHBand="0" w:firstRowFirstColumn="0" w:firstRowLastColumn="0" w:lastRowFirstColumn="0" w:lastRowLastColumn="0"/>
            <w:tcW w:w="2081" w:type="dxa"/>
          </w:tcPr>
          <w:p w14:paraId="1A7E4916" w14:textId="48A73F66" w:rsidR="00C469C3" w:rsidRPr="0031702C" w:rsidRDefault="00C469C3" w:rsidP="00C469C3">
            <w:pPr>
              <w:rPr>
                <w:b w:val="0"/>
              </w:rPr>
            </w:pPr>
            <w:r>
              <w:rPr>
                <w:b w:val="0"/>
              </w:rPr>
              <w:t>Jessica Hernandez</w:t>
            </w:r>
          </w:p>
        </w:tc>
        <w:tc>
          <w:tcPr>
            <w:tcW w:w="1352" w:type="dxa"/>
          </w:tcPr>
          <w:p w14:paraId="79C6A1D6" w14:textId="1928D1EB"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Chariot</w:t>
            </w:r>
          </w:p>
        </w:tc>
        <w:tc>
          <w:tcPr>
            <w:tcW w:w="2364" w:type="dxa"/>
          </w:tcPr>
          <w:p w14:paraId="543B8E92" w14:textId="38E68AF1" w:rsidR="00C469C3" w:rsidRDefault="00C469C3" w:rsidP="00C469C3">
            <w:pPr>
              <w:cnfStyle w:val="000000000000" w:firstRow="0" w:lastRow="0" w:firstColumn="0" w:lastColumn="0" w:oddVBand="0" w:evenVBand="0" w:oddHBand="0" w:evenHBand="0" w:firstRowFirstColumn="0" w:firstRowLastColumn="0" w:lastRowFirstColumn="0" w:lastRowLastColumn="0"/>
            </w:pPr>
          </w:p>
        </w:tc>
        <w:tc>
          <w:tcPr>
            <w:tcW w:w="1334" w:type="dxa"/>
          </w:tcPr>
          <w:p w14:paraId="0BD94C63" w14:textId="61028649" w:rsidR="00C469C3" w:rsidRDefault="00C469C3" w:rsidP="00C469C3">
            <w:pPr>
              <w:cnfStyle w:val="000000000000" w:firstRow="0" w:lastRow="0" w:firstColumn="0" w:lastColumn="0" w:oddVBand="0" w:evenVBand="0" w:oddHBand="0" w:evenHBand="0" w:firstRowFirstColumn="0" w:firstRowLastColumn="0" w:lastRowFirstColumn="0" w:lastRowLastColumn="0"/>
            </w:pPr>
          </w:p>
        </w:tc>
        <w:tc>
          <w:tcPr>
            <w:tcW w:w="2599" w:type="dxa"/>
          </w:tcPr>
          <w:p w14:paraId="2A54212C" w14:textId="340E6AF7" w:rsidR="00C469C3" w:rsidRDefault="00C469C3" w:rsidP="00C469C3">
            <w:pPr>
              <w:cnfStyle w:val="000000000000" w:firstRow="0" w:lastRow="0" w:firstColumn="0" w:lastColumn="0" w:oddVBand="0" w:evenVBand="0" w:oddHBand="0" w:evenHBand="0" w:firstRowFirstColumn="0" w:firstRowLastColumn="0" w:lastRowFirstColumn="0" w:lastRowLastColumn="0"/>
            </w:pPr>
          </w:p>
        </w:tc>
        <w:tc>
          <w:tcPr>
            <w:tcW w:w="1335" w:type="dxa"/>
          </w:tcPr>
          <w:p w14:paraId="78895917" w14:textId="4278EC4F" w:rsidR="00C469C3" w:rsidRDefault="00C469C3" w:rsidP="00C469C3">
            <w:pPr>
              <w:cnfStyle w:val="000000000000" w:firstRow="0" w:lastRow="0" w:firstColumn="0" w:lastColumn="0" w:oddVBand="0" w:evenVBand="0" w:oddHBand="0" w:evenHBand="0" w:firstRowFirstColumn="0" w:firstRowLastColumn="0" w:lastRowFirstColumn="0" w:lastRowLastColumn="0"/>
            </w:pPr>
          </w:p>
        </w:tc>
      </w:tr>
    </w:tbl>
    <w:p w14:paraId="3F103DBA" w14:textId="41E03259" w:rsidR="001D1935" w:rsidRPr="001D1935" w:rsidRDefault="001D1935" w:rsidP="001D1935">
      <w:pPr>
        <w:pStyle w:val="NoSpacing"/>
        <w:rPr>
          <w:bCs/>
        </w:rPr>
      </w:pPr>
      <w:r w:rsidRPr="001D1935">
        <w:rPr>
          <w:bCs/>
        </w:rPr>
        <w:t xml:space="preserve">*Denotes in person </w:t>
      </w:r>
    </w:p>
    <w:p w14:paraId="40FB09C5" w14:textId="77777777" w:rsidR="001D1935" w:rsidRDefault="001D1935" w:rsidP="001D1935">
      <w:pPr>
        <w:pStyle w:val="NoSpacing"/>
        <w:ind w:left="720"/>
        <w:rPr>
          <w:b/>
          <w:u w:val="single"/>
        </w:rPr>
      </w:pPr>
    </w:p>
    <w:p w14:paraId="0EE762EC" w14:textId="1B26EAF3" w:rsidR="00CA2667" w:rsidRPr="00AE3E48" w:rsidRDefault="00CE3D30" w:rsidP="00AE3E48">
      <w:pPr>
        <w:pStyle w:val="NoSpacing"/>
        <w:rPr>
          <w:b/>
          <w:u w:val="single"/>
        </w:rPr>
      </w:pPr>
      <w:r>
        <w:rPr>
          <w:b/>
          <w:u w:val="single"/>
        </w:rPr>
        <w:t>Antitrust</w:t>
      </w:r>
      <w:r w:rsidR="00131D16">
        <w:rPr>
          <w:b/>
          <w:u w:val="single"/>
        </w:rPr>
        <w:t>/</w:t>
      </w:r>
      <w:r w:rsidR="00091428">
        <w:rPr>
          <w:b/>
          <w:u w:val="single"/>
        </w:rPr>
        <w:t>Minutes</w:t>
      </w:r>
    </w:p>
    <w:p w14:paraId="5DCAB4F3" w14:textId="43689460" w:rsidR="00CE3D30" w:rsidRPr="00CE3D30" w:rsidRDefault="00CE3D30" w:rsidP="00245452">
      <w:pPr>
        <w:pStyle w:val="NoSpacing"/>
        <w:numPr>
          <w:ilvl w:val="0"/>
          <w:numId w:val="1"/>
        </w:numPr>
        <w:rPr>
          <w:u w:val="single"/>
        </w:rPr>
      </w:pPr>
      <w:r>
        <w:t xml:space="preserve">Antitrust Admonition was read by </w:t>
      </w:r>
      <w:r w:rsidR="00131D16">
        <w:t>Sheri Wiega</w:t>
      </w:r>
      <w:r w:rsidR="00192A8A">
        <w:t>nd</w:t>
      </w:r>
    </w:p>
    <w:p w14:paraId="448CB77A" w14:textId="2412E339" w:rsidR="0031702C" w:rsidRPr="00091428" w:rsidRDefault="002F5B65" w:rsidP="00091428">
      <w:pPr>
        <w:pStyle w:val="NoSpacing"/>
        <w:numPr>
          <w:ilvl w:val="1"/>
          <w:numId w:val="1"/>
        </w:numPr>
        <w:ind w:left="720" w:hanging="360"/>
        <w:rPr>
          <w:b/>
          <w:u w:val="single"/>
        </w:rPr>
      </w:pPr>
      <w:r>
        <w:t>M</w:t>
      </w:r>
      <w:r w:rsidR="00326666">
        <w:t xml:space="preserve">inutes </w:t>
      </w:r>
      <w:r w:rsidR="001D16C1">
        <w:t xml:space="preserve">from </w:t>
      </w:r>
      <w:r w:rsidR="001668CC">
        <w:t>3/24</w:t>
      </w:r>
      <w:r>
        <w:t>/</w:t>
      </w:r>
      <w:r w:rsidR="00766E5D">
        <w:t>2</w:t>
      </w:r>
      <w:r w:rsidR="00131D16">
        <w:t>2</w:t>
      </w:r>
      <w:r w:rsidR="001D16C1">
        <w:t xml:space="preserve"> </w:t>
      </w:r>
      <w:r w:rsidR="00326666">
        <w:t xml:space="preserve">were </w:t>
      </w:r>
      <w:r w:rsidR="008451D6">
        <w:t xml:space="preserve">reviewed and </w:t>
      </w:r>
      <w:r w:rsidR="00326666">
        <w:t>approved</w:t>
      </w:r>
      <w:r w:rsidR="009D7657">
        <w:t xml:space="preserve"> </w:t>
      </w:r>
    </w:p>
    <w:p w14:paraId="65679E0E" w14:textId="77777777" w:rsidR="0031702C" w:rsidRDefault="0031702C" w:rsidP="0031702C">
      <w:pPr>
        <w:pStyle w:val="NoSpacing"/>
        <w:rPr>
          <w:b/>
          <w:u w:val="single"/>
        </w:rPr>
      </w:pPr>
    </w:p>
    <w:p w14:paraId="3DF9947F" w14:textId="77777777" w:rsidR="003E5367" w:rsidRDefault="003E5367" w:rsidP="003E5367">
      <w:pPr>
        <w:pStyle w:val="NoSpacing"/>
        <w:rPr>
          <w:b/>
          <w:u w:val="single"/>
        </w:rPr>
      </w:pPr>
      <w:r>
        <w:rPr>
          <w:b/>
          <w:u w:val="single"/>
        </w:rPr>
        <w:t>ERCOT System Instances &amp; MarkeTrak Monthly Performance Review</w:t>
      </w:r>
    </w:p>
    <w:p w14:paraId="6D21B720" w14:textId="0A64B107" w:rsidR="00EF2CE5" w:rsidRDefault="006E3E00" w:rsidP="003E5367">
      <w:pPr>
        <w:pStyle w:val="NoSpacing"/>
        <w:numPr>
          <w:ilvl w:val="0"/>
          <w:numId w:val="1"/>
        </w:numPr>
      </w:pPr>
      <w:r>
        <w:t xml:space="preserve">Mick presented </w:t>
      </w:r>
      <w:r w:rsidR="004025FE">
        <w:t>March</w:t>
      </w:r>
      <w:r>
        <w:t xml:space="preserve"> performance reports </w:t>
      </w:r>
    </w:p>
    <w:p w14:paraId="1EE1E925" w14:textId="5521904A" w:rsidR="006E3E00" w:rsidRDefault="00D05B25" w:rsidP="003E5367">
      <w:pPr>
        <w:pStyle w:val="NoSpacing"/>
        <w:numPr>
          <w:ilvl w:val="0"/>
          <w:numId w:val="1"/>
        </w:numPr>
      </w:pPr>
      <w:r>
        <w:t>All targets and SLOs were met</w:t>
      </w:r>
      <w:r w:rsidR="004025FE">
        <w:t xml:space="preserve"> as expected</w:t>
      </w:r>
      <w:r>
        <w:t xml:space="preserve"> </w:t>
      </w:r>
    </w:p>
    <w:p w14:paraId="54C42B91" w14:textId="1682A2BC" w:rsidR="00D05B25" w:rsidRDefault="004025FE" w:rsidP="003E5367">
      <w:pPr>
        <w:pStyle w:val="NoSpacing"/>
        <w:numPr>
          <w:ilvl w:val="0"/>
          <w:numId w:val="1"/>
        </w:numPr>
      </w:pPr>
      <w:r>
        <w:t xml:space="preserve">Discussion again on the 3/4/22 issue where system low level exceptions grew at the end of the day along with the volume of transactions.  ERCOT acknowledged they missed on a market notice and committed to provide further notices should such another issue </w:t>
      </w:r>
      <w:proofErr w:type="gramStart"/>
      <w:r>
        <w:t>arise</w:t>
      </w:r>
      <w:proofErr w:type="gramEnd"/>
      <w:r>
        <w:t xml:space="preserve">.  ERCOT also indicated monitoring is in place for the </w:t>
      </w:r>
      <w:proofErr w:type="gramStart"/>
      <w:r>
        <w:t>low level</w:t>
      </w:r>
      <w:proofErr w:type="gramEnd"/>
      <w:r>
        <w:t xml:space="preserve"> exceptions </w:t>
      </w:r>
      <w:r w:rsidR="00C055CE">
        <w:t xml:space="preserve">thus this incident should not </w:t>
      </w:r>
      <w:r w:rsidR="007827FB">
        <w:t>re</w:t>
      </w:r>
      <w:r w:rsidR="00C055CE">
        <w:t xml:space="preserve">cur.  </w:t>
      </w:r>
    </w:p>
    <w:p w14:paraId="068861B8" w14:textId="49870980" w:rsidR="00EF2CE5" w:rsidRDefault="0095692F" w:rsidP="003E5367">
      <w:pPr>
        <w:pStyle w:val="NoSpacing"/>
        <w:numPr>
          <w:ilvl w:val="0"/>
          <w:numId w:val="1"/>
        </w:numPr>
      </w:pPr>
      <w:r>
        <w:t xml:space="preserve">Listserv activity </w:t>
      </w:r>
      <w:r w:rsidR="00C055CE">
        <w:t>below – as events occur, volume of posts increase</w:t>
      </w:r>
    </w:p>
    <w:p w14:paraId="17E2A0F5" w14:textId="139EA4F0" w:rsidR="00364198" w:rsidRDefault="00364198" w:rsidP="0095692F">
      <w:pPr>
        <w:pStyle w:val="NoSpacing"/>
        <w:ind w:left="720"/>
      </w:pPr>
    </w:p>
    <w:p w14:paraId="5C4CCF07" w14:textId="3C929C83" w:rsidR="00EF2CE5" w:rsidRDefault="009F7732" w:rsidP="00EF2CE5">
      <w:pPr>
        <w:pStyle w:val="NoSpacing"/>
      </w:pPr>
      <w:r>
        <w:rPr>
          <w:noProof/>
        </w:rPr>
        <w:drawing>
          <wp:inline distT="0" distB="0" distL="0" distR="0" wp14:anchorId="015BCB23" wp14:editId="20C91B19">
            <wp:extent cx="2870200" cy="1835150"/>
            <wp:effectExtent l="0" t="0" r="0" b="0"/>
            <wp:docPr id="1" name="Chart 1">
              <a:extLst xmlns:a="http://schemas.openxmlformats.org/drawingml/2006/main">
                <a:ext uri="{FF2B5EF4-FFF2-40B4-BE49-F238E27FC236}">
                  <a16:creationId xmlns:a16="http://schemas.microsoft.com/office/drawing/2014/main" id="{54270A62-51DE-4913-A853-BBD4187095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7334F4CD" wp14:editId="075AAC5A">
            <wp:extent cx="2921000" cy="17604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37297" cy="1770291"/>
                    </a:xfrm>
                    <a:prstGeom prst="rect">
                      <a:avLst/>
                    </a:prstGeom>
                    <a:noFill/>
                  </pic:spPr>
                </pic:pic>
              </a:graphicData>
            </a:graphic>
          </wp:inline>
        </w:drawing>
      </w:r>
    </w:p>
    <w:p w14:paraId="5F8B20AF" w14:textId="77777777" w:rsidR="009F7732" w:rsidRDefault="009F7732" w:rsidP="00EF2CE5">
      <w:pPr>
        <w:pStyle w:val="NoSpacing"/>
      </w:pPr>
    </w:p>
    <w:p w14:paraId="22F42DCD" w14:textId="5E778091" w:rsidR="00364198" w:rsidRDefault="00364198" w:rsidP="00364198">
      <w:pPr>
        <w:pStyle w:val="NoSpacing"/>
        <w:rPr>
          <w:b/>
          <w:u w:val="single"/>
        </w:rPr>
      </w:pPr>
      <w:r w:rsidRPr="002A0074">
        <w:rPr>
          <w:b/>
          <w:u w:val="single"/>
        </w:rPr>
        <w:t xml:space="preserve">ERCOT </w:t>
      </w:r>
      <w:r w:rsidR="000C036E">
        <w:rPr>
          <w:b/>
          <w:u w:val="single"/>
        </w:rPr>
        <w:t>Help Desk Service Ticket Process</w:t>
      </w:r>
    </w:p>
    <w:p w14:paraId="0243B8C0" w14:textId="77777777" w:rsidR="00C33BAB" w:rsidRPr="00C33BAB" w:rsidRDefault="00C33BAB" w:rsidP="006D7D31">
      <w:pPr>
        <w:pStyle w:val="NoSpacing"/>
        <w:numPr>
          <w:ilvl w:val="0"/>
          <w:numId w:val="2"/>
        </w:numPr>
        <w:rPr>
          <w:b/>
          <w:u w:val="single"/>
        </w:rPr>
      </w:pPr>
      <w:r>
        <w:rPr>
          <w:bCs/>
        </w:rPr>
        <w:t>Mick outlined the current process when a Help Desk ticket is logged.</w:t>
      </w:r>
    </w:p>
    <w:p w14:paraId="72B6C630" w14:textId="08366EA0" w:rsidR="00C33BAB" w:rsidRPr="000721F3" w:rsidRDefault="00C33BAB" w:rsidP="006D7D31">
      <w:pPr>
        <w:pStyle w:val="NoSpacing"/>
        <w:numPr>
          <w:ilvl w:val="1"/>
          <w:numId w:val="2"/>
        </w:numPr>
        <w:rPr>
          <w:b/>
          <w:u w:val="single"/>
        </w:rPr>
      </w:pPr>
      <w:proofErr w:type="gramStart"/>
      <w:r>
        <w:rPr>
          <w:bCs/>
        </w:rPr>
        <w:t>First of all</w:t>
      </w:r>
      <w:proofErr w:type="gramEnd"/>
      <w:r>
        <w:rPr>
          <w:bCs/>
        </w:rPr>
        <w:t>, this process has been outsourced for ~3-4 years as it previously was ‘in house’.  There is a rotating staff that is not specifically designated for ERCOT issues and agents</w:t>
      </w:r>
      <w:r w:rsidR="000721F3">
        <w:rPr>
          <w:bCs/>
        </w:rPr>
        <w:t>.  Agents rely on process/knowledge documents to properly route any tickets.  (ERCOT acknowledged some documents need improvement/clarification)</w:t>
      </w:r>
    </w:p>
    <w:p w14:paraId="6C6568F5" w14:textId="379FC898" w:rsidR="000721F3" w:rsidRPr="000721F3" w:rsidRDefault="000721F3" w:rsidP="006D7D31">
      <w:pPr>
        <w:pStyle w:val="NoSpacing"/>
        <w:numPr>
          <w:ilvl w:val="1"/>
          <w:numId w:val="2"/>
        </w:numPr>
        <w:rPr>
          <w:b/>
          <w:u w:val="single"/>
        </w:rPr>
      </w:pPr>
      <w:r>
        <w:rPr>
          <w:bCs/>
        </w:rPr>
        <w:t>If the ticket is deemed ‘critical’, a notification which must be acknowledged is sent to the primary contact at ERCOT, then if no response, the secondary contact followed by the entire IT team if an acknowledgement is not received.</w:t>
      </w:r>
    </w:p>
    <w:p w14:paraId="07DF43E4" w14:textId="3D5FD078" w:rsidR="000721F3" w:rsidRPr="000721F3" w:rsidRDefault="000721F3" w:rsidP="006D7D31">
      <w:pPr>
        <w:pStyle w:val="NoSpacing"/>
        <w:numPr>
          <w:ilvl w:val="1"/>
          <w:numId w:val="2"/>
        </w:numPr>
        <w:rPr>
          <w:b/>
          <w:u w:val="single"/>
        </w:rPr>
      </w:pPr>
      <w:r>
        <w:rPr>
          <w:bCs/>
        </w:rPr>
        <w:t xml:space="preserve">For the 3/4/22 instance, no one saw the ticket.  </w:t>
      </w:r>
    </w:p>
    <w:p w14:paraId="1FCD53D4" w14:textId="74E74815" w:rsidR="000721F3" w:rsidRPr="000721F3" w:rsidRDefault="000721F3" w:rsidP="006D7D31">
      <w:pPr>
        <w:pStyle w:val="NoSpacing"/>
        <w:numPr>
          <w:ilvl w:val="0"/>
          <w:numId w:val="2"/>
        </w:numPr>
        <w:rPr>
          <w:b/>
          <w:u w:val="single"/>
        </w:rPr>
      </w:pPr>
      <w:r>
        <w:rPr>
          <w:bCs/>
        </w:rPr>
        <w:t>Mick highlighted his plans going forward to improve the process:</w:t>
      </w:r>
    </w:p>
    <w:p w14:paraId="67C537BA" w14:textId="3E75DA60" w:rsidR="000721F3" w:rsidRPr="000721F3" w:rsidRDefault="000721F3" w:rsidP="006D7D31">
      <w:pPr>
        <w:pStyle w:val="NoSpacing"/>
        <w:numPr>
          <w:ilvl w:val="1"/>
          <w:numId w:val="2"/>
        </w:numPr>
        <w:rPr>
          <w:b/>
          <w:u w:val="single"/>
        </w:rPr>
      </w:pPr>
      <w:r>
        <w:rPr>
          <w:bCs/>
        </w:rPr>
        <w:t>Generate reports for # of misaligned tickets and lost tickets</w:t>
      </w:r>
    </w:p>
    <w:p w14:paraId="4A477B87" w14:textId="7295A9ED" w:rsidR="000721F3" w:rsidRPr="00DE1377" w:rsidRDefault="000721F3" w:rsidP="006D7D31">
      <w:pPr>
        <w:pStyle w:val="NoSpacing"/>
        <w:numPr>
          <w:ilvl w:val="1"/>
          <w:numId w:val="2"/>
        </w:numPr>
        <w:rPr>
          <w:b/>
          <w:u w:val="single"/>
        </w:rPr>
      </w:pPr>
      <w:r>
        <w:rPr>
          <w:bCs/>
        </w:rPr>
        <w:t>Reporting on overall volumes of tickets and those that are external vs internal tickets</w:t>
      </w:r>
    </w:p>
    <w:p w14:paraId="72A4DC69" w14:textId="3583181F" w:rsidR="00DE1377" w:rsidRPr="00DE1377" w:rsidRDefault="00DE1377" w:rsidP="006D7D31">
      <w:pPr>
        <w:pStyle w:val="NoSpacing"/>
        <w:numPr>
          <w:ilvl w:val="1"/>
          <w:numId w:val="2"/>
        </w:numPr>
        <w:rPr>
          <w:b/>
          <w:u w:val="single"/>
        </w:rPr>
      </w:pPr>
      <w:r>
        <w:rPr>
          <w:bCs/>
        </w:rPr>
        <w:t>Data will be provided at the next TDTMS meeting to determine a path forward</w:t>
      </w:r>
    </w:p>
    <w:p w14:paraId="01411DDB" w14:textId="60CB0E2F" w:rsidR="00DE1377" w:rsidRPr="00C33BAB" w:rsidRDefault="00DE1377" w:rsidP="006D7D31">
      <w:pPr>
        <w:pStyle w:val="NoSpacing"/>
        <w:numPr>
          <w:ilvl w:val="1"/>
          <w:numId w:val="2"/>
        </w:numPr>
        <w:rPr>
          <w:b/>
          <w:u w:val="single"/>
        </w:rPr>
      </w:pPr>
      <w:r>
        <w:rPr>
          <w:bCs/>
        </w:rPr>
        <w:lastRenderedPageBreak/>
        <w:t xml:space="preserve">Mick commented with heightened cybersecurity, the market should plan for more frequent (monthly) patching which may be challenging to conduct testing and “get in place” during the scheduled outage potentially leading to other issues/problems </w:t>
      </w:r>
    </w:p>
    <w:p w14:paraId="7B0E3A7B" w14:textId="6BE67CD6" w:rsidR="006D7B6E" w:rsidRDefault="006D7B6E" w:rsidP="006D7B6E">
      <w:pPr>
        <w:pStyle w:val="NoSpacing"/>
      </w:pPr>
    </w:p>
    <w:p w14:paraId="04501D33" w14:textId="43227657" w:rsidR="006D7B6E" w:rsidRPr="00A37FFB" w:rsidRDefault="006D7B6E" w:rsidP="006D7B6E">
      <w:pPr>
        <w:pStyle w:val="NoSpacing"/>
        <w:rPr>
          <w:b/>
          <w:bCs/>
          <w:u w:val="single"/>
        </w:rPr>
      </w:pPr>
      <w:r w:rsidRPr="00A37FFB">
        <w:rPr>
          <w:b/>
          <w:bCs/>
          <w:u w:val="single"/>
        </w:rPr>
        <w:t xml:space="preserve">MarkeTrak </w:t>
      </w:r>
      <w:r w:rsidR="00A37FFB" w:rsidRPr="00A37FFB">
        <w:rPr>
          <w:b/>
          <w:bCs/>
          <w:u w:val="single"/>
        </w:rPr>
        <w:t xml:space="preserve">Upgrade and Demo </w:t>
      </w:r>
    </w:p>
    <w:p w14:paraId="1D36B96E" w14:textId="17B6C92E" w:rsidR="00807E43" w:rsidRPr="00FC39B8" w:rsidRDefault="00FC39B8" w:rsidP="006D7D31">
      <w:pPr>
        <w:pStyle w:val="NoSpacing"/>
        <w:numPr>
          <w:ilvl w:val="0"/>
          <w:numId w:val="3"/>
        </w:numPr>
        <w:rPr>
          <w:b/>
          <w:u w:val="single"/>
        </w:rPr>
      </w:pPr>
      <w:r>
        <w:rPr>
          <w:bCs/>
        </w:rPr>
        <w:t xml:space="preserve">Testing continues for new version of MarkeTrak </w:t>
      </w:r>
    </w:p>
    <w:p w14:paraId="5A50976A" w14:textId="2C36CDFD" w:rsidR="00FC39B8" w:rsidRPr="00FC39B8" w:rsidRDefault="00FC39B8" w:rsidP="006D7D31">
      <w:pPr>
        <w:pStyle w:val="NoSpacing"/>
        <w:numPr>
          <w:ilvl w:val="0"/>
          <w:numId w:val="3"/>
        </w:numPr>
        <w:rPr>
          <w:b/>
          <w:u w:val="single"/>
        </w:rPr>
      </w:pPr>
      <w:r>
        <w:rPr>
          <w:bCs/>
        </w:rPr>
        <w:t xml:space="preserve">5/16, the new version will be available in the RMTE – a market notice will be sent out 4/22 advising market participants </w:t>
      </w:r>
    </w:p>
    <w:p w14:paraId="4D89291E" w14:textId="2ABF2B6D" w:rsidR="00FC39B8" w:rsidRPr="00FC39B8" w:rsidRDefault="00FC39B8" w:rsidP="006D7D31">
      <w:pPr>
        <w:pStyle w:val="NoSpacing"/>
        <w:numPr>
          <w:ilvl w:val="0"/>
          <w:numId w:val="3"/>
        </w:numPr>
        <w:rPr>
          <w:b/>
          <w:u w:val="single"/>
        </w:rPr>
      </w:pPr>
      <w:r>
        <w:rPr>
          <w:bCs/>
        </w:rPr>
        <w:t>5/13, MarkeTrak in the RMTE will be unavailable as the new version is being loaded</w:t>
      </w:r>
    </w:p>
    <w:p w14:paraId="02F1C227" w14:textId="6833A5EB" w:rsidR="00FC39B8" w:rsidRPr="00FC39B8" w:rsidRDefault="00FC39B8" w:rsidP="006D7D31">
      <w:pPr>
        <w:pStyle w:val="NoSpacing"/>
        <w:numPr>
          <w:ilvl w:val="0"/>
          <w:numId w:val="3"/>
        </w:numPr>
        <w:rPr>
          <w:b/>
          <w:u w:val="single"/>
        </w:rPr>
      </w:pPr>
      <w:r>
        <w:rPr>
          <w:bCs/>
        </w:rPr>
        <w:t>Nothing to publish just yet on the User’s Guide front</w:t>
      </w:r>
    </w:p>
    <w:p w14:paraId="207116BE" w14:textId="36919161" w:rsidR="00FC39B8" w:rsidRPr="00FC39B8" w:rsidRDefault="00FC39B8" w:rsidP="006D7D31">
      <w:pPr>
        <w:pStyle w:val="NoSpacing"/>
        <w:numPr>
          <w:ilvl w:val="0"/>
          <w:numId w:val="3"/>
        </w:numPr>
        <w:rPr>
          <w:b/>
          <w:u w:val="single"/>
        </w:rPr>
      </w:pPr>
      <w:r>
        <w:rPr>
          <w:bCs/>
        </w:rPr>
        <w:t>Tammy Stewart continues to develop the “tips for creating your dashboard” which will be available by mid- May</w:t>
      </w:r>
    </w:p>
    <w:p w14:paraId="09830A9C" w14:textId="7C510FFA" w:rsidR="00FC39B8" w:rsidRPr="00807E43" w:rsidRDefault="00FC39B8" w:rsidP="006D7D31">
      <w:pPr>
        <w:pStyle w:val="NoSpacing"/>
        <w:numPr>
          <w:ilvl w:val="0"/>
          <w:numId w:val="3"/>
        </w:numPr>
        <w:rPr>
          <w:b/>
          <w:u w:val="single"/>
        </w:rPr>
      </w:pPr>
      <w:r w:rsidRPr="00D80830">
        <w:rPr>
          <w:bCs/>
          <w:highlight w:val="yellow"/>
        </w:rPr>
        <w:t>ACTION</w:t>
      </w:r>
      <w:r>
        <w:rPr>
          <w:bCs/>
        </w:rPr>
        <w:t xml:space="preserve">:  Sheri will send a note to Art Deller solidifying </w:t>
      </w:r>
      <w:r w:rsidR="00D80830">
        <w:rPr>
          <w:bCs/>
        </w:rPr>
        <w:t>training dates.  TDTMS has offered the first part of the meeting for training on May 19</w:t>
      </w:r>
      <w:r w:rsidR="00D80830" w:rsidRPr="00D80830">
        <w:rPr>
          <w:bCs/>
          <w:vertAlign w:val="superscript"/>
        </w:rPr>
        <w:t>th</w:t>
      </w:r>
      <w:r w:rsidR="00D80830">
        <w:rPr>
          <w:bCs/>
        </w:rPr>
        <w:t>.  The suggestion is to commence at 9:00 AM with the TDTMS meeting starting at 10:00 AM.  The second training is tentatively scheduled for May 24</w:t>
      </w:r>
      <w:r w:rsidR="00D80830" w:rsidRPr="00D80830">
        <w:rPr>
          <w:bCs/>
          <w:vertAlign w:val="superscript"/>
        </w:rPr>
        <w:t>th</w:t>
      </w:r>
      <w:r w:rsidR="00D80830">
        <w:rPr>
          <w:bCs/>
        </w:rPr>
        <w:t xml:space="preserve"> or 25</w:t>
      </w:r>
      <w:r w:rsidR="00D80830" w:rsidRPr="00D80830">
        <w:rPr>
          <w:bCs/>
          <w:vertAlign w:val="superscript"/>
        </w:rPr>
        <w:t>th</w:t>
      </w:r>
      <w:r w:rsidR="00D80830">
        <w:rPr>
          <w:bCs/>
        </w:rPr>
        <w:t xml:space="preserve">, Tuesday or Wednesday of the following week.  </w:t>
      </w:r>
    </w:p>
    <w:p w14:paraId="185FF113" w14:textId="3878B023" w:rsidR="00807E43" w:rsidRDefault="00807E43" w:rsidP="00807E43">
      <w:pPr>
        <w:pStyle w:val="NoSpacing"/>
        <w:ind w:left="1440"/>
        <w:rPr>
          <w:b/>
          <w:u w:val="single"/>
        </w:rPr>
      </w:pPr>
    </w:p>
    <w:p w14:paraId="1FD7C45D" w14:textId="29E37D18" w:rsidR="007642B5" w:rsidRDefault="006451BC" w:rsidP="006451BC">
      <w:pPr>
        <w:pStyle w:val="NoSpacing"/>
        <w:rPr>
          <w:b/>
          <w:u w:val="single"/>
        </w:rPr>
      </w:pPr>
      <w:r w:rsidRPr="006451BC">
        <w:rPr>
          <w:b/>
          <w:u w:val="single"/>
        </w:rPr>
        <w:t xml:space="preserve">SCR 817 MarkeTrak Validation Revisions Aligning w/ TXSET v5.0 </w:t>
      </w:r>
    </w:p>
    <w:p w14:paraId="1742C994" w14:textId="4CCFF82F" w:rsidR="001E6EE4" w:rsidRPr="001E6EE4" w:rsidRDefault="00D80830" w:rsidP="006451BC">
      <w:pPr>
        <w:pStyle w:val="NoSpacing"/>
        <w:rPr>
          <w:bCs/>
        </w:rPr>
      </w:pPr>
      <w:r>
        <w:rPr>
          <w:bCs/>
        </w:rPr>
        <w:t>Approved by PUCT</w:t>
      </w:r>
    </w:p>
    <w:p w14:paraId="7CFF2A35" w14:textId="640330AF" w:rsidR="00B01AE7" w:rsidRDefault="00B01AE7" w:rsidP="00B01AE7">
      <w:pPr>
        <w:pStyle w:val="NoSpacing"/>
        <w:rPr>
          <w:bCs/>
        </w:rPr>
      </w:pPr>
    </w:p>
    <w:p w14:paraId="696F861C" w14:textId="5A1A8AC6" w:rsidR="00B01AE7" w:rsidRDefault="00B01AE7" w:rsidP="00B01AE7">
      <w:pPr>
        <w:pStyle w:val="NoSpacing"/>
        <w:rPr>
          <w:b/>
          <w:u w:val="single"/>
        </w:rPr>
      </w:pPr>
      <w:r w:rsidRPr="00B01AE7">
        <w:rPr>
          <w:b/>
          <w:u w:val="single"/>
        </w:rPr>
        <w:t>IAG Subtype Analysis</w:t>
      </w:r>
    </w:p>
    <w:p w14:paraId="58BFED62" w14:textId="2CA9CED4" w:rsidR="002D5C23" w:rsidRDefault="002D5C23" w:rsidP="00B01AE7">
      <w:pPr>
        <w:pStyle w:val="NoSpacing"/>
        <w:rPr>
          <w:bCs/>
        </w:rPr>
      </w:pPr>
      <w:r>
        <w:rPr>
          <w:bCs/>
        </w:rPr>
        <w:t>Using the same structure/framework as last analysis in 2020, Sam Pak walked the working group through first an overall level set of the two data sets.</w:t>
      </w:r>
    </w:p>
    <w:p w14:paraId="0F62B053" w14:textId="49820D2D" w:rsidR="002D5C23" w:rsidRDefault="002D5C23" w:rsidP="006D7D31">
      <w:pPr>
        <w:pStyle w:val="NoSpacing"/>
        <w:numPr>
          <w:ilvl w:val="0"/>
          <w:numId w:val="4"/>
        </w:numPr>
        <w:rPr>
          <w:bCs/>
        </w:rPr>
      </w:pPr>
      <w:r>
        <w:rPr>
          <w:bCs/>
        </w:rPr>
        <w:t>First analysis in 2020:  IAS data from July 2019 to July 2020 (13 months)</w:t>
      </w:r>
    </w:p>
    <w:p w14:paraId="4B562725" w14:textId="32B8BF53" w:rsidR="002D5C23" w:rsidRDefault="002D5C23" w:rsidP="006D7D31">
      <w:pPr>
        <w:pStyle w:val="NoSpacing"/>
        <w:numPr>
          <w:ilvl w:val="1"/>
          <w:numId w:val="4"/>
        </w:numPr>
        <w:rPr>
          <w:bCs/>
        </w:rPr>
      </w:pPr>
      <w:r>
        <w:rPr>
          <w:bCs/>
        </w:rPr>
        <w:t>IAGs = 21025</w:t>
      </w:r>
    </w:p>
    <w:p w14:paraId="4AF5FB53" w14:textId="746722E3" w:rsidR="002D5C23" w:rsidRDefault="002D5C23" w:rsidP="006D7D31">
      <w:pPr>
        <w:pStyle w:val="NoSpacing"/>
        <w:numPr>
          <w:ilvl w:val="1"/>
          <w:numId w:val="4"/>
        </w:numPr>
        <w:rPr>
          <w:bCs/>
        </w:rPr>
      </w:pPr>
      <w:r>
        <w:rPr>
          <w:bCs/>
        </w:rPr>
        <w:t>IALs = 23452</w:t>
      </w:r>
    </w:p>
    <w:p w14:paraId="40CA71C9" w14:textId="1D405AB4" w:rsidR="0006509E" w:rsidRDefault="002D5C23" w:rsidP="006D7D31">
      <w:pPr>
        <w:pStyle w:val="NoSpacing"/>
        <w:numPr>
          <w:ilvl w:val="0"/>
          <w:numId w:val="4"/>
        </w:numPr>
        <w:rPr>
          <w:bCs/>
        </w:rPr>
      </w:pPr>
      <w:r>
        <w:rPr>
          <w:bCs/>
        </w:rPr>
        <w:t xml:space="preserve">Second analysis in 2022:  IAS data from July 2021 to December 2021 (6 months)  </w:t>
      </w:r>
    </w:p>
    <w:p w14:paraId="48E47FAF" w14:textId="29D8C344" w:rsidR="002D5C23" w:rsidRDefault="002D5C23" w:rsidP="006D7D31">
      <w:pPr>
        <w:pStyle w:val="NoSpacing"/>
        <w:numPr>
          <w:ilvl w:val="1"/>
          <w:numId w:val="4"/>
        </w:numPr>
        <w:rPr>
          <w:bCs/>
        </w:rPr>
      </w:pPr>
      <w:r>
        <w:rPr>
          <w:bCs/>
        </w:rPr>
        <w:t>IAGs = 8960</w:t>
      </w:r>
    </w:p>
    <w:p w14:paraId="7BC7D879" w14:textId="5DA9E6AA" w:rsidR="002D5C23" w:rsidRDefault="002D5C23" w:rsidP="006D7D31">
      <w:pPr>
        <w:pStyle w:val="NoSpacing"/>
        <w:numPr>
          <w:ilvl w:val="1"/>
          <w:numId w:val="4"/>
        </w:numPr>
        <w:rPr>
          <w:bCs/>
        </w:rPr>
      </w:pPr>
      <w:r>
        <w:rPr>
          <w:bCs/>
        </w:rPr>
        <w:t>IALs = 11908</w:t>
      </w:r>
    </w:p>
    <w:p w14:paraId="3BC573E3" w14:textId="5774597D" w:rsidR="00060F22" w:rsidRDefault="002D5C23" w:rsidP="00B01AE7">
      <w:pPr>
        <w:pStyle w:val="NoSpacing"/>
        <w:rPr>
          <w:bCs/>
        </w:rPr>
      </w:pPr>
      <w:r>
        <w:rPr>
          <w:bCs/>
        </w:rPr>
        <w:t>The following framework was used</w:t>
      </w:r>
      <w:r w:rsidR="00614760">
        <w:rPr>
          <w:bCs/>
        </w:rPr>
        <w:t xml:space="preserve"> comparing #s from both data sets. </w:t>
      </w:r>
      <w:r w:rsidR="006D7B6E" w:rsidRPr="006D7B6E">
        <w:rPr>
          <w:noProof/>
        </w:rPr>
        <w:drawing>
          <wp:inline distT="0" distB="0" distL="0" distR="0" wp14:anchorId="607ECDAB" wp14:editId="154038DF">
            <wp:extent cx="4152900" cy="369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3695700"/>
                    </a:xfrm>
                    <a:prstGeom prst="rect">
                      <a:avLst/>
                    </a:prstGeom>
                    <a:noFill/>
                    <a:ln>
                      <a:noFill/>
                    </a:ln>
                  </pic:spPr>
                </pic:pic>
              </a:graphicData>
            </a:graphic>
          </wp:inline>
        </w:drawing>
      </w:r>
    </w:p>
    <w:p w14:paraId="2599F318" w14:textId="1E0F9BAA" w:rsidR="00614760" w:rsidRDefault="00614760" w:rsidP="00B01AE7">
      <w:pPr>
        <w:pStyle w:val="NoSpacing"/>
        <w:rPr>
          <w:bCs/>
        </w:rPr>
      </w:pPr>
    </w:p>
    <w:p w14:paraId="57D38839" w14:textId="39E05F6A" w:rsidR="00614760" w:rsidRDefault="00614760" w:rsidP="00B01AE7">
      <w:pPr>
        <w:pStyle w:val="NoSpacing"/>
        <w:rPr>
          <w:bCs/>
        </w:rPr>
      </w:pPr>
      <w:r>
        <w:rPr>
          <w:bCs/>
        </w:rPr>
        <w:lastRenderedPageBreak/>
        <w:t xml:space="preserve">The team only reviewed IAGs and parts of IALs.  In the past, where callouts were made, those stats were updated as well as any new callouts.  </w:t>
      </w:r>
      <w:r w:rsidR="00DE4169">
        <w:rPr>
          <w:bCs/>
        </w:rPr>
        <w:t xml:space="preserve">All data will be confirmed, reviewed, and completed at the next meeting for presentation at the June RMS meeting.  </w:t>
      </w:r>
    </w:p>
    <w:p w14:paraId="22658008" w14:textId="2AED72BF" w:rsidR="00614760" w:rsidRDefault="00614760" w:rsidP="00B01AE7">
      <w:pPr>
        <w:pStyle w:val="NoSpacing"/>
        <w:rPr>
          <w:bCs/>
        </w:rPr>
      </w:pPr>
    </w:p>
    <w:p w14:paraId="7257D9EF" w14:textId="39E2B754" w:rsidR="00614760" w:rsidRPr="00614760" w:rsidRDefault="00614760" w:rsidP="00B01AE7">
      <w:pPr>
        <w:pStyle w:val="NoSpacing"/>
        <w:rPr>
          <w:b/>
          <w:u w:val="single"/>
        </w:rPr>
      </w:pPr>
      <w:r w:rsidRPr="00614760">
        <w:rPr>
          <w:b/>
          <w:u w:val="single"/>
        </w:rPr>
        <w:t>Other Business</w:t>
      </w:r>
    </w:p>
    <w:p w14:paraId="5C1B08CA" w14:textId="77777777" w:rsidR="005F23C7" w:rsidRDefault="00614760" w:rsidP="00B01AE7">
      <w:pPr>
        <w:pStyle w:val="NoSpacing"/>
        <w:rPr>
          <w:bCs/>
        </w:rPr>
      </w:pPr>
      <w:r>
        <w:rPr>
          <w:bCs/>
        </w:rPr>
        <w:t>Carolyn pointed out for SCR815 – MarkeTrak Enhancements due in December</w:t>
      </w:r>
      <w:r w:rsidR="00DE4169">
        <w:rPr>
          <w:bCs/>
        </w:rPr>
        <w:t xml:space="preserve">, </w:t>
      </w:r>
      <w:r w:rsidR="005F23C7">
        <w:rPr>
          <w:bCs/>
        </w:rPr>
        <w:t>“</w:t>
      </w:r>
      <w:r w:rsidR="00DE4169">
        <w:rPr>
          <w:bCs/>
        </w:rPr>
        <w:t>archiving</w:t>
      </w:r>
      <w:r w:rsidR="005F23C7">
        <w:rPr>
          <w:bCs/>
        </w:rPr>
        <w:t>”</w:t>
      </w:r>
      <w:r w:rsidR="00DE4169">
        <w:rPr>
          <w:bCs/>
        </w:rPr>
        <w:t xml:space="preserve"> of the subtypes means they will no longer </w:t>
      </w:r>
      <w:proofErr w:type="gramStart"/>
      <w:r w:rsidR="00DE4169">
        <w:rPr>
          <w:bCs/>
        </w:rPr>
        <w:t>exist</w:t>
      </w:r>
      <w:proofErr w:type="gramEnd"/>
      <w:r w:rsidR="00DE4169">
        <w:rPr>
          <w:bCs/>
        </w:rPr>
        <w:t xml:space="preserve"> </w:t>
      </w:r>
      <w:r w:rsidR="005F23C7">
        <w:rPr>
          <w:bCs/>
        </w:rPr>
        <w:t>and market participants will no longer have access to the subtype.  The team decided this will be taken up again at our next meeting to ensure this is acceptable for stakeholders.</w:t>
      </w:r>
    </w:p>
    <w:p w14:paraId="1A42675C" w14:textId="3D0AA2F9" w:rsidR="006D7B6E" w:rsidRDefault="00614760" w:rsidP="00B01AE7">
      <w:pPr>
        <w:pStyle w:val="NoSpacing"/>
        <w:rPr>
          <w:bCs/>
        </w:rPr>
      </w:pPr>
      <w:r>
        <w:rPr>
          <w:bCs/>
        </w:rPr>
        <w:t xml:space="preserve"> </w:t>
      </w:r>
    </w:p>
    <w:p w14:paraId="76568908" w14:textId="47A79AA7" w:rsidR="00647C0B" w:rsidRDefault="00647C0B" w:rsidP="00B01AE7">
      <w:pPr>
        <w:pStyle w:val="NoSpacing"/>
        <w:rPr>
          <w:b/>
          <w:u w:val="single"/>
        </w:rPr>
      </w:pPr>
      <w:r w:rsidRPr="00647C0B">
        <w:rPr>
          <w:b/>
          <w:u w:val="single"/>
        </w:rPr>
        <w:t>NEXT MEETING AGENDA</w:t>
      </w:r>
      <w:r>
        <w:rPr>
          <w:b/>
          <w:u w:val="single"/>
        </w:rPr>
        <w:t xml:space="preserve"> – </w:t>
      </w:r>
      <w:r w:rsidR="005F23C7">
        <w:rPr>
          <w:b/>
          <w:u w:val="single"/>
        </w:rPr>
        <w:t>May 19</w:t>
      </w:r>
      <w:r w:rsidR="005F23C7" w:rsidRPr="005F23C7">
        <w:rPr>
          <w:b/>
          <w:u w:val="single"/>
          <w:vertAlign w:val="superscript"/>
        </w:rPr>
        <w:t>th</w:t>
      </w:r>
      <w:r w:rsidR="005F23C7">
        <w:rPr>
          <w:b/>
          <w:u w:val="single"/>
        </w:rPr>
        <w:t xml:space="preserve"> 10:</w:t>
      </w:r>
      <w:r w:rsidR="00EB7AAA">
        <w:rPr>
          <w:b/>
          <w:u w:val="single"/>
        </w:rPr>
        <w:t>3</w:t>
      </w:r>
      <w:r w:rsidR="005F23C7">
        <w:rPr>
          <w:b/>
          <w:u w:val="single"/>
        </w:rPr>
        <w:t xml:space="preserve">0 AM – WebEx only </w:t>
      </w:r>
    </w:p>
    <w:p w14:paraId="26EF4677" w14:textId="7110FAB9" w:rsidR="005F23C7" w:rsidRDefault="00EB7AAA" w:rsidP="00B01AE7">
      <w:pPr>
        <w:pStyle w:val="NoSpacing"/>
        <w:rPr>
          <w:bCs/>
        </w:rPr>
      </w:pPr>
      <w:r>
        <w:rPr>
          <w:bCs/>
        </w:rPr>
        <w:t>***</w:t>
      </w:r>
      <w:r w:rsidR="005F23C7">
        <w:rPr>
          <w:bCs/>
        </w:rPr>
        <w:t>First part of the morning will be MarkeTrak Refresh Training Session 9:00 – 10:30</w:t>
      </w:r>
    </w:p>
    <w:p w14:paraId="79DF49B3" w14:textId="03E4E505" w:rsidR="00647C0B" w:rsidRDefault="00940A1B" w:rsidP="006D7D31">
      <w:pPr>
        <w:pStyle w:val="NoSpacing"/>
        <w:numPr>
          <w:ilvl w:val="0"/>
          <w:numId w:val="5"/>
        </w:numPr>
        <w:rPr>
          <w:bCs/>
        </w:rPr>
      </w:pPr>
      <w:r>
        <w:rPr>
          <w:bCs/>
        </w:rPr>
        <w:t>ERCOT Updates</w:t>
      </w:r>
    </w:p>
    <w:p w14:paraId="7F3296F4" w14:textId="369A16D7" w:rsidR="00EB7AAA" w:rsidRDefault="00EB7AAA" w:rsidP="006D7D31">
      <w:pPr>
        <w:pStyle w:val="NoSpacing"/>
        <w:numPr>
          <w:ilvl w:val="1"/>
          <w:numId w:val="5"/>
        </w:numPr>
        <w:rPr>
          <w:bCs/>
        </w:rPr>
      </w:pPr>
      <w:r>
        <w:rPr>
          <w:bCs/>
        </w:rPr>
        <w:t>Help Desk Ticket Process Update</w:t>
      </w:r>
    </w:p>
    <w:p w14:paraId="7F48AD29" w14:textId="6F09A969" w:rsidR="00EB7AAA" w:rsidRDefault="00EB7AAA" w:rsidP="006D7D31">
      <w:pPr>
        <w:pStyle w:val="NoSpacing"/>
        <w:numPr>
          <w:ilvl w:val="0"/>
          <w:numId w:val="5"/>
        </w:numPr>
        <w:rPr>
          <w:bCs/>
        </w:rPr>
      </w:pPr>
      <w:r>
        <w:rPr>
          <w:bCs/>
        </w:rPr>
        <w:t xml:space="preserve">MarkeTrak Upgrade </w:t>
      </w:r>
    </w:p>
    <w:p w14:paraId="4EAF8687" w14:textId="1334D728" w:rsidR="00940A1B" w:rsidRDefault="00940A1B" w:rsidP="006D7D31">
      <w:pPr>
        <w:pStyle w:val="NoSpacing"/>
        <w:numPr>
          <w:ilvl w:val="0"/>
          <w:numId w:val="5"/>
        </w:numPr>
        <w:rPr>
          <w:bCs/>
        </w:rPr>
      </w:pPr>
      <w:r>
        <w:rPr>
          <w:bCs/>
        </w:rPr>
        <w:t>IA</w:t>
      </w:r>
      <w:r w:rsidR="00EB7AAA">
        <w:rPr>
          <w:bCs/>
        </w:rPr>
        <w:t>L</w:t>
      </w:r>
      <w:r>
        <w:rPr>
          <w:bCs/>
        </w:rPr>
        <w:t xml:space="preserve"> Subtype Analysis – </w:t>
      </w:r>
      <w:r w:rsidR="00EB7AAA">
        <w:rPr>
          <w:bCs/>
        </w:rPr>
        <w:t>complete IALs and review IAG findings</w:t>
      </w:r>
    </w:p>
    <w:p w14:paraId="6D2ED087" w14:textId="79579245" w:rsidR="00EB7AAA" w:rsidRDefault="00EB7AAA" w:rsidP="006D7D31">
      <w:pPr>
        <w:pStyle w:val="NoSpacing"/>
        <w:numPr>
          <w:ilvl w:val="0"/>
          <w:numId w:val="5"/>
        </w:numPr>
        <w:rPr>
          <w:bCs/>
        </w:rPr>
      </w:pPr>
      <w:r>
        <w:rPr>
          <w:bCs/>
        </w:rPr>
        <w:t>SCR815 – “archiving” subtypes discussion</w:t>
      </w:r>
    </w:p>
    <w:p w14:paraId="0C503CFB" w14:textId="7D401131" w:rsidR="00647C0B" w:rsidRDefault="00647C0B" w:rsidP="00B01AE7">
      <w:pPr>
        <w:pStyle w:val="NoSpacing"/>
        <w:rPr>
          <w:bCs/>
        </w:rPr>
      </w:pPr>
    </w:p>
    <w:p w14:paraId="026FD24B" w14:textId="16E349DC" w:rsidR="00647C0B" w:rsidRDefault="00647C0B" w:rsidP="00B01AE7">
      <w:pPr>
        <w:pStyle w:val="NoSpacing"/>
        <w:rPr>
          <w:bCs/>
        </w:rPr>
      </w:pPr>
    </w:p>
    <w:p w14:paraId="3FF3660F" w14:textId="6A8ABB6F" w:rsidR="003F19BE" w:rsidRDefault="003F19BE" w:rsidP="006A43E5">
      <w:pPr>
        <w:pStyle w:val="NoSpacing"/>
        <w:rPr>
          <w:bCs/>
        </w:rPr>
      </w:pPr>
    </w:p>
    <w:p w14:paraId="0802D093" w14:textId="7074A85A" w:rsidR="003A21CC" w:rsidRDefault="003A21CC" w:rsidP="00F145EE">
      <w:pPr>
        <w:pStyle w:val="NoSpacing"/>
        <w:rPr>
          <w:bCs/>
          <w:u w:val="single"/>
        </w:rPr>
      </w:pPr>
    </w:p>
    <w:p w14:paraId="0CB65D1F" w14:textId="6745773A" w:rsidR="005C543B" w:rsidRPr="005C543B" w:rsidRDefault="005C543B" w:rsidP="005C543B">
      <w:pPr>
        <w:pStyle w:val="NoSpacing"/>
        <w:rPr>
          <w:bCs/>
        </w:rPr>
      </w:pPr>
    </w:p>
    <w:sectPr w:rsidR="005C543B" w:rsidRPr="005C543B"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710D" w14:textId="77777777" w:rsidR="00282627" w:rsidRDefault="00282627" w:rsidP="00F26627">
      <w:pPr>
        <w:spacing w:after="0" w:line="240" w:lineRule="auto"/>
      </w:pPr>
      <w:r>
        <w:separator/>
      </w:r>
    </w:p>
  </w:endnote>
  <w:endnote w:type="continuationSeparator" w:id="0">
    <w:p w14:paraId="0BEC921F" w14:textId="77777777" w:rsidR="00282627" w:rsidRDefault="00282627"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5166" w14:textId="77777777" w:rsidR="00282627" w:rsidRDefault="00282627" w:rsidP="00F26627">
      <w:pPr>
        <w:spacing w:after="0" w:line="240" w:lineRule="auto"/>
      </w:pPr>
      <w:r>
        <w:separator/>
      </w:r>
    </w:p>
  </w:footnote>
  <w:footnote w:type="continuationSeparator" w:id="0">
    <w:p w14:paraId="08E23E63" w14:textId="77777777" w:rsidR="00282627" w:rsidRDefault="00282627"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E47DD"/>
    <w:multiLevelType w:val="hybridMultilevel"/>
    <w:tmpl w:val="6FD4AC66"/>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F1F33"/>
    <w:multiLevelType w:val="hybridMultilevel"/>
    <w:tmpl w:val="7B2267E8"/>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4"/>
  </w:num>
  <w:num w:numId="2" w16cid:durableId="853567147">
    <w:abstractNumId w:val="1"/>
  </w:num>
  <w:num w:numId="3" w16cid:durableId="408845872">
    <w:abstractNumId w:val="2"/>
  </w:num>
  <w:num w:numId="4" w16cid:durableId="1306273076">
    <w:abstractNumId w:val="0"/>
  </w:num>
  <w:num w:numId="5" w16cid:durableId="8323318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3998"/>
    <w:rsid w:val="00025B49"/>
    <w:rsid w:val="0004131D"/>
    <w:rsid w:val="00060F22"/>
    <w:rsid w:val="0006509E"/>
    <w:rsid w:val="000721F3"/>
    <w:rsid w:val="000778C7"/>
    <w:rsid w:val="00083BA8"/>
    <w:rsid w:val="00091428"/>
    <w:rsid w:val="000A1F65"/>
    <w:rsid w:val="000B05CB"/>
    <w:rsid w:val="000C036E"/>
    <w:rsid w:val="000C0AF2"/>
    <w:rsid w:val="000C20CF"/>
    <w:rsid w:val="000C319D"/>
    <w:rsid w:val="000C47B8"/>
    <w:rsid w:val="000C5FAB"/>
    <w:rsid w:val="000D3187"/>
    <w:rsid w:val="000E13F8"/>
    <w:rsid w:val="000F415E"/>
    <w:rsid w:val="00110EA2"/>
    <w:rsid w:val="00121F67"/>
    <w:rsid w:val="00123FEE"/>
    <w:rsid w:val="00127F5D"/>
    <w:rsid w:val="001303F8"/>
    <w:rsid w:val="001313EA"/>
    <w:rsid w:val="00131D16"/>
    <w:rsid w:val="00131DDA"/>
    <w:rsid w:val="00136DF5"/>
    <w:rsid w:val="001416DA"/>
    <w:rsid w:val="00153056"/>
    <w:rsid w:val="00155615"/>
    <w:rsid w:val="001668CC"/>
    <w:rsid w:val="00166C10"/>
    <w:rsid w:val="00170E4D"/>
    <w:rsid w:val="00171E07"/>
    <w:rsid w:val="00192A8A"/>
    <w:rsid w:val="00194107"/>
    <w:rsid w:val="001B1170"/>
    <w:rsid w:val="001C225E"/>
    <w:rsid w:val="001C3FE4"/>
    <w:rsid w:val="001C4664"/>
    <w:rsid w:val="001D16C1"/>
    <w:rsid w:val="001D1935"/>
    <w:rsid w:val="001E1A68"/>
    <w:rsid w:val="001E1FBF"/>
    <w:rsid w:val="001E2F5F"/>
    <w:rsid w:val="001E4D51"/>
    <w:rsid w:val="001E6B2D"/>
    <w:rsid w:val="001E6DA0"/>
    <w:rsid w:val="001E6EE4"/>
    <w:rsid w:val="00210956"/>
    <w:rsid w:val="0022539C"/>
    <w:rsid w:val="00227F00"/>
    <w:rsid w:val="00233E77"/>
    <w:rsid w:val="002417F6"/>
    <w:rsid w:val="00245452"/>
    <w:rsid w:val="00257783"/>
    <w:rsid w:val="00266626"/>
    <w:rsid w:val="00275BB9"/>
    <w:rsid w:val="00282627"/>
    <w:rsid w:val="002956E8"/>
    <w:rsid w:val="002A0074"/>
    <w:rsid w:val="002A4D17"/>
    <w:rsid w:val="002B73B5"/>
    <w:rsid w:val="002C5F35"/>
    <w:rsid w:val="002D0238"/>
    <w:rsid w:val="002D5C23"/>
    <w:rsid w:val="002E0A93"/>
    <w:rsid w:val="002E188E"/>
    <w:rsid w:val="002E4A02"/>
    <w:rsid w:val="002E4AA8"/>
    <w:rsid w:val="002E52F7"/>
    <w:rsid w:val="002E6D10"/>
    <w:rsid w:val="002F12FE"/>
    <w:rsid w:val="002F5B65"/>
    <w:rsid w:val="002F6A98"/>
    <w:rsid w:val="00304812"/>
    <w:rsid w:val="00307922"/>
    <w:rsid w:val="00310E34"/>
    <w:rsid w:val="003147A9"/>
    <w:rsid w:val="00315059"/>
    <w:rsid w:val="0031702C"/>
    <w:rsid w:val="0032177A"/>
    <w:rsid w:val="003224FF"/>
    <w:rsid w:val="00323CE5"/>
    <w:rsid w:val="00326666"/>
    <w:rsid w:val="0032714F"/>
    <w:rsid w:val="00327A45"/>
    <w:rsid w:val="00331770"/>
    <w:rsid w:val="00331FF3"/>
    <w:rsid w:val="0033302E"/>
    <w:rsid w:val="00345EA2"/>
    <w:rsid w:val="00346562"/>
    <w:rsid w:val="0035068E"/>
    <w:rsid w:val="00351211"/>
    <w:rsid w:val="00356955"/>
    <w:rsid w:val="00363882"/>
    <w:rsid w:val="00364198"/>
    <w:rsid w:val="00370FAA"/>
    <w:rsid w:val="003765A8"/>
    <w:rsid w:val="00384273"/>
    <w:rsid w:val="0038504B"/>
    <w:rsid w:val="00386AB4"/>
    <w:rsid w:val="00387FDB"/>
    <w:rsid w:val="003939F4"/>
    <w:rsid w:val="00397D90"/>
    <w:rsid w:val="003A0149"/>
    <w:rsid w:val="003A21CC"/>
    <w:rsid w:val="003A4C4B"/>
    <w:rsid w:val="003B2CDB"/>
    <w:rsid w:val="003B2D7D"/>
    <w:rsid w:val="003C2B32"/>
    <w:rsid w:val="003D3023"/>
    <w:rsid w:val="003D62FC"/>
    <w:rsid w:val="003D7918"/>
    <w:rsid w:val="003E3A2B"/>
    <w:rsid w:val="003E5367"/>
    <w:rsid w:val="003F19BE"/>
    <w:rsid w:val="00402166"/>
    <w:rsid w:val="004025FE"/>
    <w:rsid w:val="00402D16"/>
    <w:rsid w:val="00404E6C"/>
    <w:rsid w:val="00417FBA"/>
    <w:rsid w:val="00420104"/>
    <w:rsid w:val="004222C3"/>
    <w:rsid w:val="00423A26"/>
    <w:rsid w:val="004357E3"/>
    <w:rsid w:val="00437F12"/>
    <w:rsid w:val="00446742"/>
    <w:rsid w:val="004510BA"/>
    <w:rsid w:val="00453CB9"/>
    <w:rsid w:val="0046383E"/>
    <w:rsid w:val="00463A02"/>
    <w:rsid w:val="00473603"/>
    <w:rsid w:val="00473E06"/>
    <w:rsid w:val="00474281"/>
    <w:rsid w:val="004852C1"/>
    <w:rsid w:val="00487203"/>
    <w:rsid w:val="00495108"/>
    <w:rsid w:val="00496BC3"/>
    <w:rsid w:val="004A002B"/>
    <w:rsid w:val="004A02A5"/>
    <w:rsid w:val="004B0BD3"/>
    <w:rsid w:val="004B1EA2"/>
    <w:rsid w:val="004C1A43"/>
    <w:rsid w:val="004C5528"/>
    <w:rsid w:val="004C672D"/>
    <w:rsid w:val="004D38BE"/>
    <w:rsid w:val="004D5B2D"/>
    <w:rsid w:val="004E7003"/>
    <w:rsid w:val="004F3A5D"/>
    <w:rsid w:val="004F3B6C"/>
    <w:rsid w:val="004F5F8C"/>
    <w:rsid w:val="005048DF"/>
    <w:rsid w:val="00504A20"/>
    <w:rsid w:val="005101FF"/>
    <w:rsid w:val="0051096F"/>
    <w:rsid w:val="00517798"/>
    <w:rsid w:val="00517D7C"/>
    <w:rsid w:val="00522605"/>
    <w:rsid w:val="00526DBC"/>
    <w:rsid w:val="00527ADA"/>
    <w:rsid w:val="00540840"/>
    <w:rsid w:val="0054333F"/>
    <w:rsid w:val="00543BB4"/>
    <w:rsid w:val="00544D4C"/>
    <w:rsid w:val="00546D6E"/>
    <w:rsid w:val="00547B3B"/>
    <w:rsid w:val="00550B98"/>
    <w:rsid w:val="00553D72"/>
    <w:rsid w:val="005572E8"/>
    <w:rsid w:val="00562FBA"/>
    <w:rsid w:val="005645B7"/>
    <w:rsid w:val="00565315"/>
    <w:rsid w:val="005719FD"/>
    <w:rsid w:val="005A25C3"/>
    <w:rsid w:val="005A6DE1"/>
    <w:rsid w:val="005B05BD"/>
    <w:rsid w:val="005C543B"/>
    <w:rsid w:val="005D1EE7"/>
    <w:rsid w:val="005D1F24"/>
    <w:rsid w:val="005D5510"/>
    <w:rsid w:val="005F23C7"/>
    <w:rsid w:val="005F3844"/>
    <w:rsid w:val="00610842"/>
    <w:rsid w:val="00614760"/>
    <w:rsid w:val="006149AB"/>
    <w:rsid w:val="00625565"/>
    <w:rsid w:val="0062681D"/>
    <w:rsid w:val="00637F5C"/>
    <w:rsid w:val="00643E89"/>
    <w:rsid w:val="006451BC"/>
    <w:rsid w:val="00647C0B"/>
    <w:rsid w:val="00653F95"/>
    <w:rsid w:val="006758D3"/>
    <w:rsid w:val="006816F8"/>
    <w:rsid w:val="0068249F"/>
    <w:rsid w:val="00683CC7"/>
    <w:rsid w:val="00690321"/>
    <w:rsid w:val="0069377A"/>
    <w:rsid w:val="006A18CD"/>
    <w:rsid w:val="006A43E5"/>
    <w:rsid w:val="006A4420"/>
    <w:rsid w:val="006B7779"/>
    <w:rsid w:val="006C3BBF"/>
    <w:rsid w:val="006D2881"/>
    <w:rsid w:val="006D7B6E"/>
    <w:rsid w:val="006D7D31"/>
    <w:rsid w:val="006E3E00"/>
    <w:rsid w:val="006E6F92"/>
    <w:rsid w:val="006F0C42"/>
    <w:rsid w:val="006F439A"/>
    <w:rsid w:val="006F6BF1"/>
    <w:rsid w:val="00702CF5"/>
    <w:rsid w:val="00707132"/>
    <w:rsid w:val="00710070"/>
    <w:rsid w:val="00720A5D"/>
    <w:rsid w:val="00733038"/>
    <w:rsid w:val="00733B41"/>
    <w:rsid w:val="007361FA"/>
    <w:rsid w:val="007421B4"/>
    <w:rsid w:val="007533E9"/>
    <w:rsid w:val="0076159C"/>
    <w:rsid w:val="007642B5"/>
    <w:rsid w:val="0076567B"/>
    <w:rsid w:val="007660CA"/>
    <w:rsid w:val="00766AED"/>
    <w:rsid w:val="00766E5D"/>
    <w:rsid w:val="00770025"/>
    <w:rsid w:val="00774226"/>
    <w:rsid w:val="00780949"/>
    <w:rsid w:val="007827FB"/>
    <w:rsid w:val="0079359B"/>
    <w:rsid w:val="007945C0"/>
    <w:rsid w:val="007966CC"/>
    <w:rsid w:val="007A37AE"/>
    <w:rsid w:val="007C0887"/>
    <w:rsid w:val="007C090E"/>
    <w:rsid w:val="007C5998"/>
    <w:rsid w:val="007D1BE9"/>
    <w:rsid w:val="007E4B3E"/>
    <w:rsid w:val="007E52DF"/>
    <w:rsid w:val="007F0580"/>
    <w:rsid w:val="007F145E"/>
    <w:rsid w:val="007F3FC1"/>
    <w:rsid w:val="00806140"/>
    <w:rsid w:val="00807049"/>
    <w:rsid w:val="00807E43"/>
    <w:rsid w:val="00815480"/>
    <w:rsid w:val="00820B4A"/>
    <w:rsid w:val="008217FD"/>
    <w:rsid w:val="0083777D"/>
    <w:rsid w:val="008451D6"/>
    <w:rsid w:val="008519CE"/>
    <w:rsid w:val="00855FFB"/>
    <w:rsid w:val="00860321"/>
    <w:rsid w:val="00862522"/>
    <w:rsid w:val="00863201"/>
    <w:rsid w:val="008636F7"/>
    <w:rsid w:val="00875092"/>
    <w:rsid w:val="00887CAB"/>
    <w:rsid w:val="00890DC0"/>
    <w:rsid w:val="00891A72"/>
    <w:rsid w:val="008953BF"/>
    <w:rsid w:val="008A2659"/>
    <w:rsid w:val="008A3554"/>
    <w:rsid w:val="008B2CB8"/>
    <w:rsid w:val="008B5C93"/>
    <w:rsid w:val="008C13D1"/>
    <w:rsid w:val="008D135C"/>
    <w:rsid w:val="008D78D2"/>
    <w:rsid w:val="008E4C59"/>
    <w:rsid w:val="008E6934"/>
    <w:rsid w:val="008F2439"/>
    <w:rsid w:val="008F4DC4"/>
    <w:rsid w:val="008F6D8F"/>
    <w:rsid w:val="0090152E"/>
    <w:rsid w:val="00932C1B"/>
    <w:rsid w:val="009361FE"/>
    <w:rsid w:val="00940A1B"/>
    <w:rsid w:val="00944599"/>
    <w:rsid w:val="00945CCB"/>
    <w:rsid w:val="0095114C"/>
    <w:rsid w:val="0095692F"/>
    <w:rsid w:val="00963F70"/>
    <w:rsid w:val="0096742E"/>
    <w:rsid w:val="009805C2"/>
    <w:rsid w:val="00990903"/>
    <w:rsid w:val="009921EF"/>
    <w:rsid w:val="009A0B03"/>
    <w:rsid w:val="009A6188"/>
    <w:rsid w:val="009B2EE9"/>
    <w:rsid w:val="009C4583"/>
    <w:rsid w:val="009D07DF"/>
    <w:rsid w:val="009D5ECB"/>
    <w:rsid w:val="009D7657"/>
    <w:rsid w:val="009D7D5C"/>
    <w:rsid w:val="009F55DB"/>
    <w:rsid w:val="009F63FD"/>
    <w:rsid w:val="009F7732"/>
    <w:rsid w:val="009F7D81"/>
    <w:rsid w:val="00A00502"/>
    <w:rsid w:val="00A01863"/>
    <w:rsid w:val="00A0572E"/>
    <w:rsid w:val="00A14B4A"/>
    <w:rsid w:val="00A150C2"/>
    <w:rsid w:val="00A17B5F"/>
    <w:rsid w:val="00A241ED"/>
    <w:rsid w:val="00A24868"/>
    <w:rsid w:val="00A274B3"/>
    <w:rsid w:val="00A27E45"/>
    <w:rsid w:val="00A367C4"/>
    <w:rsid w:val="00A37FFB"/>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3CAF"/>
    <w:rsid w:val="00AA41DE"/>
    <w:rsid w:val="00AA7CB2"/>
    <w:rsid w:val="00AB4932"/>
    <w:rsid w:val="00AB5B26"/>
    <w:rsid w:val="00AC7F6D"/>
    <w:rsid w:val="00AE38A9"/>
    <w:rsid w:val="00AE3E48"/>
    <w:rsid w:val="00AE6DC2"/>
    <w:rsid w:val="00AF2E6C"/>
    <w:rsid w:val="00AF56A0"/>
    <w:rsid w:val="00AF71B5"/>
    <w:rsid w:val="00B01AE7"/>
    <w:rsid w:val="00B02EFA"/>
    <w:rsid w:val="00B05A4F"/>
    <w:rsid w:val="00B22277"/>
    <w:rsid w:val="00B22D19"/>
    <w:rsid w:val="00B303A3"/>
    <w:rsid w:val="00B31199"/>
    <w:rsid w:val="00B33AC5"/>
    <w:rsid w:val="00B5220F"/>
    <w:rsid w:val="00B57B56"/>
    <w:rsid w:val="00B64B2E"/>
    <w:rsid w:val="00B66384"/>
    <w:rsid w:val="00B74202"/>
    <w:rsid w:val="00B749BF"/>
    <w:rsid w:val="00B877FC"/>
    <w:rsid w:val="00B90882"/>
    <w:rsid w:val="00BB0367"/>
    <w:rsid w:val="00BB094F"/>
    <w:rsid w:val="00BB571E"/>
    <w:rsid w:val="00BC33B9"/>
    <w:rsid w:val="00C055CE"/>
    <w:rsid w:val="00C06E4C"/>
    <w:rsid w:val="00C1359E"/>
    <w:rsid w:val="00C21A42"/>
    <w:rsid w:val="00C27CC0"/>
    <w:rsid w:val="00C32B22"/>
    <w:rsid w:val="00C33BAB"/>
    <w:rsid w:val="00C33E4E"/>
    <w:rsid w:val="00C36469"/>
    <w:rsid w:val="00C41BC0"/>
    <w:rsid w:val="00C44212"/>
    <w:rsid w:val="00C469C3"/>
    <w:rsid w:val="00C5225F"/>
    <w:rsid w:val="00C55341"/>
    <w:rsid w:val="00C66CDF"/>
    <w:rsid w:val="00C706CD"/>
    <w:rsid w:val="00C70FD8"/>
    <w:rsid w:val="00C7529A"/>
    <w:rsid w:val="00C83840"/>
    <w:rsid w:val="00C87C6C"/>
    <w:rsid w:val="00C9361E"/>
    <w:rsid w:val="00C964F6"/>
    <w:rsid w:val="00CA0ED7"/>
    <w:rsid w:val="00CA1A12"/>
    <w:rsid w:val="00CA1C81"/>
    <w:rsid w:val="00CA2667"/>
    <w:rsid w:val="00CB2304"/>
    <w:rsid w:val="00CB5E0C"/>
    <w:rsid w:val="00CB68ED"/>
    <w:rsid w:val="00CD26E3"/>
    <w:rsid w:val="00CD7EFB"/>
    <w:rsid w:val="00CE3D30"/>
    <w:rsid w:val="00CE6D45"/>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51DC"/>
    <w:rsid w:val="00D40728"/>
    <w:rsid w:val="00D66857"/>
    <w:rsid w:val="00D70538"/>
    <w:rsid w:val="00D734CD"/>
    <w:rsid w:val="00D77953"/>
    <w:rsid w:val="00D80830"/>
    <w:rsid w:val="00D848CA"/>
    <w:rsid w:val="00D8669C"/>
    <w:rsid w:val="00D86915"/>
    <w:rsid w:val="00D9194D"/>
    <w:rsid w:val="00DA1B12"/>
    <w:rsid w:val="00DB5EB2"/>
    <w:rsid w:val="00DC64DC"/>
    <w:rsid w:val="00DD1441"/>
    <w:rsid w:val="00DE1377"/>
    <w:rsid w:val="00DE4169"/>
    <w:rsid w:val="00DE49C2"/>
    <w:rsid w:val="00DF0E46"/>
    <w:rsid w:val="00DF4C02"/>
    <w:rsid w:val="00E03B9B"/>
    <w:rsid w:val="00E12C6D"/>
    <w:rsid w:val="00E24CD2"/>
    <w:rsid w:val="00E26300"/>
    <w:rsid w:val="00E349EE"/>
    <w:rsid w:val="00E35064"/>
    <w:rsid w:val="00E35DB3"/>
    <w:rsid w:val="00E445C0"/>
    <w:rsid w:val="00E44630"/>
    <w:rsid w:val="00E522FE"/>
    <w:rsid w:val="00E65CE9"/>
    <w:rsid w:val="00E7036C"/>
    <w:rsid w:val="00E7085A"/>
    <w:rsid w:val="00E72A60"/>
    <w:rsid w:val="00E761AD"/>
    <w:rsid w:val="00E81162"/>
    <w:rsid w:val="00E822B6"/>
    <w:rsid w:val="00E871A3"/>
    <w:rsid w:val="00E9774C"/>
    <w:rsid w:val="00EA1F8B"/>
    <w:rsid w:val="00EA4C25"/>
    <w:rsid w:val="00EA742D"/>
    <w:rsid w:val="00EA7AAC"/>
    <w:rsid w:val="00EB2B86"/>
    <w:rsid w:val="00EB3273"/>
    <w:rsid w:val="00EB6375"/>
    <w:rsid w:val="00EB7AAA"/>
    <w:rsid w:val="00EC0690"/>
    <w:rsid w:val="00EC285D"/>
    <w:rsid w:val="00EC4002"/>
    <w:rsid w:val="00EC7CD0"/>
    <w:rsid w:val="00ED1739"/>
    <w:rsid w:val="00ED192F"/>
    <w:rsid w:val="00ED6B55"/>
    <w:rsid w:val="00ED7D16"/>
    <w:rsid w:val="00EE0F52"/>
    <w:rsid w:val="00EE6D3E"/>
    <w:rsid w:val="00EE7981"/>
    <w:rsid w:val="00EF2CE5"/>
    <w:rsid w:val="00EF31E0"/>
    <w:rsid w:val="00EF48D4"/>
    <w:rsid w:val="00F021C5"/>
    <w:rsid w:val="00F02BDF"/>
    <w:rsid w:val="00F122F3"/>
    <w:rsid w:val="00F145EE"/>
    <w:rsid w:val="00F14D1F"/>
    <w:rsid w:val="00F2005A"/>
    <w:rsid w:val="00F2039B"/>
    <w:rsid w:val="00F22505"/>
    <w:rsid w:val="00F26627"/>
    <w:rsid w:val="00F27072"/>
    <w:rsid w:val="00F306A7"/>
    <w:rsid w:val="00F44D62"/>
    <w:rsid w:val="00F44DF8"/>
    <w:rsid w:val="00F51CAB"/>
    <w:rsid w:val="00F56237"/>
    <w:rsid w:val="00F5709C"/>
    <w:rsid w:val="00F621D1"/>
    <w:rsid w:val="00F747D8"/>
    <w:rsid w:val="00F81867"/>
    <w:rsid w:val="00F83FF7"/>
    <w:rsid w:val="00F8406C"/>
    <w:rsid w:val="00F8712A"/>
    <w:rsid w:val="00F873FF"/>
    <w:rsid w:val="00F93EB7"/>
    <w:rsid w:val="00FA3D41"/>
    <w:rsid w:val="00FA647E"/>
    <w:rsid w:val="00FB04C0"/>
    <w:rsid w:val="00FC39B8"/>
    <w:rsid w:val="00FD26EC"/>
    <w:rsid w:val="00FD4DD1"/>
    <w:rsid w:val="00FD7895"/>
    <w:rsid w:val="00FE0C3D"/>
    <w:rsid w:val="00FE2C19"/>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hanna\AppData\Roaming\Microsoft\Excel\Book2%20(version%204).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ListServ</a:t>
            </a:r>
            <a:r>
              <a:rPr lang="en-US" baseline="0"/>
              <a:t> Post Trends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Sheet1!$A$1:$A$6</c:f>
              <c:strCache>
                <c:ptCount val="6"/>
                <c:pt idx="0">
                  <c:v>2021/10</c:v>
                </c:pt>
                <c:pt idx="1">
                  <c:v>2021/11</c:v>
                </c:pt>
                <c:pt idx="2">
                  <c:v>2021/12</c:v>
                </c:pt>
                <c:pt idx="3">
                  <c:v>2022/01</c:v>
                </c:pt>
                <c:pt idx="4">
                  <c:v>2022/02</c:v>
                </c:pt>
                <c:pt idx="5">
                  <c:v>2022/03</c:v>
                </c:pt>
              </c:strCache>
            </c:strRef>
          </c:cat>
          <c:val>
            <c:numRef>
              <c:f>Sheet1!$B$1:$B$6</c:f>
              <c:numCache>
                <c:formatCode>General</c:formatCode>
                <c:ptCount val="6"/>
                <c:pt idx="0">
                  <c:v>432</c:v>
                </c:pt>
                <c:pt idx="1">
                  <c:v>670</c:v>
                </c:pt>
                <c:pt idx="2">
                  <c:v>634</c:v>
                </c:pt>
                <c:pt idx="3">
                  <c:v>763</c:v>
                </c:pt>
                <c:pt idx="4">
                  <c:v>679</c:v>
                </c:pt>
                <c:pt idx="5">
                  <c:v>481</c:v>
                </c:pt>
              </c:numCache>
            </c:numRef>
          </c:val>
          <c:smooth val="0"/>
          <c:extLst>
            <c:ext xmlns:c16="http://schemas.microsoft.com/office/drawing/2014/chart" uri="{C3380CC4-5D6E-409C-BE32-E72D297353CC}">
              <c16:uniqueId val="{00000000-FBAF-4A8D-B533-D23EA4D0D70D}"/>
            </c:ext>
          </c:extLst>
        </c:ser>
        <c:dLbls>
          <c:dLblPos val="t"/>
          <c:showLegendKey val="0"/>
          <c:showVal val="1"/>
          <c:showCatName val="0"/>
          <c:showSerName val="0"/>
          <c:showPercent val="0"/>
          <c:showBubbleSize val="0"/>
        </c:dLbls>
        <c:smooth val="0"/>
        <c:axId val="1945083808"/>
        <c:axId val="1945085056"/>
      </c:lineChart>
      <c:catAx>
        <c:axId val="194508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5085056"/>
        <c:crosses val="autoZero"/>
        <c:auto val="1"/>
        <c:lblAlgn val="ctr"/>
        <c:lblOffset val="100"/>
        <c:noMultiLvlLbl val="0"/>
      </c:catAx>
      <c:valAx>
        <c:axId val="1945085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50838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3</cp:revision>
  <dcterms:created xsi:type="dcterms:W3CDTF">2022-05-02T20:08:00Z</dcterms:created>
  <dcterms:modified xsi:type="dcterms:W3CDTF">2022-05-04T19:20:00Z</dcterms:modified>
</cp:coreProperties>
</file>