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2F87A0B" w:rsidR="00C97625" w:rsidRDefault="00471A6A" w:rsidP="00D54DC7">
            <w:pPr>
              <w:pStyle w:val="Header"/>
            </w:pPr>
            <w:r>
              <w:t>P</w:t>
            </w:r>
            <w:r w:rsidR="00A85E93">
              <w:t>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281CD22" w:rsidR="00C97625" w:rsidRPr="00595DDC" w:rsidRDefault="003F6E7F" w:rsidP="003F6E7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3F6E7F">
                <w:rPr>
                  <w:rStyle w:val="Hyperlink"/>
                </w:rPr>
                <w:t>101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0D14ECE" w:rsidR="00C97625" w:rsidRDefault="00471A6A" w:rsidP="00D54DC7">
            <w:pPr>
              <w:pStyle w:val="Header"/>
            </w:pPr>
            <w:r>
              <w:t>P</w:t>
            </w:r>
            <w:r w:rsidR="00A85E93">
              <w:t>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B6CD682" w:rsidR="00C97625" w:rsidRPr="009F3D0E" w:rsidRDefault="00A85E93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3F6E7F">
              <w:t>1133</w:t>
            </w:r>
            <w:r>
              <w:t>, Clarify Responsibilities for Submission of Planning Model Data for DC Ties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4FA813F" w:rsidR="00FC0BDC" w:rsidRPr="009F3D0E" w:rsidRDefault="003F6E7F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6,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45D8CAC1" w:rsidR="00463ED4" w:rsidRPr="00511748" w:rsidRDefault="00463ED4" w:rsidP="00B0156D">
            <w:pPr>
              <w:pStyle w:val="NormalArial"/>
              <w:rPr>
                <w:sz w:val="22"/>
                <w:szCs w:val="22"/>
              </w:rPr>
            </w:pPr>
            <w:r w:rsidRPr="00485365">
              <w:rPr>
                <w:rFonts w:cs="Arial"/>
              </w:rPr>
              <w:t xml:space="preserve">No project required.  This </w:t>
            </w:r>
            <w:r>
              <w:t>Planning Guide Revision Request (PGRR)</w:t>
            </w:r>
            <w:r w:rsidRPr="00485365">
              <w:rPr>
                <w:rFonts w:cs="Arial"/>
              </w:rPr>
              <w:t xml:space="preserve"> can take effect following implementation of NPRR</w:t>
            </w:r>
            <w:r w:rsidR="003F6E7F">
              <w:rPr>
                <w:rFonts w:cs="Arial"/>
              </w:rPr>
              <w:t>1133</w:t>
            </w:r>
            <w:r w:rsidRPr="00485365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t>Clarify Responsibilities for Submission of Planning Model Data for DC Ties</w:t>
            </w:r>
            <w:r w:rsidRPr="00485365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45623817" w:rsidR="000A2646" w:rsidRPr="00A36BDB" w:rsidRDefault="00463ED4" w:rsidP="0088379F">
            <w:pPr>
              <w:pStyle w:val="NormalArial"/>
            </w:pPr>
            <w:r w:rsidRPr="00485365">
              <w:t xml:space="preserve">There are no additional impacts to this </w:t>
            </w:r>
            <w:r>
              <w:t>PGRR</w:t>
            </w:r>
            <w:r w:rsidRPr="00485365">
              <w:t xml:space="preserve"> beyond what was captured in the Impact Analysis for NPRR</w:t>
            </w:r>
            <w:r w:rsidR="003F6E7F">
              <w:t>1133</w:t>
            </w:r>
            <w:r w:rsidRPr="00485365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6406C02" w:rsidR="006B0C5E" w:rsidRDefault="003F6E7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101PGRR-02 Impact Analysis 050622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66024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3F6E7F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3ED4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85E93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F6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PGRR10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2022-05-06T20:59:00Z</dcterms:created>
  <dcterms:modified xsi:type="dcterms:W3CDTF">2022-05-06T21:02:00Z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