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8" w:type="dxa"/>
        <w:tblLook w:val="0000" w:firstRow="0" w:lastRow="0" w:firstColumn="0" w:lastColumn="0" w:noHBand="0" w:noVBand="0"/>
      </w:tblPr>
      <w:tblGrid>
        <w:gridCol w:w="1638"/>
        <w:gridCol w:w="7830"/>
      </w:tblGrid>
      <w:tr w:rsidR="0088605A" w:rsidRPr="00F47DEE" w14:paraId="2524E9D1" w14:textId="77777777" w:rsidTr="00A62562">
        <w:tc>
          <w:tcPr>
            <w:tcW w:w="1638" w:type="dxa"/>
          </w:tcPr>
          <w:p w14:paraId="4E5CD5ED" w14:textId="1732B52D" w:rsidR="0088605A" w:rsidRPr="00F47DEE" w:rsidRDefault="0088605A" w:rsidP="00040564">
            <w:pPr>
              <w:tabs>
                <w:tab w:val="left" w:pos="720"/>
                <w:tab w:val="left" w:pos="1080"/>
              </w:tabs>
              <w:rPr>
                <w:rFonts w:ascii="Arial" w:hAnsi="Arial" w:cs="Arial"/>
              </w:rPr>
            </w:pPr>
            <w:r w:rsidRPr="00F47DEE">
              <w:rPr>
                <w:rFonts w:ascii="Arial" w:hAnsi="Arial" w:cs="Arial"/>
                <w:b/>
                <w:bCs/>
              </w:rPr>
              <w:t>Date:</w:t>
            </w:r>
          </w:p>
        </w:tc>
        <w:tc>
          <w:tcPr>
            <w:tcW w:w="7830" w:type="dxa"/>
          </w:tcPr>
          <w:p w14:paraId="5A87C1DC" w14:textId="034B63E2" w:rsidR="007F1A85" w:rsidRPr="00F47DEE" w:rsidRDefault="0082339A" w:rsidP="00CF3582">
            <w:pPr>
              <w:tabs>
                <w:tab w:val="left" w:pos="720"/>
                <w:tab w:val="left" w:pos="1080"/>
                <w:tab w:val="left" w:pos="1725"/>
              </w:tabs>
              <w:rPr>
                <w:rFonts w:ascii="Arial" w:hAnsi="Arial" w:cs="Arial"/>
              </w:rPr>
            </w:pPr>
            <w:r>
              <w:rPr>
                <w:rFonts w:ascii="Arial" w:hAnsi="Arial" w:cs="Arial"/>
              </w:rPr>
              <w:t>April 21, 2022</w:t>
            </w:r>
          </w:p>
        </w:tc>
      </w:tr>
      <w:tr w:rsidR="0088605A" w:rsidRPr="00F47DEE" w14:paraId="7F7A9006" w14:textId="77777777" w:rsidTr="00A62562">
        <w:tc>
          <w:tcPr>
            <w:tcW w:w="1638" w:type="dxa"/>
          </w:tcPr>
          <w:p w14:paraId="142AC90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To:</w:t>
            </w:r>
          </w:p>
        </w:tc>
        <w:tc>
          <w:tcPr>
            <w:tcW w:w="7830" w:type="dxa"/>
          </w:tcPr>
          <w:p w14:paraId="486FAE32" w14:textId="77777777" w:rsidR="0088605A" w:rsidRPr="00F47DEE" w:rsidRDefault="009B6044" w:rsidP="00040564">
            <w:pPr>
              <w:tabs>
                <w:tab w:val="left" w:pos="720"/>
                <w:tab w:val="left" w:pos="1080"/>
              </w:tabs>
              <w:rPr>
                <w:rFonts w:ascii="Arial" w:hAnsi="Arial" w:cs="Arial"/>
              </w:rPr>
            </w:pPr>
            <w:r w:rsidRPr="00F47DEE">
              <w:rPr>
                <w:rFonts w:ascii="Arial" w:hAnsi="Arial" w:cs="Arial"/>
              </w:rPr>
              <w:t>Board of Directors</w:t>
            </w:r>
          </w:p>
        </w:tc>
      </w:tr>
      <w:tr w:rsidR="0088605A" w:rsidRPr="00F47DEE" w14:paraId="02651EF8" w14:textId="77777777" w:rsidTr="00A62562">
        <w:tc>
          <w:tcPr>
            <w:tcW w:w="1638" w:type="dxa"/>
          </w:tcPr>
          <w:p w14:paraId="1BF42A8C"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From:</w:t>
            </w:r>
          </w:p>
        </w:tc>
        <w:tc>
          <w:tcPr>
            <w:tcW w:w="7830" w:type="dxa"/>
          </w:tcPr>
          <w:p w14:paraId="0110F3C9" w14:textId="74FB8B30" w:rsidR="0088605A" w:rsidRPr="00F47DEE" w:rsidRDefault="00194488" w:rsidP="005F3826">
            <w:pPr>
              <w:tabs>
                <w:tab w:val="left" w:pos="720"/>
                <w:tab w:val="left" w:pos="1080"/>
              </w:tabs>
              <w:rPr>
                <w:rFonts w:ascii="Arial" w:hAnsi="Arial" w:cs="Arial"/>
              </w:rPr>
            </w:pPr>
            <w:r>
              <w:rPr>
                <w:rFonts w:ascii="Arial" w:hAnsi="Arial" w:cs="Arial"/>
              </w:rPr>
              <w:t>Clif Lange</w:t>
            </w:r>
            <w:r w:rsidR="00167741" w:rsidRPr="00F47DEE">
              <w:rPr>
                <w:rFonts w:ascii="Arial" w:hAnsi="Arial" w:cs="Arial"/>
              </w:rPr>
              <w:t>, Technical Advisory Committee (TAC) Chair</w:t>
            </w:r>
          </w:p>
        </w:tc>
      </w:tr>
      <w:tr w:rsidR="0088605A" w:rsidRPr="00F47DEE" w14:paraId="483AF724" w14:textId="77777777" w:rsidTr="00A62562">
        <w:tc>
          <w:tcPr>
            <w:tcW w:w="1638" w:type="dxa"/>
          </w:tcPr>
          <w:p w14:paraId="7C61C55E"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Subject:</w:t>
            </w:r>
            <w:r w:rsidRPr="00F47DEE">
              <w:rPr>
                <w:rFonts w:ascii="Arial" w:hAnsi="Arial" w:cs="Arial"/>
                <w:b/>
                <w:bCs/>
              </w:rPr>
              <w:tab/>
            </w:r>
          </w:p>
        </w:tc>
        <w:tc>
          <w:tcPr>
            <w:tcW w:w="7830" w:type="dxa"/>
          </w:tcPr>
          <w:p w14:paraId="4DDD921B" w14:textId="77777777" w:rsidR="0088605A" w:rsidRPr="00F47DEE" w:rsidRDefault="00A007C5" w:rsidP="00A97F2B">
            <w:pPr>
              <w:tabs>
                <w:tab w:val="left" w:pos="720"/>
                <w:tab w:val="left" w:pos="1080"/>
              </w:tabs>
              <w:rPr>
                <w:rFonts w:ascii="Arial" w:hAnsi="Arial" w:cs="Arial"/>
              </w:rPr>
            </w:pPr>
            <w:r w:rsidRPr="00F47DEE">
              <w:rPr>
                <w:rFonts w:ascii="Arial" w:hAnsi="Arial" w:cs="Arial"/>
              </w:rPr>
              <w:t xml:space="preserve">Unopposed </w:t>
            </w:r>
            <w:r w:rsidR="00A97F2B" w:rsidRPr="00F47DEE">
              <w:rPr>
                <w:rFonts w:ascii="Arial" w:hAnsi="Arial" w:cs="Arial"/>
              </w:rPr>
              <w:t xml:space="preserve">Revision Requests </w:t>
            </w:r>
            <w:r w:rsidRPr="00F47DEE">
              <w:rPr>
                <w:rFonts w:ascii="Arial" w:hAnsi="Arial" w:cs="Arial"/>
              </w:rPr>
              <w:t>Recommended by TAC for Approval</w:t>
            </w:r>
          </w:p>
        </w:tc>
      </w:tr>
    </w:tbl>
    <w:p w14:paraId="1927F80C" w14:textId="77777777" w:rsidR="007D620B" w:rsidRPr="00F47DEE" w:rsidRDefault="007D620B" w:rsidP="00A62562">
      <w:pPr>
        <w:rPr>
          <w:rFonts w:ascii="Arial" w:hAnsi="Arial" w:cs="Arial"/>
          <w:color w:val="5B6770"/>
        </w:rPr>
      </w:pPr>
    </w:p>
    <w:p w14:paraId="2D63A147" w14:textId="77777777" w:rsidR="007D620B" w:rsidRPr="00F47DEE" w:rsidRDefault="007D620B" w:rsidP="00A62562">
      <w:pPr>
        <w:pStyle w:val="Heading2"/>
        <w:keepNext w:val="0"/>
        <w:rPr>
          <w:rFonts w:ascii="Arial" w:hAnsi="Arial" w:cs="Arial"/>
          <w:u w:val="single"/>
        </w:rPr>
      </w:pPr>
      <w:r w:rsidRPr="00F47DEE">
        <w:rPr>
          <w:rFonts w:ascii="Arial" w:hAnsi="Arial" w:cs="Arial"/>
          <w:u w:val="single"/>
        </w:rPr>
        <w:t>Issue for the ERCOT Board of Directors</w:t>
      </w:r>
    </w:p>
    <w:p w14:paraId="622EEE1E" w14:textId="77777777" w:rsidR="007D620B" w:rsidRPr="00F47DEE" w:rsidRDefault="007D620B" w:rsidP="00A62562">
      <w:pPr>
        <w:pStyle w:val="BulletIndent"/>
        <w:rPr>
          <w:rFonts w:ascii="Arial" w:hAnsi="Arial" w:cs="Arial"/>
          <w:szCs w:val="24"/>
        </w:rPr>
      </w:pPr>
    </w:p>
    <w:tbl>
      <w:tblPr>
        <w:tblW w:w="0" w:type="auto"/>
        <w:tblLook w:val="0000" w:firstRow="0" w:lastRow="0" w:firstColumn="0" w:lastColumn="0" w:noHBand="0" w:noVBand="0"/>
      </w:tblPr>
      <w:tblGrid>
        <w:gridCol w:w="9360"/>
      </w:tblGrid>
      <w:tr w:rsidR="007D620B" w:rsidRPr="00F47DEE" w14:paraId="79A45EE6" w14:textId="77777777">
        <w:trPr>
          <w:trHeight w:val="540"/>
        </w:trPr>
        <w:tc>
          <w:tcPr>
            <w:tcW w:w="9468" w:type="dxa"/>
            <w:tcBorders>
              <w:bottom w:val="nil"/>
            </w:tcBorders>
          </w:tcPr>
          <w:p w14:paraId="15F5457C" w14:textId="3513F8CC" w:rsidR="005C33DD" w:rsidRPr="00F47DEE" w:rsidRDefault="007D620B" w:rsidP="005C33DD">
            <w:pPr>
              <w:pStyle w:val="BulletIndent"/>
              <w:rPr>
                <w:rFonts w:ascii="Arial" w:hAnsi="Arial" w:cs="Arial"/>
                <w:bCs/>
                <w:szCs w:val="24"/>
              </w:rPr>
            </w:pPr>
            <w:r w:rsidRPr="00F47DEE">
              <w:rPr>
                <w:rFonts w:ascii="Arial" w:hAnsi="Arial" w:cs="Arial"/>
                <w:b/>
                <w:bCs/>
                <w:szCs w:val="24"/>
                <w:u w:val="single"/>
              </w:rPr>
              <w:t>ERCOT Board of Director</w:t>
            </w:r>
            <w:r w:rsidR="00B6361B" w:rsidRPr="00F47DEE">
              <w:rPr>
                <w:rFonts w:ascii="Arial" w:hAnsi="Arial" w:cs="Arial"/>
                <w:b/>
                <w:bCs/>
                <w:szCs w:val="24"/>
                <w:u w:val="single"/>
              </w:rPr>
              <w:t>s</w:t>
            </w:r>
            <w:r w:rsidRPr="00F47DEE">
              <w:rPr>
                <w:rFonts w:ascii="Arial" w:hAnsi="Arial" w:cs="Arial"/>
                <w:b/>
                <w:bCs/>
                <w:szCs w:val="24"/>
                <w:u w:val="single"/>
              </w:rPr>
              <w:t xml:space="preserve"> Meeting Date:</w:t>
            </w:r>
            <w:r w:rsidR="005C33DD" w:rsidRPr="005C33DD">
              <w:rPr>
                <w:rFonts w:ascii="Arial" w:hAnsi="Arial" w:cs="Arial"/>
                <w:b/>
                <w:bCs/>
                <w:szCs w:val="24"/>
              </w:rPr>
              <w:t xml:space="preserve">  </w:t>
            </w:r>
            <w:r w:rsidR="0082339A">
              <w:rPr>
                <w:rFonts w:ascii="Arial" w:hAnsi="Arial" w:cs="Arial"/>
                <w:bCs/>
                <w:szCs w:val="24"/>
              </w:rPr>
              <w:t>April 28, 2022</w:t>
            </w:r>
          </w:p>
          <w:p w14:paraId="54AFDC54" w14:textId="4E019FCD" w:rsidR="007D620B" w:rsidRPr="00F47DEE" w:rsidRDefault="00731C50" w:rsidP="00991CD6">
            <w:pPr>
              <w:pStyle w:val="BulletIndent"/>
              <w:rPr>
                <w:rFonts w:ascii="Arial" w:hAnsi="Arial" w:cs="Arial"/>
                <w:b/>
                <w:szCs w:val="24"/>
              </w:rPr>
            </w:pPr>
            <w:r w:rsidRPr="00F47DEE">
              <w:rPr>
                <w:rFonts w:ascii="Arial" w:hAnsi="Arial" w:cs="Arial"/>
                <w:b/>
                <w:bCs/>
                <w:szCs w:val="24"/>
                <w:u w:val="single"/>
              </w:rPr>
              <w:t>Item</w:t>
            </w:r>
            <w:r w:rsidR="00A62562" w:rsidRPr="00F47DEE">
              <w:rPr>
                <w:rFonts w:ascii="Arial" w:hAnsi="Arial" w:cs="Arial"/>
                <w:b/>
                <w:bCs/>
                <w:szCs w:val="24"/>
                <w:u w:val="single"/>
              </w:rPr>
              <w:t xml:space="preserve"> </w:t>
            </w:r>
            <w:r w:rsidR="007D620B" w:rsidRPr="00F47DEE">
              <w:rPr>
                <w:rFonts w:ascii="Arial" w:hAnsi="Arial" w:cs="Arial"/>
                <w:b/>
                <w:bCs/>
                <w:szCs w:val="24"/>
                <w:u w:val="single"/>
              </w:rPr>
              <w:t>No.:</w:t>
            </w:r>
            <w:r w:rsidR="007D620B" w:rsidRPr="00F47DEE">
              <w:rPr>
                <w:rFonts w:ascii="Arial" w:hAnsi="Arial" w:cs="Arial"/>
                <w:bCs/>
                <w:szCs w:val="24"/>
              </w:rPr>
              <w:t xml:space="preserve"> </w:t>
            </w:r>
            <w:r w:rsidR="005D4550">
              <w:rPr>
                <w:rFonts w:ascii="Arial" w:hAnsi="Arial" w:cs="Arial"/>
                <w:bCs/>
                <w:szCs w:val="24"/>
              </w:rPr>
              <w:t>6.1</w:t>
            </w:r>
          </w:p>
        </w:tc>
      </w:tr>
    </w:tbl>
    <w:p w14:paraId="31D99C56" w14:textId="77777777" w:rsidR="007D620B" w:rsidRPr="00F47DEE" w:rsidRDefault="007D620B" w:rsidP="00A62562">
      <w:pPr>
        <w:jc w:val="both"/>
        <w:rPr>
          <w:rFonts w:ascii="Arial" w:hAnsi="Arial" w:cs="Arial"/>
          <w:u w:val="single"/>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50"/>
      </w:tblGrid>
      <w:tr w:rsidR="007D620B" w:rsidRPr="00F47DEE" w14:paraId="204B0A7F" w14:textId="77777777" w:rsidTr="00E35440">
        <w:trPr>
          <w:trHeight w:val="214"/>
        </w:trPr>
        <w:tc>
          <w:tcPr>
            <w:tcW w:w="5000" w:type="pct"/>
            <w:tcBorders>
              <w:top w:val="single" w:sz="4" w:space="0" w:color="auto"/>
              <w:bottom w:val="single" w:sz="4" w:space="0" w:color="auto"/>
            </w:tcBorders>
          </w:tcPr>
          <w:p w14:paraId="044F4F9C" w14:textId="27C8EF37" w:rsidR="007D620B" w:rsidRPr="00F47DEE" w:rsidRDefault="007D620B" w:rsidP="00A62562">
            <w:pPr>
              <w:pStyle w:val="Heading5"/>
              <w:keepNext w:val="0"/>
              <w:jc w:val="both"/>
              <w:rPr>
                <w:rFonts w:ascii="Arial" w:hAnsi="Arial" w:cs="Arial"/>
                <w:b/>
                <w:bCs/>
              </w:rPr>
            </w:pPr>
            <w:bookmarkStart w:id="0" w:name="_Hlk89092089"/>
            <w:r w:rsidRPr="00F47DEE">
              <w:rPr>
                <w:rFonts w:ascii="Arial" w:hAnsi="Arial" w:cs="Arial"/>
                <w:b/>
                <w:bCs/>
              </w:rPr>
              <w:t>Issue:</w:t>
            </w:r>
          </w:p>
          <w:p w14:paraId="71ADC845" w14:textId="2107117F" w:rsidR="009C6BA6" w:rsidRPr="00F47DEE" w:rsidRDefault="009C6BA6" w:rsidP="009C6BA6">
            <w:pPr>
              <w:pStyle w:val="Heading5"/>
              <w:keepNext w:val="0"/>
              <w:jc w:val="both"/>
              <w:rPr>
                <w:rFonts w:ascii="Arial" w:hAnsi="Arial" w:cs="Arial"/>
                <w:bCs/>
                <w:u w:val="none"/>
              </w:rPr>
            </w:pPr>
            <w:bookmarkStart w:id="1" w:name="_Hlk89194259"/>
            <w:r w:rsidRPr="00F47DEE">
              <w:rPr>
                <w:rFonts w:ascii="Arial" w:hAnsi="Arial" w:cs="Arial"/>
                <w:bCs/>
                <w:u w:val="none"/>
              </w:rPr>
              <w:t xml:space="preserve">Consideration of the following </w:t>
            </w:r>
            <w:r w:rsidR="00EA565D">
              <w:rPr>
                <w:rFonts w:ascii="Arial" w:hAnsi="Arial" w:cs="Arial"/>
                <w:bCs/>
                <w:u w:val="none"/>
              </w:rPr>
              <w:t>Revision Requests</w:t>
            </w:r>
            <w:r w:rsidR="00381767">
              <w:rPr>
                <w:rFonts w:ascii="Arial" w:hAnsi="Arial" w:cs="Arial"/>
                <w:bCs/>
                <w:u w:val="none"/>
              </w:rPr>
              <w:t>:</w:t>
            </w:r>
            <w:r w:rsidR="00EA565D">
              <w:rPr>
                <w:rFonts w:ascii="Arial" w:hAnsi="Arial" w:cs="Arial"/>
                <w:bCs/>
                <w:u w:val="none"/>
              </w:rPr>
              <w:t xml:space="preserve"> </w:t>
            </w:r>
            <w:r w:rsidR="00657622">
              <w:rPr>
                <w:rFonts w:ascii="Arial" w:hAnsi="Arial" w:cs="Arial"/>
                <w:bCs/>
                <w:u w:val="none"/>
              </w:rPr>
              <w:t xml:space="preserve">Nodal Protocol Revision Requests (NPRRs), </w:t>
            </w:r>
            <w:r w:rsidR="00C20BD4">
              <w:rPr>
                <w:rFonts w:ascii="Arial" w:hAnsi="Arial" w:cs="Arial"/>
                <w:bCs/>
                <w:u w:val="none"/>
              </w:rPr>
              <w:t xml:space="preserve">Planning </w:t>
            </w:r>
            <w:r w:rsidR="00562777">
              <w:rPr>
                <w:rFonts w:ascii="Arial" w:hAnsi="Arial" w:cs="Arial"/>
                <w:u w:val="none"/>
              </w:rPr>
              <w:t>Guide Revision Request (PGRR</w:t>
            </w:r>
            <w:r w:rsidR="00C20BD4">
              <w:rPr>
                <w:rFonts w:ascii="Arial" w:hAnsi="Arial" w:cs="Arial"/>
                <w:u w:val="none"/>
              </w:rPr>
              <w:t>s</w:t>
            </w:r>
            <w:r w:rsidR="00506673">
              <w:rPr>
                <w:rFonts w:ascii="Arial" w:hAnsi="Arial" w:cs="Arial"/>
                <w:u w:val="none"/>
              </w:rPr>
              <w:t>)</w:t>
            </w:r>
            <w:r w:rsidR="00562777">
              <w:rPr>
                <w:rFonts w:ascii="Arial" w:hAnsi="Arial" w:cs="Arial"/>
                <w:u w:val="none"/>
              </w:rPr>
              <w:t>,</w:t>
            </w:r>
            <w:r w:rsidR="00C36B43">
              <w:rPr>
                <w:rFonts w:ascii="Arial" w:hAnsi="Arial" w:cs="Arial"/>
                <w:u w:val="none"/>
              </w:rPr>
              <w:t xml:space="preserve"> </w:t>
            </w:r>
            <w:r w:rsidR="005373F5">
              <w:rPr>
                <w:rFonts w:ascii="Arial" w:hAnsi="Arial" w:cs="Arial"/>
                <w:u w:val="none"/>
              </w:rPr>
              <w:t xml:space="preserve">and </w:t>
            </w:r>
            <w:r w:rsidR="00C979C4">
              <w:rPr>
                <w:rFonts w:ascii="Arial" w:hAnsi="Arial" w:cs="Arial"/>
                <w:u w:val="none"/>
              </w:rPr>
              <w:t xml:space="preserve">Settlement Metering Operating Guide Revision Request (SMOGRR) </w:t>
            </w:r>
            <w:r w:rsidRPr="00F47DEE">
              <w:rPr>
                <w:rFonts w:ascii="Arial" w:hAnsi="Arial" w:cs="Arial"/>
                <w:bCs/>
                <w:u w:val="none"/>
              </w:rPr>
              <w:t>recommended for approval by TAC (with no opposing votes recorded):</w:t>
            </w:r>
          </w:p>
          <w:bookmarkEnd w:id="1"/>
          <w:p w14:paraId="42EE5A5C" w14:textId="0AB4B9DD" w:rsidR="00712841" w:rsidRDefault="00C20BD4" w:rsidP="00EC5658">
            <w:pPr>
              <w:numPr>
                <w:ilvl w:val="0"/>
                <w:numId w:val="2"/>
              </w:numPr>
              <w:rPr>
                <w:rFonts w:ascii="Arial" w:hAnsi="Arial" w:cs="Arial"/>
              </w:rPr>
            </w:pPr>
            <w:r w:rsidRPr="00C20BD4">
              <w:rPr>
                <w:rFonts w:ascii="Arial" w:hAnsi="Arial" w:cs="Arial"/>
              </w:rPr>
              <w:t>NPRR1116, Remove Obsolete Reference to Market Information System (MIS)</w:t>
            </w:r>
            <w:r w:rsidR="00AC3E9F">
              <w:rPr>
                <w:rFonts w:ascii="Arial" w:hAnsi="Arial" w:cs="Arial"/>
              </w:rPr>
              <w:t>;</w:t>
            </w:r>
          </w:p>
          <w:p w14:paraId="0BC3A936" w14:textId="40484E0F" w:rsidR="00C20BD4" w:rsidRDefault="00C20BD4" w:rsidP="00EC5658">
            <w:pPr>
              <w:numPr>
                <w:ilvl w:val="0"/>
                <w:numId w:val="2"/>
              </w:numPr>
              <w:rPr>
                <w:rFonts w:ascii="Arial" w:hAnsi="Arial" w:cs="Arial"/>
              </w:rPr>
            </w:pPr>
            <w:r w:rsidRPr="00C20BD4">
              <w:rPr>
                <w:rFonts w:ascii="Arial" w:hAnsi="Arial" w:cs="Arial"/>
              </w:rPr>
              <w:t>NPRR1117, Related to SMOGRR025, Modifications to Line Loss Compensation Requirement for EPS Metering</w:t>
            </w:r>
            <w:r w:rsidR="00AC3E9F">
              <w:rPr>
                <w:rFonts w:ascii="Arial" w:hAnsi="Arial" w:cs="Arial"/>
              </w:rPr>
              <w:t>;</w:t>
            </w:r>
          </w:p>
          <w:p w14:paraId="553372BC" w14:textId="59D2666B" w:rsidR="00C20BD4" w:rsidRDefault="00C20BD4" w:rsidP="00EC5658">
            <w:pPr>
              <w:numPr>
                <w:ilvl w:val="0"/>
                <w:numId w:val="2"/>
              </w:numPr>
              <w:rPr>
                <w:rFonts w:ascii="Arial" w:hAnsi="Arial" w:cs="Arial"/>
              </w:rPr>
            </w:pPr>
            <w:r w:rsidRPr="00C20BD4">
              <w:rPr>
                <w:rFonts w:ascii="Arial" w:hAnsi="Arial" w:cs="Arial"/>
              </w:rPr>
              <w:t>NPRR1122, Clarifications for PURA Subchapter M Securitization Default Charges</w:t>
            </w:r>
            <w:r w:rsidR="00535DB0">
              <w:rPr>
                <w:rFonts w:ascii="Arial" w:hAnsi="Arial" w:cs="Arial"/>
              </w:rPr>
              <w:t xml:space="preserve"> – URGENT</w:t>
            </w:r>
            <w:r w:rsidR="00AC3E9F">
              <w:rPr>
                <w:rFonts w:ascii="Arial" w:hAnsi="Arial" w:cs="Arial"/>
              </w:rPr>
              <w:t>;</w:t>
            </w:r>
          </w:p>
          <w:p w14:paraId="616DFAD3" w14:textId="5FE36447" w:rsidR="00C20BD4" w:rsidRDefault="00C20BD4" w:rsidP="00EC5658">
            <w:pPr>
              <w:numPr>
                <w:ilvl w:val="0"/>
                <w:numId w:val="2"/>
              </w:numPr>
              <w:rPr>
                <w:rFonts w:ascii="Arial" w:hAnsi="Arial" w:cs="Arial"/>
              </w:rPr>
            </w:pPr>
            <w:r w:rsidRPr="00C20BD4">
              <w:rPr>
                <w:rFonts w:ascii="Arial" w:hAnsi="Arial" w:cs="Arial"/>
              </w:rPr>
              <w:t>NPRR1123, Clarifications for PURA Subchapter N Securitization Uplift Charges</w:t>
            </w:r>
            <w:r w:rsidR="00535DB0">
              <w:rPr>
                <w:rFonts w:ascii="Arial" w:hAnsi="Arial" w:cs="Arial"/>
              </w:rPr>
              <w:t xml:space="preserve"> – URGENT</w:t>
            </w:r>
            <w:r w:rsidR="00AC3E9F">
              <w:rPr>
                <w:rFonts w:ascii="Arial" w:hAnsi="Arial" w:cs="Arial"/>
              </w:rPr>
              <w:t>;</w:t>
            </w:r>
          </w:p>
          <w:p w14:paraId="53AE05BF" w14:textId="76153FF4" w:rsidR="00C20BD4" w:rsidRDefault="00C20BD4" w:rsidP="00EC5658">
            <w:pPr>
              <w:numPr>
                <w:ilvl w:val="0"/>
                <w:numId w:val="2"/>
              </w:numPr>
              <w:rPr>
                <w:rFonts w:ascii="Arial" w:hAnsi="Arial" w:cs="Arial"/>
              </w:rPr>
            </w:pPr>
            <w:r w:rsidRPr="00C20BD4">
              <w:rPr>
                <w:rFonts w:ascii="Arial" w:hAnsi="Arial" w:cs="Arial"/>
              </w:rPr>
              <w:t>NPRR1125, Use of Financial Security for Securitization Default Charge and Securitization Uplift Charge Invoices and Escrow Deposit Requests</w:t>
            </w:r>
            <w:r w:rsidR="00535DB0">
              <w:rPr>
                <w:rFonts w:ascii="Arial" w:hAnsi="Arial" w:cs="Arial"/>
              </w:rPr>
              <w:t xml:space="preserve"> – URGENT;</w:t>
            </w:r>
          </w:p>
          <w:p w14:paraId="2CF81A2E" w14:textId="5C347121" w:rsidR="00C20BD4" w:rsidRPr="00C20BD4" w:rsidRDefault="00C20BD4" w:rsidP="00C20BD4">
            <w:pPr>
              <w:pStyle w:val="ListParagraph"/>
              <w:numPr>
                <w:ilvl w:val="0"/>
                <w:numId w:val="2"/>
              </w:numPr>
              <w:rPr>
                <w:rFonts w:ascii="Arial" w:hAnsi="Arial" w:cs="Arial"/>
              </w:rPr>
            </w:pPr>
            <w:r w:rsidRPr="00C20BD4">
              <w:rPr>
                <w:rFonts w:ascii="Arial" w:hAnsi="Arial" w:cs="Arial"/>
              </w:rPr>
              <w:t>PGRR096, Achieve Consistent Representation of Distributed Generation in Steady-State Models</w:t>
            </w:r>
            <w:r w:rsidR="00535DB0">
              <w:rPr>
                <w:rFonts w:ascii="Arial" w:hAnsi="Arial" w:cs="Arial"/>
              </w:rPr>
              <w:t>;</w:t>
            </w:r>
            <w:r w:rsidR="00DD624D">
              <w:rPr>
                <w:rFonts w:ascii="Arial" w:hAnsi="Arial" w:cs="Arial"/>
              </w:rPr>
              <w:t xml:space="preserve"> and</w:t>
            </w:r>
          </w:p>
          <w:p w14:paraId="7988E7E1" w14:textId="745E25CF" w:rsidR="00C20BD4" w:rsidRPr="00C20BD4" w:rsidRDefault="00C20BD4" w:rsidP="00C20BD4">
            <w:pPr>
              <w:pStyle w:val="ListParagraph"/>
              <w:numPr>
                <w:ilvl w:val="0"/>
                <w:numId w:val="2"/>
              </w:numPr>
              <w:rPr>
                <w:rFonts w:ascii="Arial" w:hAnsi="Arial" w:cs="Arial"/>
              </w:rPr>
            </w:pPr>
            <w:r w:rsidRPr="00C20BD4">
              <w:rPr>
                <w:rFonts w:ascii="Arial" w:hAnsi="Arial" w:cs="Arial"/>
              </w:rPr>
              <w:t>PGRR098, Consideration of Load Shed in Transmission Planning Criteria</w:t>
            </w:r>
            <w:r w:rsidR="00535DB0">
              <w:rPr>
                <w:rFonts w:ascii="Arial" w:hAnsi="Arial" w:cs="Arial"/>
              </w:rPr>
              <w:t>; and</w:t>
            </w:r>
          </w:p>
          <w:p w14:paraId="3C430984" w14:textId="77777777" w:rsidR="00C20BD4" w:rsidRDefault="00C20BD4" w:rsidP="00C20BD4">
            <w:pPr>
              <w:pStyle w:val="ListParagraph"/>
              <w:numPr>
                <w:ilvl w:val="0"/>
                <w:numId w:val="2"/>
              </w:numPr>
              <w:rPr>
                <w:rFonts w:ascii="Arial" w:hAnsi="Arial" w:cs="Arial"/>
              </w:rPr>
            </w:pPr>
            <w:r w:rsidRPr="00C20BD4">
              <w:rPr>
                <w:rFonts w:ascii="Arial" w:hAnsi="Arial" w:cs="Arial"/>
              </w:rPr>
              <w:t>SMOGRR025, Modifications to Line Loss Compensation Requirement for EPS Metering</w:t>
            </w:r>
            <w:r w:rsidR="00DD624D">
              <w:rPr>
                <w:rFonts w:ascii="Arial" w:hAnsi="Arial" w:cs="Arial"/>
              </w:rPr>
              <w:t>.</w:t>
            </w:r>
          </w:p>
          <w:p w14:paraId="4E760282" w14:textId="00259147" w:rsidR="00DD624D" w:rsidRPr="008851B6" w:rsidRDefault="00DD624D" w:rsidP="008851B6">
            <w:pPr>
              <w:rPr>
                <w:rFonts w:ascii="Arial" w:hAnsi="Arial" w:cs="Arial"/>
              </w:rPr>
            </w:pPr>
          </w:p>
        </w:tc>
      </w:tr>
      <w:bookmarkEnd w:id="0"/>
      <w:tr w:rsidR="007D620B" w:rsidRPr="00F47DEE" w14:paraId="1F67C06C" w14:textId="77777777" w:rsidTr="00E35440">
        <w:trPr>
          <w:trHeight w:val="214"/>
        </w:trPr>
        <w:tc>
          <w:tcPr>
            <w:tcW w:w="5000" w:type="pct"/>
            <w:tcBorders>
              <w:top w:val="single" w:sz="4" w:space="0" w:color="auto"/>
              <w:bottom w:val="single" w:sz="4" w:space="0" w:color="auto"/>
            </w:tcBorders>
          </w:tcPr>
          <w:p w14:paraId="79DE78BC" w14:textId="44F9AE12" w:rsidR="007D620B" w:rsidRPr="00F47DEE" w:rsidRDefault="007D620B" w:rsidP="004231C4">
            <w:pPr>
              <w:pStyle w:val="Heading5"/>
              <w:keepNext w:val="0"/>
              <w:jc w:val="both"/>
              <w:rPr>
                <w:rFonts w:ascii="Arial" w:hAnsi="Arial" w:cs="Arial"/>
                <w:b/>
                <w:bCs/>
              </w:rPr>
            </w:pPr>
            <w:r w:rsidRPr="00F47DEE">
              <w:rPr>
                <w:rFonts w:ascii="Arial" w:hAnsi="Arial" w:cs="Arial"/>
                <w:b/>
                <w:bCs/>
              </w:rPr>
              <w:t>Background/History:</w:t>
            </w:r>
          </w:p>
          <w:p w14:paraId="5B9CF010" w14:textId="106A8DFB" w:rsidR="006720B6" w:rsidRDefault="00167741">
            <w:pPr>
              <w:jc w:val="both"/>
              <w:rPr>
                <w:rFonts w:ascii="Arial" w:hAnsi="Arial" w:cs="Arial"/>
                <w:b/>
                <w:bCs/>
              </w:rPr>
            </w:pPr>
            <w:r w:rsidRPr="00F47DEE">
              <w:rPr>
                <w:rFonts w:ascii="Arial" w:hAnsi="Arial" w:cs="Arial"/>
                <w:b/>
                <w:bCs/>
              </w:rPr>
              <w:t>Unless otherwise noted: (i) all Market Segment</w:t>
            </w:r>
            <w:r w:rsidR="00840278">
              <w:rPr>
                <w:rFonts w:ascii="Arial" w:hAnsi="Arial" w:cs="Arial"/>
                <w:b/>
                <w:bCs/>
              </w:rPr>
              <w:t xml:space="preserve">s </w:t>
            </w:r>
            <w:r w:rsidR="007F1A85">
              <w:rPr>
                <w:rFonts w:ascii="Arial" w:hAnsi="Arial" w:cs="Arial"/>
                <w:b/>
                <w:bCs/>
              </w:rPr>
              <w:t>participated</w:t>
            </w:r>
            <w:r w:rsidR="00177EE8">
              <w:rPr>
                <w:rFonts w:ascii="Arial" w:hAnsi="Arial" w:cs="Arial"/>
                <w:b/>
                <w:bCs/>
              </w:rPr>
              <w:t xml:space="preserve"> in</w:t>
            </w:r>
            <w:r w:rsidR="00840278">
              <w:rPr>
                <w:rFonts w:ascii="Arial" w:hAnsi="Arial" w:cs="Arial"/>
                <w:b/>
                <w:bCs/>
              </w:rPr>
              <w:t xml:space="preserve"> each vote;</w:t>
            </w:r>
            <w:r w:rsidRPr="00F47DEE">
              <w:rPr>
                <w:rFonts w:ascii="Arial" w:hAnsi="Arial" w:cs="Arial"/>
                <w:b/>
                <w:bCs/>
              </w:rPr>
              <w:t xml:space="preserve"> (ii) </w:t>
            </w:r>
            <w:r w:rsidR="00ED1822">
              <w:rPr>
                <w:rFonts w:ascii="Arial" w:hAnsi="Arial" w:cs="Arial"/>
                <w:b/>
                <w:bCs/>
              </w:rPr>
              <w:t xml:space="preserve">For NPRRs, </w:t>
            </w:r>
            <w:r w:rsidRPr="00F47DEE">
              <w:rPr>
                <w:rFonts w:ascii="Arial" w:hAnsi="Arial" w:cs="Arial"/>
                <w:b/>
                <w:bCs/>
              </w:rPr>
              <w:t xml:space="preserve">ERCOT Credit Staff and the Credit Work Group (Credit WG) have reviewed the </w:t>
            </w:r>
            <w:r w:rsidR="00ED1822">
              <w:rPr>
                <w:rFonts w:ascii="Arial" w:hAnsi="Arial" w:cs="Arial"/>
                <w:b/>
                <w:bCs/>
              </w:rPr>
              <w:t>NPRR</w:t>
            </w:r>
            <w:r w:rsidRPr="00F47DEE">
              <w:rPr>
                <w:rFonts w:ascii="Arial" w:hAnsi="Arial" w:cs="Arial"/>
                <w:b/>
                <w:bCs/>
              </w:rPr>
              <w:t xml:space="preserve"> and do not believe it requires changes to credit monitoring activity or the calculation of l</w:t>
            </w:r>
            <w:r w:rsidR="00CD0283" w:rsidRPr="00F47DEE">
              <w:rPr>
                <w:rFonts w:ascii="Arial" w:hAnsi="Arial" w:cs="Arial"/>
                <w:b/>
                <w:bCs/>
              </w:rPr>
              <w:t>iability</w:t>
            </w:r>
            <w:r w:rsidR="00840278">
              <w:rPr>
                <w:rFonts w:ascii="Arial" w:hAnsi="Arial" w:cs="Arial"/>
                <w:b/>
                <w:bCs/>
              </w:rPr>
              <w:t>; and</w:t>
            </w:r>
            <w:r w:rsidR="00CD0283" w:rsidRPr="00F47DEE">
              <w:rPr>
                <w:rFonts w:ascii="Arial" w:hAnsi="Arial" w:cs="Arial"/>
                <w:b/>
                <w:bCs/>
              </w:rPr>
              <w:t xml:space="preserve"> (iii) ERCOT supports the revision request</w:t>
            </w:r>
            <w:r w:rsidR="00ED1822">
              <w:rPr>
                <w:rFonts w:ascii="Arial" w:hAnsi="Arial" w:cs="Arial"/>
                <w:b/>
                <w:bCs/>
              </w:rPr>
              <w:t>.</w:t>
            </w:r>
          </w:p>
          <w:p w14:paraId="6D2D6317" w14:textId="77777777" w:rsidR="00535DB0" w:rsidRDefault="00535DB0" w:rsidP="008851B6">
            <w:pPr>
              <w:jc w:val="both"/>
              <w:rPr>
                <w:rFonts w:ascii="Arial" w:hAnsi="Arial" w:cs="Arial"/>
                <w:b/>
                <w:i/>
              </w:rPr>
            </w:pPr>
          </w:p>
          <w:p w14:paraId="0C8BCC83" w14:textId="77777777" w:rsidR="00C20BD4" w:rsidRPr="00C20BD4" w:rsidRDefault="00C20BD4" w:rsidP="008851B6">
            <w:pPr>
              <w:numPr>
                <w:ilvl w:val="0"/>
                <w:numId w:val="3"/>
              </w:numPr>
              <w:jc w:val="both"/>
              <w:rPr>
                <w:rFonts w:ascii="Arial" w:hAnsi="Arial" w:cs="Arial"/>
                <w:b/>
                <w:i/>
              </w:rPr>
            </w:pPr>
            <w:r w:rsidRPr="00C20BD4">
              <w:rPr>
                <w:rFonts w:ascii="Arial" w:hAnsi="Arial" w:cs="Arial"/>
                <w:b/>
                <w:i/>
              </w:rPr>
              <w:t>NPRR1116, Remove Obsolete Reference to Market Information System (MIS) [ERCOT]</w:t>
            </w:r>
          </w:p>
          <w:p w14:paraId="6A316A9F" w14:textId="77777777" w:rsidR="00C20BD4" w:rsidRPr="00C20BD4" w:rsidRDefault="00C20BD4" w:rsidP="004231C4">
            <w:pPr>
              <w:pStyle w:val="BodyText"/>
              <w:spacing w:before="0" w:after="0"/>
              <w:ind w:left="360"/>
              <w:jc w:val="both"/>
              <w:rPr>
                <w:rFonts w:ascii="Arial" w:hAnsi="Arial" w:cs="Arial"/>
              </w:rPr>
            </w:pPr>
            <w:r w:rsidRPr="00C20BD4">
              <w:rPr>
                <w:rFonts w:ascii="Arial" w:hAnsi="Arial" w:cs="Arial"/>
                <w:b/>
              </w:rPr>
              <w:t xml:space="preserve">Proposed Effective Date:  </w:t>
            </w:r>
            <w:r w:rsidRPr="00C20BD4">
              <w:rPr>
                <w:rFonts w:ascii="Arial" w:hAnsi="Arial" w:cs="Arial"/>
              </w:rPr>
              <w:t>June 1, 2022</w:t>
            </w:r>
          </w:p>
          <w:p w14:paraId="04D435F9" w14:textId="77777777" w:rsidR="00C20BD4" w:rsidRPr="00C20BD4" w:rsidRDefault="00C20BD4">
            <w:pPr>
              <w:pStyle w:val="BodyText"/>
              <w:spacing w:before="0" w:after="0"/>
              <w:ind w:left="360"/>
              <w:jc w:val="both"/>
              <w:rPr>
                <w:rFonts w:ascii="Arial" w:hAnsi="Arial" w:cs="Arial"/>
                <w:i/>
              </w:rPr>
            </w:pPr>
            <w:r w:rsidRPr="00C20BD4">
              <w:rPr>
                <w:rFonts w:ascii="Arial" w:hAnsi="Arial" w:cs="Arial"/>
                <w:b/>
              </w:rPr>
              <w:t xml:space="preserve">ERCOT Impact Analysis:  </w:t>
            </w:r>
            <w:r w:rsidRPr="00C20BD4">
              <w:rPr>
                <w:rFonts w:ascii="Arial" w:hAnsi="Arial" w:cs="Arial"/>
              </w:rPr>
              <w:t>No budgetary impact; no impacts to ERCOT staffing; no impacts to ERCOT computer systems; no impacts to ERCOT business processes; no impacts to ERCOT grid operations and practices.</w:t>
            </w:r>
          </w:p>
          <w:p w14:paraId="5C274DA0" w14:textId="77777777" w:rsidR="00C20BD4" w:rsidRPr="00C20BD4" w:rsidRDefault="00C20BD4" w:rsidP="008851B6">
            <w:pPr>
              <w:ind w:left="360"/>
              <w:jc w:val="both"/>
              <w:rPr>
                <w:rFonts w:ascii="Arial" w:hAnsi="Arial" w:cs="Arial"/>
              </w:rPr>
            </w:pPr>
            <w:r w:rsidRPr="00C20BD4">
              <w:rPr>
                <w:rFonts w:ascii="Arial" w:hAnsi="Arial" w:cs="Arial"/>
                <w:b/>
              </w:rPr>
              <w:lastRenderedPageBreak/>
              <w:t xml:space="preserve">Revision Description:  </w:t>
            </w:r>
            <w:r w:rsidRPr="00C20BD4">
              <w:rPr>
                <w:rFonts w:ascii="Arial" w:hAnsi="Arial" w:cs="Arial"/>
              </w:rPr>
              <w:t>This NPRR removes obsolete paragraph (h) of Section 12.3, MIS Administrative and Design Requirements, which references Other Binding Documents on the Market Information System (MIS).  With the implementation of NPRR1039, Replace the Term MIS Public Area with ERCOT Website, the reference to public Other Binding Document postings in paragraph (5) of Section 12.2, ERCOT Responsibilities, was updated to reflect that public Other Binding Documents are posted to the ERCOT website.</w:t>
            </w:r>
          </w:p>
          <w:p w14:paraId="77FE813A" w14:textId="5ADE5AF3" w:rsidR="00C20BD4" w:rsidRDefault="00C20BD4" w:rsidP="008851B6">
            <w:pPr>
              <w:ind w:left="360"/>
              <w:jc w:val="both"/>
              <w:rPr>
                <w:rFonts w:ascii="Arial" w:hAnsi="Arial" w:cs="Arial"/>
              </w:rPr>
            </w:pPr>
            <w:r>
              <w:rPr>
                <w:rFonts w:ascii="Arial" w:hAnsi="Arial" w:cs="Arial"/>
                <w:b/>
              </w:rPr>
              <w:t>TAC</w:t>
            </w:r>
            <w:r w:rsidRPr="00E85F5F">
              <w:rPr>
                <w:rFonts w:ascii="Arial" w:hAnsi="Arial" w:cs="Arial"/>
                <w:b/>
              </w:rPr>
              <w:t xml:space="preserve"> Decision:</w:t>
            </w:r>
            <w:r w:rsidRPr="00E85F5F">
              <w:rPr>
                <w:rFonts w:ascii="Arial" w:hAnsi="Arial" w:cs="Arial"/>
              </w:rPr>
              <w:t xml:space="preserve"> </w:t>
            </w:r>
            <w:r>
              <w:rPr>
                <w:rFonts w:ascii="Arial" w:hAnsi="Arial" w:cs="Arial"/>
              </w:rPr>
              <w:t xml:space="preserve"> </w:t>
            </w:r>
            <w:r w:rsidR="006A173D" w:rsidRPr="006A173D">
              <w:rPr>
                <w:rFonts w:ascii="Arial" w:hAnsi="Arial" w:cs="Arial"/>
              </w:rPr>
              <w:t>On 3/30/22, TAC unanimously voted via roll call to recommend approval of NPRR1116 as recommended by PRS in the 3/9/22 PRS Report.</w:t>
            </w:r>
          </w:p>
          <w:p w14:paraId="5556A4D6" w14:textId="02BC8096" w:rsidR="00C20BD4" w:rsidRPr="00C20BD4" w:rsidRDefault="00C20BD4" w:rsidP="008851B6">
            <w:pPr>
              <w:ind w:left="360"/>
              <w:jc w:val="both"/>
              <w:rPr>
                <w:rFonts w:ascii="Arial" w:hAnsi="Arial" w:cs="Arial"/>
              </w:rPr>
            </w:pPr>
            <w:r>
              <w:rPr>
                <w:rFonts w:ascii="Arial" w:hAnsi="Arial" w:cs="Arial"/>
                <w:b/>
              </w:rPr>
              <w:t>ERCOT Market Impact Statement:</w:t>
            </w:r>
            <w:r>
              <w:rPr>
                <w:rFonts w:ascii="Arial" w:hAnsi="Arial" w:cs="Arial"/>
              </w:rPr>
              <w:t xml:space="preserve">  </w:t>
            </w:r>
            <w:r w:rsidR="00AC3E9F" w:rsidRPr="00AC3E9F">
              <w:rPr>
                <w:rFonts w:ascii="Arial" w:hAnsi="Arial" w:cs="Arial"/>
              </w:rPr>
              <w:t>ERCOT Staff has reviewed NPRR1116 and believes the market impact for NPRR1116 improves access to public Other Binding Documents.</w:t>
            </w:r>
          </w:p>
          <w:p w14:paraId="3FC71AD8" w14:textId="77777777" w:rsidR="00C20BD4" w:rsidRDefault="00C20BD4" w:rsidP="008851B6">
            <w:pPr>
              <w:ind w:left="360"/>
              <w:jc w:val="both"/>
              <w:rPr>
                <w:b/>
                <w:i/>
              </w:rPr>
            </w:pPr>
          </w:p>
          <w:p w14:paraId="545DA3DD" w14:textId="77777777" w:rsidR="00C20BD4" w:rsidRPr="00C20BD4" w:rsidRDefault="00C20BD4" w:rsidP="008851B6">
            <w:pPr>
              <w:numPr>
                <w:ilvl w:val="0"/>
                <w:numId w:val="3"/>
              </w:numPr>
              <w:jc w:val="both"/>
              <w:rPr>
                <w:rFonts w:ascii="Arial" w:hAnsi="Arial" w:cs="Arial"/>
                <w:b/>
                <w:i/>
              </w:rPr>
            </w:pPr>
            <w:r w:rsidRPr="00C20BD4">
              <w:rPr>
                <w:rFonts w:ascii="Arial" w:hAnsi="Arial" w:cs="Arial"/>
                <w:b/>
                <w:i/>
              </w:rPr>
              <w:t>NPRR1117, Related to SMOGRR025, Modifications to Line Loss Compensation Requirement for EPS Metering [ERCOT]</w:t>
            </w:r>
          </w:p>
          <w:p w14:paraId="2764357F" w14:textId="17A9A3B0" w:rsidR="00C20BD4" w:rsidRPr="00C20BD4" w:rsidRDefault="00C20BD4" w:rsidP="004231C4">
            <w:pPr>
              <w:pStyle w:val="BodyText"/>
              <w:spacing w:before="0" w:after="0"/>
              <w:ind w:left="360"/>
              <w:jc w:val="both"/>
              <w:rPr>
                <w:rFonts w:ascii="Arial" w:hAnsi="Arial" w:cs="Arial"/>
              </w:rPr>
            </w:pPr>
            <w:r w:rsidRPr="00C20BD4">
              <w:rPr>
                <w:rFonts w:ascii="Arial" w:hAnsi="Arial" w:cs="Arial"/>
                <w:b/>
              </w:rPr>
              <w:t xml:space="preserve">Proposed Effective Date:  </w:t>
            </w:r>
            <w:r w:rsidRPr="00C20BD4">
              <w:rPr>
                <w:rFonts w:ascii="Arial" w:hAnsi="Arial" w:cs="Arial"/>
              </w:rPr>
              <w:t xml:space="preserve">Upon implementation of Settlement Metering Operating Guide Revision Request (SMOGRR) 025 </w:t>
            </w:r>
          </w:p>
          <w:p w14:paraId="4A65054E" w14:textId="77777777" w:rsidR="00C20BD4" w:rsidRPr="00C20BD4" w:rsidRDefault="00C20BD4">
            <w:pPr>
              <w:pStyle w:val="BodyText"/>
              <w:spacing w:before="0" w:after="0"/>
              <w:ind w:left="360"/>
              <w:jc w:val="both"/>
              <w:rPr>
                <w:rFonts w:ascii="Arial" w:hAnsi="Arial" w:cs="Arial"/>
                <w:i/>
              </w:rPr>
            </w:pPr>
            <w:r w:rsidRPr="00C20BD4">
              <w:rPr>
                <w:rFonts w:ascii="Arial" w:hAnsi="Arial" w:cs="Arial"/>
                <w:b/>
              </w:rPr>
              <w:t xml:space="preserve">ERCOT Impact Analysis:  </w:t>
            </w:r>
            <w:r w:rsidRPr="00C20BD4">
              <w:rPr>
                <w:rFonts w:ascii="Arial" w:hAnsi="Arial" w:cs="Arial"/>
              </w:rPr>
              <w:t>No budgetary impact; no impacts to ERCOT staffing; no impacts to ERCOT computer systems; ERCOT business processes will be updated; no impacts to ERCOT grid operations and practices.</w:t>
            </w:r>
          </w:p>
          <w:p w14:paraId="208955B5" w14:textId="3537229E" w:rsidR="00C20BD4" w:rsidRPr="00C20BD4" w:rsidRDefault="00C20BD4" w:rsidP="008851B6">
            <w:pPr>
              <w:ind w:left="360"/>
              <w:jc w:val="both"/>
              <w:rPr>
                <w:rFonts w:ascii="Arial" w:hAnsi="Arial" w:cs="Arial"/>
              </w:rPr>
            </w:pPr>
            <w:r w:rsidRPr="00C20BD4">
              <w:rPr>
                <w:rFonts w:ascii="Arial" w:hAnsi="Arial" w:cs="Arial"/>
                <w:b/>
              </w:rPr>
              <w:t xml:space="preserve">Revision Description:  </w:t>
            </w:r>
            <w:r w:rsidRPr="00C20BD4">
              <w:rPr>
                <w:rFonts w:ascii="Arial" w:hAnsi="Arial" w:cs="Arial"/>
              </w:rPr>
              <w:t>This NPRR aligns the Protocols with SMOGRR025 revisions allowing for losses in short runs of connecting lines to be disregarded in instances where the ERCOT-Polled Settlement (EPS) Meter is not physically placed at the Point of Interconnection (POI).</w:t>
            </w:r>
          </w:p>
          <w:p w14:paraId="3A9297D2" w14:textId="1A8CC9B4" w:rsidR="00C20BD4" w:rsidRDefault="00C20BD4" w:rsidP="008851B6">
            <w:pPr>
              <w:ind w:left="360"/>
              <w:jc w:val="both"/>
              <w:rPr>
                <w:rFonts w:ascii="Arial" w:hAnsi="Arial" w:cs="Arial"/>
              </w:rPr>
            </w:pPr>
            <w:r>
              <w:rPr>
                <w:rFonts w:ascii="Arial" w:hAnsi="Arial" w:cs="Arial"/>
                <w:b/>
              </w:rPr>
              <w:t>TAC</w:t>
            </w:r>
            <w:r w:rsidRPr="00E85F5F">
              <w:rPr>
                <w:rFonts w:ascii="Arial" w:hAnsi="Arial" w:cs="Arial"/>
                <w:b/>
              </w:rPr>
              <w:t xml:space="preserve"> Decision:</w:t>
            </w:r>
            <w:r w:rsidRPr="00E85F5F">
              <w:rPr>
                <w:rFonts w:ascii="Arial" w:hAnsi="Arial" w:cs="Arial"/>
              </w:rPr>
              <w:t xml:space="preserve">  </w:t>
            </w:r>
            <w:r>
              <w:rPr>
                <w:rFonts w:ascii="Arial" w:hAnsi="Arial" w:cs="Arial"/>
              </w:rPr>
              <w:t xml:space="preserve"> </w:t>
            </w:r>
            <w:r w:rsidR="0056426D" w:rsidRPr="0056426D">
              <w:rPr>
                <w:rFonts w:ascii="Arial" w:hAnsi="Arial" w:cs="Arial"/>
              </w:rPr>
              <w:t xml:space="preserve">On 4/13/22, TAC voted via roll call to recommend approval of NPRR1117 as recommended by PRS in the 3/9/22 PRS Report.  There was one abstention from the Independent Generator (Luminant) Market Segment.  </w:t>
            </w:r>
          </w:p>
          <w:p w14:paraId="24D7220A" w14:textId="33448C0F" w:rsidR="00C20BD4" w:rsidRDefault="00C20BD4" w:rsidP="008851B6">
            <w:pPr>
              <w:ind w:left="360"/>
              <w:jc w:val="both"/>
              <w:rPr>
                <w:rFonts w:ascii="Arial" w:hAnsi="Arial" w:cs="Arial"/>
              </w:rPr>
            </w:pPr>
            <w:r>
              <w:rPr>
                <w:rFonts w:ascii="Arial" w:hAnsi="Arial" w:cs="Arial"/>
                <w:b/>
              </w:rPr>
              <w:t>ERCOT Market Impact Statement:</w:t>
            </w:r>
            <w:r>
              <w:rPr>
                <w:rFonts w:ascii="Arial" w:hAnsi="Arial" w:cs="Arial"/>
              </w:rPr>
              <w:t xml:space="preserve">  </w:t>
            </w:r>
            <w:r w:rsidR="00AC3E9F" w:rsidRPr="00AC3E9F">
              <w:rPr>
                <w:rFonts w:ascii="Arial" w:hAnsi="Arial" w:cs="Arial"/>
              </w:rPr>
              <w:t>ERCOT Staff has reviewed NPRR1117 and believes the market impact for NPRR1117, in conjunction with SMOGRR025, will facilitate calculations to determine whether to require the EPS Meter to be programmed to account for line losses.</w:t>
            </w:r>
          </w:p>
          <w:p w14:paraId="1F37CBCF" w14:textId="77777777" w:rsidR="00C20BD4" w:rsidRPr="00C946FB" w:rsidRDefault="00C20BD4" w:rsidP="008851B6">
            <w:pPr>
              <w:ind w:left="360"/>
              <w:jc w:val="both"/>
            </w:pPr>
          </w:p>
          <w:p w14:paraId="196B4CAE" w14:textId="77777777" w:rsidR="00C20BD4" w:rsidRPr="00C20BD4" w:rsidRDefault="00C20BD4" w:rsidP="008851B6">
            <w:pPr>
              <w:numPr>
                <w:ilvl w:val="0"/>
                <w:numId w:val="3"/>
              </w:numPr>
              <w:jc w:val="both"/>
              <w:rPr>
                <w:rFonts w:ascii="Arial" w:hAnsi="Arial" w:cs="Arial"/>
                <w:b/>
                <w:i/>
              </w:rPr>
            </w:pPr>
            <w:r w:rsidRPr="00C20BD4">
              <w:rPr>
                <w:rFonts w:ascii="Arial" w:hAnsi="Arial" w:cs="Arial"/>
                <w:b/>
                <w:i/>
              </w:rPr>
              <w:t>NPRR1122, Clarifications for PURA Subchapter M Securitization Default Charges – URGENT [ERCOT]</w:t>
            </w:r>
          </w:p>
          <w:p w14:paraId="44696F80" w14:textId="77777777" w:rsidR="00C20BD4" w:rsidRPr="00C20BD4" w:rsidRDefault="00C20BD4" w:rsidP="004231C4">
            <w:pPr>
              <w:pStyle w:val="BodyText"/>
              <w:spacing w:before="0" w:after="0"/>
              <w:ind w:left="360"/>
              <w:jc w:val="both"/>
              <w:rPr>
                <w:rFonts w:ascii="Arial" w:hAnsi="Arial" w:cs="Arial"/>
              </w:rPr>
            </w:pPr>
            <w:r w:rsidRPr="00C20BD4">
              <w:rPr>
                <w:rFonts w:ascii="Arial" w:hAnsi="Arial" w:cs="Arial"/>
                <w:b/>
              </w:rPr>
              <w:t xml:space="preserve">Proposed Effective Date:  </w:t>
            </w:r>
            <w:r w:rsidRPr="00C20BD4">
              <w:rPr>
                <w:rFonts w:ascii="Arial" w:hAnsi="Arial" w:cs="Arial"/>
              </w:rPr>
              <w:t>June 1, 2022</w:t>
            </w:r>
          </w:p>
          <w:p w14:paraId="1BE7557F" w14:textId="77777777" w:rsidR="00C20BD4" w:rsidRPr="00C20BD4" w:rsidRDefault="00C20BD4">
            <w:pPr>
              <w:pStyle w:val="BodyText"/>
              <w:spacing w:before="0" w:after="0"/>
              <w:ind w:left="360"/>
              <w:jc w:val="both"/>
              <w:rPr>
                <w:rFonts w:ascii="Arial" w:hAnsi="Arial" w:cs="Arial"/>
                <w:i/>
              </w:rPr>
            </w:pPr>
            <w:r w:rsidRPr="00C20BD4">
              <w:rPr>
                <w:rFonts w:ascii="Arial" w:hAnsi="Arial" w:cs="Arial"/>
                <w:b/>
              </w:rPr>
              <w:t xml:space="preserve">ERCOT Impact Analysis:  </w:t>
            </w:r>
            <w:r w:rsidRPr="00C20BD4">
              <w:rPr>
                <w:rFonts w:ascii="Arial" w:hAnsi="Arial" w:cs="Arial"/>
              </w:rPr>
              <w:t>No budgetary impact; no impacts to ERCOT staffing; no impacts to ERCOT computer systems; no impacts to ERCOT business processes; no impacts to ERCOT grid operations and practices.</w:t>
            </w:r>
          </w:p>
          <w:p w14:paraId="14C7B45E" w14:textId="77777777" w:rsidR="00C20BD4" w:rsidRPr="00C20BD4" w:rsidRDefault="00C20BD4" w:rsidP="008851B6">
            <w:pPr>
              <w:ind w:left="360"/>
              <w:jc w:val="both"/>
              <w:rPr>
                <w:rFonts w:ascii="Arial" w:hAnsi="Arial" w:cs="Arial"/>
              </w:rPr>
            </w:pPr>
            <w:r w:rsidRPr="00C20BD4">
              <w:rPr>
                <w:rFonts w:ascii="Arial" w:hAnsi="Arial" w:cs="Arial"/>
                <w:b/>
              </w:rPr>
              <w:t xml:space="preserve">Revision Description:  </w:t>
            </w:r>
            <w:r w:rsidRPr="00C20BD4">
              <w:rPr>
                <w:rFonts w:ascii="Arial" w:hAnsi="Arial" w:cs="Arial"/>
              </w:rPr>
              <w:t xml:space="preserve">This NPRR clarifies that ERCOT shall retain all Securitization Default Charge escrow deposits to cover, if necessary, potential future obligations for Securitization Default Charges, without the limitation that this is only after termination of a Market Participant’s Standard Form Market Participant Agreement.  In addition, the NPRR clarifies that funds provided for Securitization Default Charge escrow deposits must be sent to the correct account to be properly </w:t>
            </w:r>
            <w:r w:rsidRPr="00C20BD4">
              <w:rPr>
                <w:rFonts w:ascii="Arial" w:hAnsi="Arial" w:cs="Arial"/>
              </w:rPr>
              <w:lastRenderedPageBreak/>
              <w:t>credited.  Finally, this NPRR corrects a subscript definition error in the Securitization Default Charge Maximum MWh Activity Ratio Share.</w:t>
            </w:r>
          </w:p>
          <w:p w14:paraId="5CAD029B" w14:textId="7E18A1C7" w:rsidR="00C20BD4" w:rsidRDefault="00C20BD4" w:rsidP="008851B6">
            <w:pPr>
              <w:ind w:left="360"/>
              <w:jc w:val="both"/>
              <w:rPr>
                <w:rFonts w:ascii="Arial" w:hAnsi="Arial" w:cs="Arial"/>
              </w:rPr>
            </w:pPr>
            <w:r>
              <w:rPr>
                <w:rFonts w:ascii="Arial" w:hAnsi="Arial" w:cs="Arial"/>
                <w:b/>
              </w:rPr>
              <w:t>TAC</w:t>
            </w:r>
            <w:r w:rsidRPr="00E85F5F">
              <w:rPr>
                <w:rFonts w:ascii="Arial" w:hAnsi="Arial" w:cs="Arial"/>
                <w:b/>
              </w:rPr>
              <w:t xml:space="preserve"> Decision:</w:t>
            </w:r>
            <w:r w:rsidRPr="00E85F5F">
              <w:rPr>
                <w:rFonts w:ascii="Arial" w:hAnsi="Arial" w:cs="Arial"/>
              </w:rPr>
              <w:t xml:space="preserve">  </w:t>
            </w:r>
            <w:r>
              <w:rPr>
                <w:rFonts w:ascii="Arial" w:hAnsi="Arial" w:cs="Arial"/>
              </w:rPr>
              <w:t xml:space="preserve"> </w:t>
            </w:r>
            <w:r w:rsidR="006A173D" w:rsidRPr="006A173D">
              <w:rPr>
                <w:rFonts w:ascii="Arial" w:hAnsi="Arial" w:cs="Arial"/>
              </w:rPr>
              <w:t>On 3/30/22, TAC unanimously voted via roll call to recommend approval of NPRR1122 as recommended by PRS in the 3/9/22 PRS Report; and the 3/21/22 Revised Impact Analysis.</w:t>
            </w:r>
          </w:p>
          <w:p w14:paraId="7449DBEE" w14:textId="32E81D11" w:rsidR="00C20BD4" w:rsidRDefault="00C20BD4" w:rsidP="008851B6">
            <w:pPr>
              <w:ind w:left="360"/>
              <w:jc w:val="both"/>
              <w:rPr>
                <w:rFonts w:ascii="Arial" w:hAnsi="Arial" w:cs="Arial"/>
              </w:rPr>
            </w:pPr>
            <w:r>
              <w:rPr>
                <w:rFonts w:ascii="Arial" w:hAnsi="Arial" w:cs="Arial"/>
                <w:b/>
              </w:rPr>
              <w:t>ERCOT Market Impact Statement:</w:t>
            </w:r>
            <w:r>
              <w:rPr>
                <w:rFonts w:ascii="Arial" w:hAnsi="Arial" w:cs="Arial"/>
              </w:rPr>
              <w:t xml:space="preserve">  </w:t>
            </w:r>
            <w:r w:rsidR="0056426D" w:rsidRPr="0056426D">
              <w:rPr>
                <w:rFonts w:ascii="Arial" w:hAnsi="Arial" w:cs="Arial"/>
              </w:rPr>
              <w:t>ERCOT Staff has reviewed NPRR1122 and believes the market impact for NPRR1122 clarifies processes for assessment and collection of Default Charges and Default Escrow Deposits to Qualified Scheduling Entities (QSEs) and Congestion Revenue Right (CRR) Account Holders as reflected in the Debt Obligation Order (DOO) issued in Public Utility Commission of Texas (PUCT) Docket No. 52321, Application of Electric Reliability Council of Texas, Inc. for a Debt Obligation Order Pursuant to Chapter 39, Subchapter M, of the Public Utility Regulatory Act (PURA).</w:t>
            </w:r>
          </w:p>
          <w:p w14:paraId="2D74CC09" w14:textId="4FAF43CB" w:rsidR="00955284" w:rsidRDefault="00955284" w:rsidP="008851B6">
            <w:pPr>
              <w:ind w:left="360"/>
              <w:jc w:val="both"/>
              <w:rPr>
                <w:rFonts w:ascii="Arial" w:hAnsi="Arial" w:cs="Arial"/>
              </w:rPr>
            </w:pPr>
            <w:r>
              <w:rPr>
                <w:rFonts w:ascii="Arial" w:hAnsi="Arial" w:cs="Arial"/>
                <w:b/>
              </w:rPr>
              <w:t>Credit WG Review:</w:t>
            </w:r>
            <w:r>
              <w:rPr>
                <w:rFonts w:ascii="Arial" w:hAnsi="Arial" w:cs="Arial"/>
              </w:rPr>
              <w:t xml:space="preserve">  </w:t>
            </w:r>
            <w:r w:rsidRPr="00C979C4">
              <w:rPr>
                <w:rFonts w:ascii="Arial" w:hAnsi="Arial" w:cs="Arial"/>
              </w:rPr>
              <w:t xml:space="preserve">See </w:t>
            </w:r>
            <w:r>
              <w:rPr>
                <w:rFonts w:ascii="Arial" w:hAnsi="Arial" w:cs="Arial"/>
              </w:rPr>
              <w:t>3</w:t>
            </w:r>
            <w:r w:rsidRPr="00C979C4">
              <w:rPr>
                <w:rFonts w:ascii="Arial" w:hAnsi="Arial" w:cs="Arial"/>
              </w:rPr>
              <w:t>/1</w:t>
            </w:r>
            <w:r>
              <w:rPr>
                <w:rFonts w:ascii="Arial" w:hAnsi="Arial" w:cs="Arial"/>
              </w:rPr>
              <w:t>5</w:t>
            </w:r>
            <w:r w:rsidRPr="00C979C4">
              <w:rPr>
                <w:rFonts w:ascii="Arial" w:hAnsi="Arial" w:cs="Arial"/>
              </w:rPr>
              <w:t>/22 Credit WG comments</w:t>
            </w:r>
          </w:p>
          <w:p w14:paraId="375442F2" w14:textId="77777777" w:rsidR="00C20BD4" w:rsidRPr="00C20BD4" w:rsidRDefault="00C20BD4" w:rsidP="008851B6">
            <w:pPr>
              <w:ind w:left="360"/>
              <w:jc w:val="both"/>
              <w:rPr>
                <w:rFonts w:ascii="Arial" w:hAnsi="Arial" w:cs="Arial"/>
                <w:b/>
                <w:i/>
              </w:rPr>
            </w:pPr>
          </w:p>
          <w:p w14:paraId="369905EC" w14:textId="77777777" w:rsidR="00C20BD4" w:rsidRPr="00C20BD4" w:rsidRDefault="00C20BD4" w:rsidP="008851B6">
            <w:pPr>
              <w:numPr>
                <w:ilvl w:val="0"/>
                <w:numId w:val="3"/>
              </w:numPr>
              <w:jc w:val="both"/>
              <w:rPr>
                <w:rFonts w:ascii="Arial" w:hAnsi="Arial" w:cs="Arial"/>
                <w:b/>
                <w:i/>
              </w:rPr>
            </w:pPr>
            <w:r w:rsidRPr="00C20BD4">
              <w:rPr>
                <w:rFonts w:ascii="Arial" w:hAnsi="Arial" w:cs="Arial"/>
                <w:b/>
                <w:i/>
              </w:rPr>
              <w:t>NPRR1123, Clarifications for PURA Subchapter N Securitization Uplift Charges – URGENT [ERCOT]</w:t>
            </w:r>
          </w:p>
          <w:p w14:paraId="2784F791" w14:textId="7426A13F" w:rsidR="00C20BD4" w:rsidRPr="00C20BD4" w:rsidRDefault="00C20BD4" w:rsidP="004231C4">
            <w:pPr>
              <w:pStyle w:val="BodyText"/>
              <w:spacing w:before="0" w:after="0"/>
              <w:ind w:left="360"/>
              <w:jc w:val="both"/>
              <w:rPr>
                <w:rFonts w:ascii="Arial" w:hAnsi="Arial" w:cs="Arial"/>
              </w:rPr>
            </w:pPr>
            <w:r w:rsidRPr="00C20BD4">
              <w:rPr>
                <w:rFonts w:ascii="Arial" w:hAnsi="Arial" w:cs="Arial"/>
                <w:b/>
              </w:rPr>
              <w:t xml:space="preserve">Proposed Effective Date:  </w:t>
            </w:r>
            <w:r w:rsidRPr="00C20BD4">
              <w:rPr>
                <w:rFonts w:ascii="Arial" w:hAnsi="Arial" w:cs="Arial"/>
              </w:rPr>
              <w:t>Upon implementation of NPRR1114, Securitization – PURA Subchapter N Uplift Charges</w:t>
            </w:r>
          </w:p>
          <w:p w14:paraId="331A3E6F" w14:textId="77777777" w:rsidR="00C20BD4" w:rsidRPr="00C20BD4" w:rsidRDefault="00C20BD4">
            <w:pPr>
              <w:pStyle w:val="BodyText"/>
              <w:spacing w:before="0" w:after="0"/>
              <w:ind w:left="360"/>
              <w:jc w:val="both"/>
              <w:rPr>
                <w:rFonts w:ascii="Arial" w:hAnsi="Arial" w:cs="Arial"/>
                <w:i/>
              </w:rPr>
            </w:pPr>
            <w:r w:rsidRPr="00C20BD4">
              <w:rPr>
                <w:rFonts w:ascii="Arial" w:hAnsi="Arial" w:cs="Arial"/>
                <w:b/>
              </w:rPr>
              <w:t xml:space="preserve">ERCOT Impact Analysis:  </w:t>
            </w:r>
            <w:r w:rsidRPr="00C20BD4">
              <w:rPr>
                <w:rFonts w:ascii="Arial" w:hAnsi="Arial" w:cs="Arial"/>
              </w:rPr>
              <w:t>No budgetary impact; no impacts to ERCOT staffing; no impacts to ERCOT computer systems; no impacts to ERCOT business processes; no impacts to ERCOT grid operations and practices. (There are no additional impacts to this NPRR beyond what was captured in the Impact Analysis for NPRR1114.)</w:t>
            </w:r>
          </w:p>
          <w:p w14:paraId="10D9EA1D" w14:textId="17564C04" w:rsidR="00C20BD4" w:rsidRPr="00C20BD4" w:rsidRDefault="00C20BD4" w:rsidP="008851B6">
            <w:pPr>
              <w:ind w:left="360"/>
              <w:jc w:val="both"/>
              <w:rPr>
                <w:rFonts w:ascii="Arial" w:hAnsi="Arial" w:cs="Arial"/>
              </w:rPr>
            </w:pPr>
            <w:r w:rsidRPr="00C20BD4">
              <w:rPr>
                <w:rFonts w:ascii="Arial" w:hAnsi="Arial" w:cs="Arial"/>
                <w:b/>
              </w:rPr>
              <w:t xml:space="preserve">Revision Description:  </w:t>
            </w:r>
            <w:r w:rsidRPr="00C20BD4">
              <w:rPr>
                <w:rFonts w:ascii="Arial" w:hAnsi="Arial" w:cs="Arial"/>
              </w:rPr>
              <w:t>This NPRR provides for initial assessment of Securitization Uplift Charge escrow deposits based on Counter-Party initial estimated Adjusted Meter Load.  In addition, the NPRR clarifies that funds provided for Securitization Uplift Charge escrow deposits must be sent to the correct account to be properly credited, and also provides a process for return of securitization proceeds if required by statute or the DOO in PUCT Docket No. 52322, Application of Electric Reliability Council of Texas, Inc. for a Debt Obligation Order to Finance Uplift Balances Under PURA Chapter 39, Subchapter N, and for a Good Cause Exception.</w:t>
            </w:r>
          </w:p>
          <w:p w14:paraId="508741AE" w14:textId="21B90C71" w:rsidR="00C20BD4" w:rsidRDefault="00C20BD4" w:rsidP="008851B6">
            <w:pPr>
              <w:ind w:left="360"/>
              <w:jc w:val="both"/>
              <w:rPr>
                <w:rFonts w:ascii="Arial" w:hAnsi="Arial" w:cs="Arial"/>
              </w:rPr>
            </w:pPr>
            <w:r>
              <w:rPr>
                <w:rFonts w:ascii="Arial" w:hAnsi="Arial" w:cs="Arial"/>
                <w:b/>
              </w:rPr>
              <w:t>TAC</w:t>
            </w:r>
            <w:r w:rsidRPr="00E85F5F">
              <w:rPr>
                <w:rFonts w:ascii="Arial" w:hAnsi="Arial" w:cs="Arial"/>
                <w:b/>
              </w:rPr>
              <w:t xml:space="preserve"> Decision:</w:t>
            </w:r>
            <w:r w:rsidRPr="00E85F5F">
              <w:rPr>
                <w:rFonts w:ascii="Arial" w:hAnsi="Arial" w:cs="Arial"/>
              </w:rPr>
              <w:t xml:space="preserve">  </w:t>
            </w:r>
            <w:r w:rsidR="006A173D" w:rsidRPr="006A173D">
              <w:rPr>
                <w:rFonts w:ascii="Arial" w:hAnsi="Arial" w:cs="Arial"/>
              </w:rPr>
              <w:t>On 3/30/22, TAC unanimously voted via roll call to recommend approval of NPRR1122 as recommended by PRS in the 3/9/22 PRS Report; and the 3/21/22 Revised Impact Analysis.</w:t>
            </w:r>
            <w:r>
              <w:rPr>
                <w:rFonts w:ascii="Arial" w:hAnsi="Arial" w:cs="Arial"/>
              </w:rPr>
              <w:t xml:space="preserve"> </w:t>
            </w:r>
          </w:p>
          <w:p w14:paraId="6FEF92BD" w14:textId="1C0F1A42" w:rsidR="00C20BD4" w:rsidRDefault="00C20BD4" w:rsidP="008851B6">
            <w:pPr>
              <w:ind w:left="360"/>
              <w:jc w:val="both"/>
              <w:rPr>
                <w:rFonts w:ascii="Arial" w:hAnsi="Arial" w:cs="Arial"/>
              </w:rPr>
            </w:pPr>
            <w:r>
              <w:rPr>
                <w:rFonts w:ascii="Arial" w:hAnsi="Arial" w:cs="Arial"/>
                <w:b/>
              </w:rPr>
              <w:t>ERCOT Market Impact Statement:</w:t>
            </w:r>
            <w:r>
              <w:rPr>
                <w:rFonts w:ascii="Arial" w:hAnsi="Arial" w:cs="Arial"/>
              </w:rPr>
              <w:t xml:space="preserve">  </w:t>
            </w:r>
            <w:r w:rsidR="0056426D" w:rsidRPr="0056426D">
              <w:rPr>
                <w:rFonts w:ascii="Arial" w:hAnsi="Arial" w:cs="Arial"/>
              </w:rPr>
              <w:t xml:space="preserve">ERCOT Staff has reviewed NPRR1123 and believes the market impact for NPRR1123 clarifies processes to assess and collect Uplift Charges to QSEs representing </w:t>
            </w:r>
            <w:r w:rsidR="001B4DD4">
              <w:rPr>
                <w:rFonts w:ascii="Arial" w:hAnsi="Arial" w:cs="Arial"/>
              </w:rPr>
              <w:t>Load Serving Entities (</w:t>
            </w:r>
            <w:r w:rsidR="0056426D" w:rsidRPr="0056426D">
              <w:rPr>
                <w:rFonts w:ascii="Arial" w:hAnsi="Arial" w:cs="Arial"/>
              </w:rPr>
              <w:t>LSEs</w:t>
            </w:r>
            <w:r w:rsidR="001B4DD4">
              <w:rPr>
                <w:rFonts w:ascii="Arial" w:hAnsi="Arial" w:cs="Arial"/>
              </w:rPr>
              <w:t>)</w:t>
            </w:r>
            <w:r w:rsidR="0056426D" w:rsidRPr="0056426D">
              <w:rPr>
                <w:rFonts w:ascii="Arial" w:hAnsi="Arial" w:cs="Arial"/>
              </w:rPr>
              <w:t xml:space="preserve"> as reflected in the DOO issued in PUCT Docket No. 52322, Subchapter N, of PURA.</w:t>
            </w:r>
          </w:p>
          <w:p w14:paraId="4DB61FC4" w14:textId="77777777" w:rsidR="00955284" w:rsidRDefault="00955284" w:rsidP="008851B6">
            <w:pPr>
              <w:ind w:left="360"/>
              <w:jc w:val="both"/>
              <w:rPr>
                <w:rFonts w:ascii="Arial" w:hAnsi="Arial" w:cs="Arial"/>
              </w:rPr>
            </w:pPr>
            <w:r>
              <w:rPr>
                <w:rFonts w:ascii="Arial" w:hAnsi="Arial" w:cs="Arial"/>
                <w:b/>
              </w:rPr>
              <w:t>Credit WG Review:</w:t>
            </w:r>
            <w:r>
              <w:rPr>
                <w:rFonts w:ascii="Arial" w:hAnsi="Arial" w:cs="Arial"/>
              </w:rPr>
              <w:t xml:space="preserve">  </w:t>
            </w:r>
            <w:r w:rsidRPr="00C979C4">
              <w:rPr>
                <w:rFonts w:ascii="Arial" w:hAnsi="Arial" w:cs="Arial"/>
              </w:rPr>
              <w:t xml:space="preserve">See </w:t>
            </w:r>
            <w:r>
              <w:rPr>
                <w:rFonts w:ascii="Arial" w:hAnsi="Arial" w:cs="Arial"/>
              </w:rPr>
              <w:t>3</w:t>
            </w:r>
            <w:r w:rsidRPr="00C979C4">
              <w:rPr>
                <w:rFonts w:ascii="Arial" w:hAnsi="Arial" w:cs="Arial"/>
              </w:rPr>
              <w:t>/1</w:t>
            </w:r>
            <w:r>
              <w:rPr>
                <w:rFonts w:ascii="Arial" w:hAnsi="Arial" w:cs="Arial"/>
              </w:rPr>
              <w:t>5</w:t>
            </w:r>
            <w:r w:rsidRPr="00C979C4">
              <w:rPr>
                <w:rFonts w:ascii="Arial" w:hAnsi="Arial" w:cs="Arial"/>
              </w:rPr>
              <w:t>/22 Credit WG comments</w:t>
            </w:r>
          </w:p>
          <w:p w14:paraId="240514BB" w14:textId="77777777" w:rsidR="00C20BD4" w:rsidRPr="00C20BD4" w:rsidRDefault="00C20BD4" w:rsidP="008851B6">
            <w:pPr>
              <w:jc w:val="both"/>
              <w:rPr>
                <w:rFonts w:ascii="Arial" w:hAnsi="Arial" w:cs="Arial"/>
                <w:b/>
                <w:i/>
              </w:rPr>
            </w:pPr>
          </w:p>
          <w:p w14:paraId="71F8FE28" w14:textId="77777777" w:rsidR="00C20BD4" w:rsidRPr="00C20BD4" w:rsidRDefault="00C20BD4" w:rsidP="008851B6">
            <w:pPr>
              <w:numPr>
                <w:ilvl w:val="0"/>
                <w:numId w:val="5"/>
              </w:numPr>
              <w:jc w:val="both"/>
              <w:rPr>
                <w:rFonts w:ascii="Arial" w:hAnsi="Arial" w:cs="Arial"/>
                <w:b/>
                <w:i/>
              </w:rPr>
            </w:pPr>
            <w:r w:rsidRPr="00C20BD4">
              <w:rPr>
                <w:rFonts w:ascii="Arial" w:hAnsi="Arial" w:cs="Arial"/>
                <w:b/>
                <w:i/>
              </w:rPr>
              <w:t>NPRR1125, Use of Financial Security for Securitization Default Charge and Securitization Uplift Charge Invoices and Escrow Deposit Requests – URGENT [ERCOT]</w:t>
            </w:r>
          </w:p>
          <w:p w14:paraId="783B3585" w14:textId="77777777" w:rsidR="00C20BD4" w:rsidRPr="00C20BD4" w:rsidRDefault="00C20BD4" w:rsidP="004231C4">
            <w:pPr>
              <w:pStyle w:val="BodyText"/>
              <w:spacing w:before="0" w:after="0"/>
              <w:ind w:left="360"/>
              <w:jc w:val="both"/>
              <w:rPr>
                <w:rFonts w:ascii="Arial" w:hAnsi="Arial" w:cs="Arial"/>
              </w:rPr>
            </w:pPr>
            <w:r w:rsidRPr="00C20BD4">
              <w:rPr>
                <w:rFonts w:ascii="Arial" w:hAnsi="Arial" w:cs="Arial"/>
                <w:b/>
              </w:rPr>
              <w:t xml:space="preserve">Proposed Effective Date:  </w:t>
            </w:r>
            <w:r w:rsidRPr="00C20BD4">
              <w:rPr>
                <w:rFonts w:ascii="Arial" w:hAnsi="Arial" w:cs="Arial"/>
              </w:rPr>
              <w:t>June 1, 2022</w:t>
            </w:r>
          </w:p>
          <w:p w14:paraId="12812C3A" w14:textId="77777777" w:rsidR="00C20BD4" w:rsidRPr="00C20BD4" w:rsidRDefault="00C20BD4">
            <w:pPr>
              <w:pStyle w:val="BodyText"/>
              <w:spacing w:before="0" w:after="0"/>
              <w:ind w:left="360"/>
              <w:jc w:val="both"/>
              <w:rPr>
                <w:rFonts w:ascii="Arial" w:hAnsi="Arial" w:cs="Arial"/>
                <w:i/>
              </w:rPr>
            </w:pPr>
            <w:r w:rsidRPr="00C20BD4">
              <w:rPr>
                <w:rFonts w:ascii="Arial" w:hAnsi="Arial" w:cs="Arial"/>
                <w:b/>
              </w:rPr>
              <w:lastRenderedPageBreak/>
              <w:t xml:space="preserve">ERCOT Impact Analysis:  </w:t>
            </w:r>
            <w:r w:rsidRPr="00C20BD4">
              <w:rPr>
                <w:rFonts w:ascii="Arial" w:hAnsi="Arial" w:cs="Arial"/>
              </w:rPr>
              <w:t>No budgetary impact; no impacts to ERCOT staffing; no impacts to ERCOT computer systems; no impacts to ERCOT business processes; no impacts to ERCOT grid operations and practices. (There are no additional impacts beyond what was captured in the Impact Analyses for NPRR1103, Securitization – PURA Subchapter M Default Charges, and NPRR1114, Securitization – PURA Subchapter N Uplift Charges)</w:t>
            </w:r>
          </w:p>
          <w:p w14:paraId="008A58C2" w14:textId="27E544B5" w:rsidR="00C20BD4" w:rsidRPr="00C20BD4" w:rsidRDefault="00C20BD4" w:rsidP="008851B6">
            <w:pPr>
              <w:ind w:left="360"/>
              <w:jc w:val="both"/>
              <w:rPr>
                <w:rFonts w:ascii="Arial" w:hAnsi="Arial" w:cs="Arial"/>
              </w:rPr>
            </w:pPr>
            <w:r w:rsidRPr="00C20BD4">
              <w:rPr>
                <w:rFonts w:ascii="Arial" w:hAnsi="Arial" w:cs="Arial"/>
                <w:b/>
              </w:rPr>
              <w:t xml:space="preserve">Revision Description:  </w:t>
            </w:r>
            <w:r w:rsidRPr="00C20BD4">
              <w:rPr>
                <w:rFonts w:ascii="Arial" w:hAnsi="Arial" w:cs="Arial"/>
              </w:rPr>
              <w:t>This NPRR clarifies that in the event of a Payment Default with respect to either PURA Subchapter M Securitization Default Charges, or PURA Subchapter N Securitization Uplift Charges, ERCOT may utilize available Financial Security held with respect to other ERCOT market activities.  In the event of concurrent Payment Defaults for either Invoices or escrow deposit requests, this NPRR also specifies the prioritization for the application of Financial Security to these defaults.</w:t>
            </w:r>
          </w:p>
          <w:p w14:paraId="0D776A47" w14:textId="32E3D6CD" w:rsidR="008D431A" w:rsidRDefault="008D431A" w:rsidP="008851B6">
            <w:pPr>
              <w:ind w:left="360"/>
              <w:jc w:val="both"/>
              <w:rPr>
                <w:rFonts w:ascii="Arial" w:hAnsi="Arial" w:cs="Arial"/>
              </w:rPr>
            </w:pPr>
            <w:r>
              <w:rPr>
                <w:rFonts w:ascii="Arial" w:hAnsi="Arial" w:cs="Arial"/>
                <w:b/>
              </w:rPr>
              <w:t>TAC</w:t>
            </w:r>
            <w:r w:rsidRPr="00E85F5F">
              <w:rPr>
                <w:rFonts w:ascii="Arial" w:hAnsi="Arial" w:cs="Arial"/>
                <w:b/>
              </w:rPr>
              <w:t xml:space="preserve"> Decision:</w:t>
            </w:r>
            <w:r w:rsidRPr="00E85F5F">
              <w:rPr>
                <w:rFonts w:ascii="Arial" w:hAnsi="Arial" w:cs="Arial"/>
              </w:rPr>
              <w:t xml:space="preserve">  </w:t>
            </w:r>
            <w:r>
              <w:rPr>
                <w:rFonts w:ascii="Arial" w:hAnsi="Arial" w:cs="Arial"/>
              </w:rPr>
              <w:t xml:space="preserve"> </w:t>
            </w:r>
            <w:r w:rsidR="006A173D" w:rsidRPr="006A173D">
              <w:rPr>
                <w:rFonts w:ascii="Arial" w:hAnsi="Arial" w:cs="Arial"/>
              </w:rPr>
              <w:t xml:space="preserve">On 4/13/22, TAC voted via roll call to recommend approval of NPRR1125 as recommended by PRS in the 4/6/22 PRS Report.  There was one abstention from the Independent Generator (Luminant) Market Segment.  </w:t>
            </w:r>
          </w:p>
          <w:p w14:paraId="527E4219" w14:textId="6B938DC0" w:rsidR="00C20BD4" w:rsidRDefault="008D431A" w:rsidP="008851B6">
            <w:pPr>
              <w:ind w:left="360"/>
              <w:jc w:val="both"/>
              <w:rPr>
                <w:rFonts w:ascii="Arial" w:hAnsi="Arial" w:cs="Arial"/>
              </w:rPr>
            </w:pPr>
            <w:r>
              <w:rPr>
                <w:rFonts w:ascii="Arial" w:hAnsi="Arial" w:cs="Arial"/>
                <w:b/>
              </w:rPr>
              <w:t>ERCOT Market Impact Statement:</w:t>
            </w:r>
            <w:r>
              <w:rPr>
                <w:rFonts w:ascii="Arial" w:hAnsi="Arial" w:cs="Arial"/>
              </w:rPr>
              <w:t xml:space="preserve">  </w:t>
            </w:r>
            <w:r w:rsidR="0056426D" w:rsidRPr="0056426D">
              <w:rPr>
                <w:rFonts w:ascii="Arial" w:hAnsi="Arial" w:cs="Arial"/>
              </w:rPr>
              <w:t>ERCOT Staff has reviewed NPRR1125 and believes the market impact for NPRR1125 clarifies how ERCOT, as servicer for securitization debt, may utilize Financial Security in the event of securitization Payment Defaults.</w:t>
            </w:r>
          </w:p>
          <w:p w14:paraId="16B1EDA6" w14:textId="24641AD2" w:rsidR="00C979C4" w:rsidRDefault="00C979C4" w:rsidP="008851B6">
            <w:pPr>
              <w:ind w:left="360"/>
              <w:jc w:val="both"/>
              <w:rPr>
                <w:rFonts w:ascii="Arial" w:hAnsi="Arial" w:cs="Arial"/>
              </w:rPr>
            </w:pPr>
            <w:r>
              <w:rPr>
                <w:rFonts w:ascii="Arial" w:hAnsi="Arial" w:cs="Arial"/>
                <w:b/>
              </w:rPr>
              <w:t>Credit WG Review:</w:t>
            </w:r>
            <w:r>
              <w:rPr>
                <w:rFonts w:ascii="Arial" w:hAnsi="Arial" w:cs="Arial"/>
              </w:rPr>
              <w:t xml:space="preserve">  </w:t>
            </w:r>
            <w:r w:rsidRPr="00C979C4">
              <w:rPr>
                <w:rFonts w:ascii="Arial" w:hAnsi="Arial" w:cs="Arial"/>
              </w:rPr>
              <w:t>See 4/12/22 Credit WG comments</w:t>
            </w:r>
          </w:p>
          <w:p w14:paraId="0C75B9D4" w14:textId="77777777" w:rsidR="00535DB0" w:rsidRDefault="00535DB0" w:rsidP="008851B6">
            <w:pPr>
              <w:ind w:left="360"/>
              <w:jc w:val="both"/>
              <w:rPr>
                <w:rFonts w:ascii="Arial" w:hAnsi="Arial" w:cs="Arial"/>
              </w:rPr>
            </w:pPr>
          </w:p>
          <w:p w14:paraId="2C3A67A1" w14:textId="77777777" w:rsidR="00535DB0" w:rsidRPr="006A173D" w:rsidRDefault="00535DB0" w:rsidP="008851B6">
            <w:pPr>
              <w:pStyle w:val="ListParagraph"/>
              <w:numPr>
                <w:ilvl w:val="0"/>
                <w:numId w:val="5"/>
              </w:numPr>
              <w:jc w:val="both"/>
              <w:rPr>
                <w:rFonts w:ascii="Arial" w:hAnsi="Arial" w:cs="Arial"/>
                <w:b/>
                <w:i/>
              </w:rPr>
            </w:pPr>
            <w:r w:rsidRPr="006A173D">
              <w:rPr>
                <w:rFonts w:ascii="Arial" w:hAnsi="Arial" w:cs="Arial"/>
                <w:b/>
                <w:i/>
              </w:rPr>
              <w:t>PGRR096, Achieve Consistent Representation of Distributed Generation in Steady-State Models</w:t>
            </w:r>
            <w:r>
              <w:rPr>
                <w:rFonts w:ascii="Arial" w:hAnsi="Arial" w:cs="Arial"/>
                <w:b/>
                <w:i/>
              </w:rPr>
              <w:t xml:space="preserve"> </w:t>
            </w:r>
            <w:r w:rsidRPr="006A173D">
              <w:rPr>
                <w:rFonts w:ascii="Arial" w:hAnsi="Arial" w:cs="Arial"/>
                <w:b/>
                <w:i/>
              </w:rPr>
              <w:t>[ERCOT]</w:t>
            </w:r>
          </w:p>
          <w:p w14:paraId="57A6566A" w14:textId="77777777" w:rsidR="00535DB0" w:rsidRPr="00C20BD4" w:rsidRDefault="00535DB0" w:rsidP="004231C4">
            <w:pPr>
              <w:pStyle w:val="BodyText"/>
              <w:spacing w:before="0" w:after="0"/>
              <w:ind w:left="360"/>
              <w:jc w:val="both"/>
              <w:rPr>
                <w:rFonts w:ascii="Arial" w:hAnsi="Arial" w:cs="Arial"/>
              </w:rPr>
            </w:pPr>
            <w:r w:rsidRPr="00C20BD4">
              <w:rPr>
                <w:rFonts w:ascii="Arial" w:hAnsi="Arial" w:cs="Arial"/>
                <w:b/>
              </w:rPr>
              <w:t xml:space="preserve">Proposed Effective Date:  </w:t>
            </w:r>
            <w:r>
              <w:rPr>
                <w:rFonts w:ascii="Arial" w:hAnsi="Arial" w:cs="Arial"/>
              </w:rPr>
              <w:t>June 1, 2022</w:t>
            </w:r>
          </w:p>
          <w:p w14:paraId="234E12ED" w14:textId="77777777" w:rsidR="00535DB0" w:rsidRPr="00C20BD4" w:rsidRDefault="00535DB0">
            <w:pPr>
              <w:pStyle w:val="BodyText"/>
              <w:spacing w:before="0" w:after="0"/>
              <w:ind w:left="360"/>
              <w:jc w:val="both"/>
              <w:rPr>
                <w:rFonts w:ascii="Arial" w:hAnsi="Arial" w:cs="Arial"/>
                <w:i/>
              </w:rPr>
            </w:pPr>
            <w:r w:rsidRPr="00C20BD4">
              <w:rPr>
                <w:rFonts w:ascii="Arial" w:hAnsi="Arial" w:cs="Arial"/>
                <w:b/>
              </w:rPr>
              <w:t xml:space="preserve">ERCOT Impact Analysis:  </w:t>
            </w:r>
            <w:r w:rsidRPr="00C20BD4">
              <w:rPr>
                <w:rFonts w:ascii="Arial" w:hAnsi="Arial" w:cs="Arial"/>
              </w:rPr>
              <w:t xml:space="preserve">No budgetary impact; no impacts to ERCOT staffing; no impacts to ERCOT computer systems; no impacts to ERCOT business processes; no impacts to ERCOT grid operations and practices. </w:t>
            </w:r>
          </w:p>
          <w:p w14:paraId="0538CF97" w14:textId="392BD986" w:rsidR="00535DB0" w:rsidRDefault="00535DB0" w:rsidP="008851B6">
            <w:pPr>
              <w:ind w:left="360"/>
              <w:jc w:val="both"/>
              <w:rPr>
                <w:rFonts w:ascii="Arial" w:hAnsi="Arial" w:cs="Arial"/>
              </w:rPr>
            </w:pPr>
            <w:r w:rsidRPr="00C20BD4">
              <w:rPr>
                <w:rFonts w:ascii="Arial" w:hAnsi="Arial" w:cs="Arial"/>
                <w:b/>
              </w:rPr>
              <w:t xml:space="preserve">Revision Description:  </w:t>
            </w:r>
            <w:r w:rsidRPr="006A173D">
              <w:rPr>
                <w:rFonts w:ascii="Arial" w:hAnsi="Arial" w:cs="Arial"/>
              </w:rPr>
              <w:t>This PGRR establishes requirements for the consistent representation of Distribution Generation Resources (DGRs), Distribution Energy Storage Resources (DESRs), Settlement Only Distribution Generators (SODGs), and unregistered Distributed Generation (DG) in steady-state base cases.</w:t>
            </w:r>
          </w:p>
          <w:p w14:paraId="6F807DE3" w14:textId="77777777" w:rsidR="00535DB0" w:rsidRDefault="00535DB0" w:rsidP="008851B6">
            <w:pPr>
              <w:ind w:left="360"/>
              <w:jc w:val="both"/>
              <w:rPr>
                <w:rFonts w:ascii="Arial" w:hAnsi="Arial" w:cs="Arial"/>
              </w:rPr>
            </w:pPr>
            <w:r>
              <w:rPr>
                <w:rFonts w:ascii="Arial" w:hAnsi="Arial" w:cs="Arial"/>
                <w:b/>
              </w:rPr>
              <w:t>TAC</w:t>
            </w:r>
            <w:r w:rsidRPr="00E85F5F">
              <w:rPr>
                <w:rFonts w:ascii="Arial" w:hAnsi="Arial" w:cs="Arial"/>
                <w:b/>
              </w:rPr>
              <w:t xml:space="preserve"> Decision:</w:t>
            </w:r>
            <w:r w:rsidRPr="00E85F5F">
              <w:rPr>
                <w:rFonts w:ascii="Arial" w:hAnsi="Arial" w:cs="Arial"/>
              </w:rPr>
              <w:t xml:space="preserve">  </w:t>
            </w:r>
            <w:r>
              <w:rPr>
                <w:rFonts w:ascii="Arial" w:hAnsi="Arial" w:cs="Arial"/>
              </w:rPr>
              <w:t xml:space="preserve"> </w:t>
            </w:r>
            <w:r w:rsidRPr="006A173D">
              <w:rPr>
                <w:rFonts w:ascii="Arial" w:hAnsi="Arial" w:cs="Arial"/>
              </w:rPr>
              <w:t>On 4/13/22, TAC voted to recommend approval of PGRR096 as recommended by ROS in the 3/3/22 ROS Report.  There was one abstention from the Independent Generator (Luminant) Market Segment.</w:t>
            </w:r>
          </w:p>
          <w:p w14:paraId="2F6A69D9" w14:textId="2A60E557" w:rsidR="00535DB0" w:rsidRDefault="00535DB0" w:rsidP="008851B6">
            <w:pPr>
              <w:ind w:left="360"/>
              <w:jc w:val="both"/>
              <w:rPr>
                <w:rFonts w:ascii="Arial" w:hAnsi="Arial" w:cs="Arial"/>
              </w:rPr>
            </w:pPr>
            <w:r>
              <w:rPr>
                <w:rFonts w:ascii="Arial" w:hAnsi="Arial" w:cs="Arial"/>
                <w:b/>
              </w:rPr>
              <w:t>ERCOT Market Impact Statement:</w:t>
            </w:r>
            <w:r>
              <w:rPr>
                <w:rFonts w:ascii="Arial" w:hAnsi="Arial" w:cs="Arial"/>
              </w:rPr>
              <w:t xml:space="preserve">  </w:t>
            </w:r>
            <w:r w:rsidR="004B71A8" w:rsidRPr="004B71A8">
              <w:rPr>
                <w:rFonts w:ascii="Arial" w:hAnsi="Arial" w:cs="Arial"/>
              </w:rPr>
              <w:t>ERCOT Staff has reviewed PGRR096 and believes the market impact for PGRR096 facilitates a consistent methodology for the representation of distributed energy resources in planning assessments for the maintenance and improvement of system reliability.</w:t>
            </w:r>
          </w:p>
          <w:p w14:paraId="206B7164" w14:textId="77777777" w:rsidR="00535DB0" w:rsidRDefault="00535DB0" w:rsidP="008851B6">
            <w:pPr>
              <w:ind w:left="360"/>
              <w:jc w:val="both"/>
              <w:rPr>
                <w:rFonts w:ascii="Arial" w:hAnsi="Arial" w:cs="Arial"/>
                <w:b/>
                <w:i/>
              </w:rPr>
            </w:pPr>
          </w:p>
          <w:p w14:paraId="54E9CEB6" w14:textId="77777777" w:rsidR="00535DB0" w:rsidRPr="006A173D" w:rsidRDefault="00535DB0" w:rsidP="008851B6">
            <w:pPr>
              <w:pStyle w:val="ListParagraph"/>
              <w:numPr>
                <w:ilvl w:val="0"/>
                <w:numId w:val="5"/>
              </w:numPr>
              <w:jc w:val="both"/>
              <w:rPr>
                <w:rFonts w:ascii="Arial" w:hAnsi="Arial" w:cs="Arial"/>
                <w:b/>
                <w:i/>
              </w:rPr>
            </w:pPr>
            <w:r w:rsidRPr="006A173D">
              <w:rPr>
                <w:rFonts w:ascii="Arial" w:hAnsi="Arial" w:cs="Arial"/>
                <w:b/>
                <w:i/>
              </w:rPr>
              <w:t>PGRR098, Consideration of Load Shed in Transmission Planning Criteria</w:t>
            </w:r>
            <w:r>
              <w:rPr>
                <w:rFonts w:ascii="Arial" w:hAnsi="Arial" w:cs="Arial"/>
                <w:b/>
                <w:i/>
              </w:rPr>
              <w:t xml:space="preserve"> </w:t>
            </w:r>
            <w:r w:rsidRPr="006A173D">
              <w:rPr>
                <w:rFonts w:ascii="Arial" w:hAnsi="Arial" w:cs="Arial"/>
                <w:b/>
                <w:i/>
              </w:rPr>
              <w:t>[ERCOT]</w:t>
            </w:r>
          </w:p>
          <w:p w14:paraId="28ABFD9A" w14:textId="77777777" w:rsidR="00535DB0" w:rsidRPr="00C20BD4" w:rsidRDefault="00535DB0" w:rsidP="004231C4">
            <w:pPr>
              <w:pStyle w:val="BodyText"/>
              <w:spacing w:before="0" w:after="0"/>
              <w:ind w:left="360"/>
              <w:jc w:val="both"/>
              <w:rPr>
                <w:rFonts w:ascii="Arial" w:hAnsi="Arial" w:cs="Arial"/>
              </w:rPr>
            </w:pPr>
            <w:r w:rsidRPr="00C20BD4">
              <w:rPr>
                <w:rFonts w:ascii="Arial" w:hAnsi="Arial" w:cs="Arial"/>
                <w:b/>
              </w:rPr>
              <w:t xml:space="preserve">Proposed Effective Date:  </w:t>
            </w:r>
            <w:r w:rsidRPr="006A173D">
              <w:rPr>
                <w:rFonts w:ascii="Arial" w:hAnsi="Arial" w:cs="Arial"/>
              </w:rPr>
              <w:t>January 1, 2024 – Section 4.1.1.7</w:t>
            </w:r>
            <w:r>
              <w:rPr>
                <w:rFonts w:ascii="Arial" w:hAnsi="Arial" w:cs="Arial"/>
              </w:rPr>
              <w:t xml:space="preserve">; </w:t>
            </w:r>
            <w:r w:rsidRPr="006A173D">
              <w:rPr>
                <w:rFonts w:ascii="Arial" w:hAnsi="Arial" w:cs="Arial"/>
              </w:rPr>
              <w:t>Upon system implementation – remainder of PGRR098</w:t>
            </w:r>
          </w:p>
          <w:p w14:paraId="692CBC7B" w14:textId="2C245309" w:rsidR="00535DB0" w:rsidRPr="00C20BD4" w:rsidRDefault="00535DB0">
            <w:pPr>
              <w:pStyle w:val="BodyText"/>
              <w:spacing w:before="0" w:after="0"/>
              <w:ind w:left="360"/>
              <w:jc w:val="both"/>
              <w:rPr>
                <w:rFonts w:ascii="Arial" w:hAnsi="Arial" w:cs="Arial"/>
                <w:i/>
              </w:rPr>
            </w:pPr>
            <w:r w:rsidRPr="00C20BD4">
              <w:rPr>
                <w:rFonts w:ascii="Arial" w:hAnsi="Arial" w:cs="Arial"/>
                <w:b/>
              </w:rPr>
              <w:lastRenderedPageBreak/>
              <w:t xml:space="preserve">ERCOT Impact Analysis:  </w:t>
            </w:r>
            <w:r w:rsidR="00F43783">
              <w:rPr>
                <w:rFonts w:ascii="Arial" w:hAnsi="Arial" w:cs="Arial"/>
              </w:rPr>
              <w:t>Less than $20k O&amp;M (</w:t>
            </w:r>
            <w:r w:rsidR="00F43783" w:rsidRPr="00F43783">
              <w:rPr>
                <w:rFonts w:ascii="Arial" w:hAnsi="Arial" w:cs="Arial"/>
              </w:rPr>
              <w:t>Annual Recurring O&amp;M Budget Cost:  $160k – $190k</w:t>
            </w:r>
            <w:r w:rsidR="00F43783">
              <w:rPr>
                <w:rFonts w:ascii="Arial" w:hAnsi="Arial" w:cs="Arial"/>
              </w:rPr>
              <w:t>)</w:t>
            </w:r>
            <w:r w:rsidRPr="00C20BD4">
              <w:rPr>
                <w:rFonts w:ascii="Arial" w:hAnsi="Arial" w:cs="Arial"/>
              </w:rPr>
              <w:t xml:space="preserve">; </w:t>
            </w:r>
            <w:r w:rsidR="00F43783">
              <w:rPr>
                <w:rFonts w:ascii="Arial" w:hAnsi="Arial" w:cs="Arial"/>
              </w:rPr>
              <w:t xml:space="preserve">ERCOT staffing impact of </w:t>
            </w:r>
            <w:r w:rsidR="00F43783" w:rsidRPr="00F43783">
              <w:rPr>
                <w:rFonts w:ascii="Arial" w:hAnsi="Arial" w:cs="Arial"/>
              </w:rPr>
              <w:t xml:space="preserve">0.8 Full-Time Employee (FTE) </w:t>
            </w:r>
            <w:r w:rsidR="00F43783">
              <w:rPr>
                <w:rFonts w:ascii="Arial" w:hAnsi="Arial" w:cs="Arial"/>
              </w:rPr>
              <w:t>(Transmission Planning)</w:t>
            </w:r>
            <w:r w:rsidRPr="00C20BD4">
              <w:rPr>
                <w:rFonts w:ascii="Arial" w:hAnsi="Arial" w:cs="Arial"/>
              </w:rPr>
              <w:t xml:space="preserve">; impacts to </w:t>
            </w:r>
            <w:r w:rsidR="00F43783">
              <w:rPr>
                <w:rFonts w:ascii="Arial" w:hAnsi="Arial" w:cs="Arial"/>
              </w:rPr>
              <w:t>Grid Modeling Systems</w:t>
            </w:r>
            <w:r w:rsidRPr="00C20BD4">
              <w:rPr>
                <w:rFonts w:ascii="Arial" w:hAnsi="Arial" w:cs="Arial"/>
              </w:rPr>
              <w:t>; ERCOT business processes</w:t>
            </w:r>
            <w:r w:rsidR="00F43783">
              <w:rPr>
                <w:rFonts w:ascii="Arial" w:hAnsi="Arial" w:cs="Arial"/>
              </w:rPr>
              <w:t xml:space="preserve"> will be updated</w:t>
            </w:r>
            <w:r w:rsidRPr="00C20BD4">
              <w:rPr>
                <w:rFonts w:ascii="Arial" w:hAnsi="Arial" w:cs="Arial"/>
              </w:rPr>
              <w:t xml:space="preserve">; no impacts to ERCOT grid operations and practices. </w:t>
            </w:r>
          </w:p>
          <w:p w14:paraId="7447BC15" w14:textId="7D0AC6E2" w:rsidR="00535DB0" w:rsidRDefault="00535DB0" w:rsidP="008851B6">
            <w:pPr>
              <w:ind w:left="360"/>
              <w:jc w:val="both"/>
              <w:rPr>
                <w:rFonts w:ascii="Arial" w:hAnsi="Arial" w:cs="Arial"/>
              </w:rPr>
            </w:pPr>
            <w:r w:rsidRPr="00C20BD4">
              <w:rPr>
                <w:rFonts w:ascii="Arial" w:hAnsi="Arial" w:cs="Arial"/>
                <w:b/>
              </w:rPr>
              <w:t xml:space="preserve">Revision Description:  </w:t>
            </w:r>
            <w:r w:rsidRPr="006A173D">
              <w:rPr>
                <w:rFonts w:ascii="Arial" w:hAnsi="Arial" w:cs="Arial"/>
              </w:rPr>
              <w:t>This PGRR adds language to the existing reliability performance criteria to allow a corrective action plan to be developed under certain outage scenarios.</w:t>
            </w:r>
          </w:p>
          <w:p w14:paraId="7F076610" w14:textId="64982595" w:rsidR="00535DB0" w:rsidRDefault="00535DB0" w:rsidP="008851B6">
            <w:pPr>
              <w:ind w:left="360"/>
              <w:jc w:val="both"/>
              <w:rPr>
                <w:rFonts w:ascii="Arial" w:hAnsi="Arial" w:cs="Arial"/>
              </w:rPr>
            </w:pPr>
            <w:r>
              <w:rPr>
                <w:rFonts w:ascii="Arial" w:hAnsi="Arial" w:cs="Arial"/>
                <w:b/>
              </w:rPr>
              <w:t>TAC</w:t>
            </w:r>
            <w:r w:rsidRPr="00E85F5F">
              <w:rPr>
                <w:rFonts w:ascii="Arial" w:hAnsi="Arial" w:cs="Arial"/>
                <w:b/>
              </w:rPr>
              <w:t xml:space="preserve"> Decision:</w:t>
            </w:r>
            <w:r w:rsidRPr="00E85F5F">
              <w:rPr>
                <w:rFonts w:ascii="Arial" w:hAnsi="Arial" w:cs="Arial"/>
              </w:rPr>
              <w:t xml:space="preserve">  </w:t>
            </w:r>
            <w:r>
              <w:rPr>
                <w:rFonts w:ascii="Arial" w:hAnsi="Arial" w:cs="Arial"/>
              </w:rPr>
              <w:t xml:space="preserve"> </w:t>
            </w:r>
            <w:r w:rsidRPr="006A173D">
              <w:rPr>
                <w:rFonts w:ascii="Arial" w:hAnsi="Arial" w:cs="Arial"/>
              </w:rPr>
              <w:t>On 4/13/22, TAC voted via roll call to recommend approval of PGRR098 as recommended by ROS in the 3/3/22 ROS Report; with a recommended effective date of January 1, 2024 for Section 4.1.1.</w:t>
            </w:r>
            <w:r w:rsidR="00F43783">
              <w:rPr>
                <w:rFonts w:ascii="Arial" w:hAnsi="Arial" w:cs="Arial"/>
              </w:rPr>
              <w:t>8</w:t>
            </w:r>
            <w:r w:rsidRPr="006A173D">
              <w:rPr>
                <w:rFonts w:ascii="Arial" w:hAnsi="Arial" w:cs="Arial"/>
              </w:rPr>
              <w:t xml:space="preserve"> and upon system implementation for the remainder of PGRR098.  There was one abstention from the Independent Generator (Luminant) Market Segment.  </w:t>
            </w:r>
          </w:p>
          <w:p w14:paraId="59E37E81" w14:textId="574DECC8" w:rsidR="00535DB0" w:rsidRDefault="00535DB0" w:rsidP="008851B6">
            <w:pPr>
              <w:ind w:left="360"/>
              <w:jc w:val="both"/>
              <w:rPr>
                <w:rFonts w:ascii="Arial" w:hAnsi="Arial" w:cs="Arial"/>
              </w:rPr>
            </w:pPr>
            <w:r>
              <w:rPr>
                <w:rFonts w:ascii="Arial" w:hAnsi="Arial" w:cs="Arial"/>
                <w:b/>
              </w:rPr>
              <w:t>ERCOT Market Impact Statement:</w:t>
            </w:r>
            <w:r>
              <w:rPr>
                <w:rFonts w:ascii="Arial" w:hAnsi="Arial" w:cs="Arial"/>
              </w:rPr>
              <w:t xml:space="preserve">  </w:t>
            </w:r>
            <w:r w:rsidR="00F43783" w:rsidRPr="00F43783">
              <w:rPr>
                <w:rFonts w:ascii="Arial" w:hAnsi="Arial" w:cs="Arial"/>
              </w:rPr>
              <w:t xml:space="preserve">ERCOT Staff has reviewed PGRR098 and believes the market impact for PGRR098 permits </w:t>
            </w:r>
            <w:r w:rsidR="00F43783">
              <w:rPr>
                <w:rFonts w:ascii="Arial" w:hAnsi="Arial" w:cs="Arial"/>
              </w:rPr>
              <w:t>Transmission Service Providers (TSPs)</w:t>
            </w:r>
            <w:r w:rsidR="00F43783" w:rsidRPr="00F43783">
              <w:rPr>
                <w:rFonts w:ascii="Arial" w:hAnsi="Arial" w:cs="Arial"/>
              </w:rPr>
              <w:t xml:space="preserve"> to develop corrective action plans to facilitate the scheduling of maintenance outages during off-peak system conditions without additional risk of non-consequential load loss.</w:t>
            </w:r>
          </w:p>
          <w:p w14:paraId="5F83CA5B" w14:textId="77777777" w:rsidR="006A173D" w:rsidRDefault="006A173D" w:rsidP="008851B6">
            <w:pPr>
              <w:ind w:left="360"/>
              <w:jc w:val="both"/>
              <w:rPr>
                <w:rFonts w:ascii="Arial" w:hAnsi="Arial" w:cs="Arial"/>
              </w:rPr>
            </w:pPr>
          </w:p>
          <w:p w14:paraId="5B5536EA" w14:textId="5C138D82" w:rsidR="006A173D" w:rsidRPr="006A173D" w:rsidRDefault="006A173D" w:rsidP="008851B6">
            <w:pPr>
              <w:pStyle w:val="ListParagraph"/>
              <w:numPr>
                <w:ilvl w:val="0"/>
                <w:numId w:val="5"/>
              </w:numPr>
              <w:jc w:val="both"/>
              <w:rPr>
                <w:rFonts w:ascii="Arial" w:hAnsi="Arial" w:cs="Arial"/>
                <w:b/>
                <w:i/>
              </w:rPr>
            </w:pPr>
            <w:r w:rsidRPr="006A173D">
              <w:rPr>
                <w:rFonts w:ascii="Arial" w:hAnsi="Arial" w:cs="Arial"/>
                <w:b/>
                <w:i/>
              </w:rPr>
              <w:t>SMOGRR025, Modifications to Line Loss Compensation Requirement for EPS Metering [ERCOT]</w:t>
            </w:r>
          </w:p>
          <w:p w14:paraId="6F288ADE" w14:textId="528C6C23" w:rsidR="006A173D" w:rsidRPr="00C20BD4" w:rsidRDefault="006A173D" w:rsidP="004231C4">
            <w:pPr>
              <w:pStyle w:val="BodyText"/>
              <w:spacing w:before="0" w:after="0"/>
              <w:ind w:left="360"/>
              <w:jc w:val="both"/>
              <w:rPr>
                <w:rFonts w:ascii="Arial" w:hAnsi="Arial" w:cs="Arial"/>
              </w:rPr>
            </w:pPr>
            <w:r w:rsidRPr="00C20BD4">
              <w:rPr>
                <w:rFonts w:ascii="Arial" w:hAnsi="Arial" w:cs="Arial"/>
                <w:b/>
              </w:rPr>
              <w:t xml:space="preserve">Proposed Effective Date:  </w:t>
            </w:r>
            <w:r>
              <w:rPr>
                <w:rFonts w:ascii="Arial" w:hAnsi="Arial" w:cs="Arial"/>
              </w:rPr>
              <w:t>June 1, 2022</w:t>
            </w:r>
          </w:p>
          <w:p w14:paraId="01645B04" w14:textId="61F9629D" w:rsidR="006A173D" w:rsidRPr="00C20BD4" w:rsidRDefault="006A173D" w:rsidP="00165BF3">
            <w:pPr>
              <w:pStyle w:val="BodyText"/>
              <w:spacing w:before="0" w:after="0"/>
              <w:ind w:left="360"/>
              <w:jc w:val="both"/>
              <w:rPr>
                <w:rFonts w:ascii="Arial" w:hAnsi="Arial" w:cs="Arial"/>
                <w:i/>
              </w:rPr>
            </w:pPr>
            <w:r w:rsidRPr="00C20BD4">
              <w:rPr>
                <w:rFonts w:ascii="Arial" w:hAnsi="Arial" w:cs="Arial"/>
                <w:b/>
              </w:rPr>
              <w:t xml:space="preserve">ERCOT Impact Analysis:  </w:t>
            </w:r>
            <w:r w:rsidRPr="00C20BD4">
              <w:rPr>
                <w:rFonts w:ascii="Arial" w:hAnsi="Arial" w:cs="Arial"/>
              </w:rPr>
              <w:t>No budgetary impact; no impacts to ERCOT staffing; no impacts to ERCOT computer systems; ERCOT business processes</w:t>
            </w:r>
            <w:r w:rsidR="00C979C4">
              <w:rPr>
                <w:rFonts w:ascii="Arial" w:hAnsi="Arial" w:cs="Arial"/>
              </w:rPr>
              <w:t xml:space="preserve"> will be u</w:t>
            </w:r>
            <w:r w:rsidR="00B47CBD">
              <w:rPr>
                <w:rFonts w:ascii="Arial" w:hAnsi="Arial" w:cs="Arial"/>
              </w:rPr>
              <w:t>p</w:t>
            </w:r>
            <w:r w:rsidR="00C979C4">
              <w:rPr>
                <w:rFonts w:ascii="Arial" w:hAnsi="Arial" w:cs="Arial"/>
              </w:rPr>
              <w:t>dated</w:t>
            </w:r>
            <w:r w:rsidRPr="00C20BD4">
              <w:rPr>
                <w:rFonts w:ascii="Arial" w:hAnsi="Arial" w:cs="Arial"/>
              </w:rPr>
              <w:t xml:space="preserve">; no impacts to ERCOT grid operations and practices. </w:t>
            </w:r>
          </w:p>
          <w:p w14:paraId="536E8AB3" w14:textId="4D361A83" w:rsidR="006A173D" w:rsidRDefault="006A173D" w:rsidP="008851B6">
            <w:pPr>
              <w:ind w:left="360"/>
              <w:jc w:val="both"/>
              <w:rPr>
                <w:rFonts w:ascii="Arial" w:hAnsi="Arial" w:cs="Arial"/>
              </w:rPr>
            </w:pPr>
            <w:r w:rsidRPr="00C20BD4">
              <w:rPr>
                <w:rFonts w:ascii="Arial" w:hAnsi="Arial" w:cs="Arial"/>
                <w:b/>
              </w:rPr>
              <w:t xml:space="preserve">Revision Description:  </w:t>
            </w:r>
            <w:r w:rsidRPr="006A173D">
              <w:rPr>
                <w:rFonts w:ascii="Arial" w:hAnsi="Arial" w:cs="Arial"/>
              </w:rPr>
              <w:t xml:space="preserve">This SMOGRR allows for losses in short runs of connecting lines to be disregarded in instances where the EPS Meter is not physically placed at the POI.  This SMOGRR requires calculation to verify that the watts copper losses are below 0.001%.  </w:t>
            </w:r>
          </w:p>
          <w:p w14:paraId="30588336" w14:textId="2FA3E184" w:rsidR="006A173D" w:rsidRDefault="006A173D" w:rsidP="008851B6">
            <w:pPr>
              <w:ind w:left="360"/>
              <w:jc w:val="both"/>
              <w:rPr>
                <w:rFonts w:ascii="Arial" w:hAnsi="Arial" w:cs="Arial"/>
              </w:rPr>
            </w:pPr>
            <w:r>
              <w:rPr>
                <w:rFonts w:ascii="Arial" w:hAnsi="Arial" w:cs="Arial"/>
                <w:b/>
              </w:rPr>
              <w:t>TAC</w:t>
            </w:r>
            <w:r w:rsidRPr="00E85F5F">
              <w:rPr>
                <w:rFonts w:ascii="Arial" w:hAnsi="Arial" w:cs="Arial"/>
                <w:b/>
              </w:rPr>
              <w:t xml:space="preserve"> Decision:</w:t>
            </w:r>
            <w:r w:rsidRPr="00E85F5F">
              <w:rPr>
                <w:rFonts w:ascii="Arial" w:hAnsi="Arial" w:cs="Arial"/>
              </w:rPr>
              <w:t xml:space="preserve">  </w:t>
            </w:r>
            <w:r w:rsidRPr="006A173D">
              <w:rPr>
                <w:rFonts w:ascii="Arial" w:hAnsi="Arial" w:cs="Arial"/>
              </w:rPr>
              <w:t xml:space="preserve">On 4/13/22, TAC voted via roll call to recommend approval of SMOGRR025 as recommended by WMS in the 4/6/22 WMS Report.  There was one abstention from the Independent Generator (Luminant) Market Segment.  </w:t>
            </w:r>
          </w:p>
          <w:p w14:paraId="4EAE85C2" w14:textId="368737BD" w:rsidR="006A173D" w:rsidRDefault="006A173D" w:rsidP="008851B6">
            <w:pPr>
              <w:ind w:left="360"/>
              <w:jc w:val="both"/>
              <w:rPr>
                <w:rFonts w:ascii="Arial" w:hAnsi="Arial" w:cs="Arial"/>
              </w:rPr>
            </w:pPr>
            <w:r>
              <w:rPr>
                <w:rFonts w:ascii="Arial" w:hAnsi="Arial" w:cs="Arial"/>
                <w:b/>
              </w:rPr>
              <w:t>ERCOT Market Impact Statement:</w:t>
            </w:r>
            <w:r>
              <w:rPr>
                <w:rFonts w:ascii="Arial" w:hAnsi="Arial" w:cs="Arial"/>
              </w:rPr>
              <w:t xml:space="preserve">  </w:t>
            </w:r>
            <w:r w:rsidR="004B71A8" w:rsidRPr="004B71A8">
              <w:rPr>
                <w:rFonts w:ascii="Arial" w:hAnsi="Arial" w:cs="Arial"/>
              </w:rPr>
              <w:t>ERCOT Staff has reviewed SMOGRR025 and believes the market impact for SMOGRR025, in conjunction with NPRR1117, will facilitate calculations to determine whether to require the EPS Meter to be programmed to account for line losses.</w:t>
            </w:r>
          </w:p>
          <w:p w14:paraId="3009BB0E" w14:textId="77777777" w:rsidR="00A374C1" w:rsidRPr="007F1A85" w:rsidRDefault="00A374C1" w:rsidP="008851B6">
            <w:pPr>
              <w:jc w:val="both"/>
              <w:rPr>
                <w:rFonts w:ascii="Arial" w:hAnsi="Arial" w:cs="Arial"/>
              </w:rPr>
            </w:pPr>
          </w:p>
          <w:p w14:paraId="4EF91F7C" w14:textId="387DCF43" w:rsidR="009C6BA6" w:rsidRPr="00F47DEE" w:rsidRDefault="009C6BA6" w:rsidP="004231C4">
            <w:pPr>
              <w:jc w:val="both"/>
              <w:rPr>
                <w:rFonts w:ascii="Arial" w:hAnsi="Arial" w:cs="Arial"/>
                <w:bCs/>
              </w:rPr>
            </w:pPr>
            <w:r w:rsidRPr="00F47DEE">
              <w:rPr>
                <w:rFonts w:ascii="Arial" w:hAnsi="Arial" w:cs="Arial"/>
                <w:bCs/>
              </w:rPr>
              <w:t xml:space="preserve">The TAC Reports and Impact Analyses for these Revision Requests are included in the </w:t>
            </w:r>
            <w:hyperlink r:id="rId12" w:history="1">
              <w:r w:rsidRPr="0042169B">
                <w:rPr>
                  <w:rStyle w:val="Hyperlink"/>
                  <w:rFonts w:ascii="Arial" w:hAnsi="Arial" w:cs="Arial"/>
                  <w:bCs/>
                </w:rPr>
                <w:t>ERCOT Board meeting materials</w:t>
              </w:r>
            </w:hyperlink>
            <w:r w:rsidR="0042169B">
              <w:rPr>
                <w:rFonts w:ascii="Arial" w:hAnsi="Arial" w:cs="Arial"/>
                <w:bCs/>
              </w:rPr>
              <w:t>.</w:t>
            </w:r>
          </w:p>
          <w:p w14:paraId="4639C5BE" w14:textId="74675491" w:rsidR="00250349" w:rsidRDefault="00250349">
            <w:pPr>
              <w:jc w:val="both"/>
              <w:rPr>
                <w:rFonts w:ascii="Arial" w:hAnsi="Arial" w:cs="Arial"/>
              </w:rPr>
            </w:pPr>
          </w:p>
          <w:p w14:paraId="3163E0DE" w14:textId="59DD2688" w:rsidR="0042169B" w:rsidRDefault="009C6BA6">
            <w:pPr>
              <w:jc w:val="both"/>
              <w:rPr>
                <w:rFonts w:ascii="Arial" w:hAnsi="Arial" w:cs="Arial"/>
                <w:bCs/>
              </w:rPr>
            </w:pPr>
            <w:r w:rsidRPr="00F47DEE">
              <w:rPr>
                <w:rFonts w:ascii="Arial" w:hAnsi="Arial" w:cs="Arial"/>
                <w:bCs/>
              </w:rPr>
              <w:t>In addition, these Revision Requests</w:t>
            </w:r>
            <w:r w:rsidR="0042169B">
              <w:rPr>
                <w:rFonts w:ascii="Arial" w:hAnsi="Arial" w:cs="Arial"/>
                <w:bCs/>
              </w:rPr>
              <w:t xml:space="preserve"> (</w:t>
            </w:r>
            <w:hyperlink r:id="rId13" w:history="1">
              <w:r w:rsidR="006D28BB" w:rsidRPr="006D28BB">
                <w:rPr>
                  <w:rStyle w:val="Hyperlink"/>
                  <w:rFonts w:ascii="Arial" w:hAnsi="Arial" w:cs="Arial"/>
                  <w:bCs/>
                </w:rPr>
                <w:t>NPRRs</w:t>
              </w:r>
            </w:hyperlink>
            <w:r w:rsidR="006D28BB">
              <w:rPr>
                <w:rFonts w:ascii="Arial" w:hAnsi="Arial" w:cs="Arial"/>
                <w:bCs/>
              </w:rPr>
              <w:t xml:space="preserve">, </w:t>
            </w:r>
            <w:hyperlink r:id="rId14" w:history="1">
              <w:r w:rsidR="00FE4465" w:rsidRPr="00FE4465">
                <w:rPr>
                  <w:rStyle w:val="Hyperlink"/>
                  <w:rFonts w:ascii="Arial" w:hAnsi="Arial" w:cs="Arial"/>
                  <w:bCs/>
                </w:rPr>
                <w:t>PGRR</w:t>
              </w:r>
            </w:hyperlink>
            <w:r w:rsidR="00F43783">
              <w:rPr>
                <w:rStyle w:val="Hyperlink"/>
                <w:rFonts w:ascii="Arial" w:hAnsi="Arial" w:cs="Arial"/>
                <w:bCs/>
              </w:rPr>
              <w:t>s</w:t>
            </w:r>
            <w:r w:rsidR="00FE4465">
              <w:rPr>
                <w:rFonts w:ascii="Arial" w:hAnsi="Arial" w:cs="Arial"/>
                <w:bCs/>
              </w:rPr>
              <w:t>,</w:t>
            </w:r>
            <w:r w:rsidR="006D28BB">
              <w:rPr>
                <w:rFonts w:ascii="Arial" w:hAnsi="Arial" w:cs="Arial"/>
                <w:bCs/>
              </w:rPr>
              <w:t xml:space="preserve"> </w:t>
            </w:r>
            <w:r w:rsidR="00F43783">
              <w:rPr>
                <w:rFonts w:ascii="Arial" w:hAnsi="Arial" w:cs="Arial"/>
                <w:bCs/>
              </w:rPr>
              <w:t xml:space="preserve">and </w:t>
            </w:r>
            <w:hyperlink r:id="rId15" w:history="1">
              <w:r w:rsidR="00F43783">
                <w:rPr>
                  <w:rStyle w:val="Hyperlink"/>
                  <w:rFonts w:ascii="Arial" w:hAnsi="Arial" w:cs="Arial"/>
                  <w:bCs/>
                </w:rPr>
                <w:t>SMOGRR</w:t>
              </w:r>
            </w:hyperlink>
            <w:r w:rsidR="00E7251C" w:rsidRPr="00DB547B">
              <w:rPr>
                <w:rFonts w:ascii="Arial" w:hAnsi="Arial" w:cs="Arial"/>
                <w:bCs/>
              </w:rPr>
              <w:t>)</w:t>
            </w:r>
            <w:r w:rsidR="0042169B">
              <w:rPr>
                <w:rFonts w:ascii="Arial" w:hAnsi="Arial" w:cs="Arial"/>
                <w:bCs/>
              </w:rPr>
              <w:t xml:space="preserve"> </w:t>
            </w:r>
            <w:r w:rsidRPr="00F47DEE">
              <w:rPr>
                <w:rFonts w:ascii="Arial" w:hAnsi="Arial" w:cs="Arial"/>
                <w:bCs/>
              </w:rPr>
              <w:t>and supporting materials are posted on the ERCOT website</w:t>
            </w:r>
            <w:r w:rsidR="0042169B">
              <w:rPr>
                <w:rFonts w:ascii="Arial" w:hAnsi="Arial" w:cs="Arial"/>
                <w:bCs/>
              </w:rPr>
              <w:t>.</w:t>
            </w:r>
          </w:p>
          <w:p w14:paraId="3C8D9A5D" w14:textId="2EFF0FEA" w:rsidR="0042169B" w:rsidRPr="009B26B1" w:rsidRDefault="0042169B" w:rsidP="006D28BB">
            <w:pPr>
              <w:jc w:val="both"/>
              <w:rPr>
                <w:rFonts w:ascii="Arial" w:hAnsi="Arial" w:cs="Arial"/>
                <w:bCs/>
                <w:color w:val="0000FF"/>
                <w:u w:val="single"/>
              </w:rPr>
            </w:pPr>
          </w:p>
        </w:tc>
      </w:tr>
      <w:tr w:rsidR="007D620B" w:rsidRPr="00F47DEE" w14:paraId="5E7EE237"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6A4DB285" w14:textId="77777777" w:rsidR="007D620B" w:rsidRPr="00F47DEE" w:rsidRDefault="007D620B" w:rsidP="002C223E">
            <w:pPr>
              <w:pStyle w:val="Heading5"/>
              <w:keepLines/>
              <w:jc w:val="both"/>
              <w:rPr>
                <w:rFonts w:ascii="Arial" w:hAnsi="Arial" w:cs="Arial"/>
                <w:b/>
                <w:bCs/>
              </w:rPr>
            </w:pPr>
            <w:r w:rsidRPr="00F47DEE">
              <w:rPr>
                <w:rFonts w:ascii="Arial" w:hAnsi="Arial" w:cs="Arial"/>
                <w:b/>
                <w:bCs/>
              </w:rPr>
              <w:lastRenderedPageBreak/>
              <w:t>Key Factors Influencing Issue:</w:t>
            </w:r>
          </w:p>
          <w:p w14:paraId="41C67680" w14:textId="2B15A7B2" w:rsidR="00DA79E3" w:rsidRDefault="00DA79E3" w:rsidP="00D6614D">
            <w:pPr>
              <w:jc w:val="both"/>
              <w:rPr>
                <w:rFonts w:ascii="Arial" w:hAnsi="Arial" w:cs="Arial"/>
                <w:bCs/>
              </w:rPr>
            </w:pPr>
            <w:r w:rsidRPr="00F47DEE">
              <w:rPr>
                <w:rFonts w:ascii="Arial" w:hAnsi="Arial" w:cs="Arial"/>
                <w:bCs/>
              </w:rPr>
              <w:t xml:space="preserve">The </w:t>
            </w:r>
            <w:r w:rsidR="00AF4CDB" w:rsidRPr="00F47DEE">
              <w:rPr>
                <w:rFonts w:ascii="Arial" w:hAnsi="Arial" w:cs="Arial"/>
                <w:bCs/>
              </w:rPr>
              <w:t>PRS</w:t>
            </w:r>
            <w:r w:rsidR="006B1C04">
              <w:rPr>
                <w:rFonts w:ascii="Arial" w:hAnsi="Arial" w:cs="Arial"/>
                <w:bCs/>
              </w:rPr>
              <w:t xml:space="preserve"> met</w:t>
            </w:r>
            <w:r w:rsidR="00F43783">
              <w:rPr>
                <w:rFonts w:ascii="Arial" w:hAnsi="Arial" w:cs="Arial"/>
                <w:bCs/>
              </w:rPr>
              <w:t xml:space="preserve">, </w:t>
            </w:r>
            <w:r w:rsidRPr="00F47DEE">
              <w:rPr>
                <w:rFonts w:ascii="Arial" w:hAnsi="Arial" w:cs="Arial"/>
                <w:bCs/>
              </w:rPr>
              <w:t xml:space="preserve">discussed the issues, and submitted reports to TAC regarding </w:t>
            </w:r>
            <w:r w:rsidR="00F43783" w:rsidRPr="00F43783">
              <w:rPr>
                <w:rFonts w:ascii="Arial" w:hAnsi="Arial" w:cs="Arial"/>
                <w:bCs/>
              </w:rPr>
              <w:t xml:space="preserve">NPRRs 1116, 1117, 1122, 1123, </w:t>
            </w:r>
            <w:r w:rsidR="00F43783">
              <w:rPr>
                <w:rFonts w:ascii="Arial" w:hAnsi="Arial" w:cs="Arial"/>
                <w:bCs/>
              </w:rPr>
              <w:t xml:space="preserve">and </w:t>
            </w:r>
            <w:r w:rsidR="00F43783" w:rsidRPr="00F43783">
              <w:rPr>
                <w:rFonts w:ascii="Arial" w:hAnsi="Arial" w:cs="Arial"/>
                <w:bCs/>
              </w:rPr>
              <w:t>1125</w:t>
            </w:r>
            <w:r w:rsidR="00F43783">
              <w:rPr>
                <w:rFonts w:ascii="Arial" w:hAnsi="Arial" w:cs="Arial"/>
                <w:bCs/>
              </w:rPr>
              <w:t>.</w:t>
            </w:r>
          </w:p>
          <w:p w14:paraId="39A1A64A" w14:textId="77777777" w:rsidR="00C43D1F" w:rsidRDefault="00C43D1F" w:rsidP="00D6614D">
            <w:pPr>
              <w:jc w:val="both"/>
              <w:rPr>
                <w:rFonts w:ascii="Arial" w:hAnsi="Arial" w:cs="Arial"/>
                <w:bCs/>
              </w:rPr>
            </w:pPr>
          </w:p>
          <w:p w14:paraId="5297F974" w14:textId="3E04296E" w:rsidR="000D0DC4" w:rsidRDefault="00C43D1F" w:rsidP="00C43D1F">
            <w:pPr>
              <w:jc w:val="both"/>
              <w:rPr>
                <w:rFonts w:ascii="Arial" w:hAnsi="Arial" w:cs="Arial"/>
                <w:bCs/>
              </w:rPr>
            </w:pPr>
            <w:r w:rsidRPr="00F47DEE">
              <w:rPr>
                <w:rFonts w:ascii="Arial" w:hAnsi="Arial" w:cs="Arial"/>
                <w:bCs/>
              </w:rPr>
              <w:t xml:space="preserve">The </w:t>
            </w:r>
            <w:r>
              <w:rPr>
                <w:rFonts w:ascii="Arial" w:hAnsi="Arial" w:cs="Arial"/>
                <w:bCs/>
              </w:rPr>
              <w:t>ROS met,</w:t>
            </w:r>
            <w:r w:rsidRPr="00F47DEE">
              <w:rPr>
                <w:rFonts w:ascii="Arial" w:hAnsi="Arial" w:cs="Arial"/>
                <w:bCs/>
              </w:rPr>
              <w:t xml:space="preserve"> discussed the issues, and submitted</w:t>
            </w:r>
            <w:r w:rsidR="00F11373">
              <w:rPr>
                <w:rFonts w:ascii="Arial" w:hAnsi="Arial" w:cs="Arial"/>
                <w:bCs/>
              </w:rPr>
              <w:t xml:space="preserve"> </w:t>
            </w:r>
            <w:r>
              <w:rPr>
                <w:rFonts w:ascii="Arial" w:hAnsi="Arial" w:cs="Arial"/>
                <w:bCs/>
              </w:rPr>
              <w:t>report</w:t>
            </w:r>
            <w:r w:rsidR="00F11373">
              <w:rPr>
                <w:rFonts w:ascii="Arial" w:hAnsi="Arial" w:cs="Arial"/>
                <w:bCs/>
              </w:rPr>
              <w:t>s</w:t>
            </w:r>
            <w:r w:rsidRPr="00F47DEE">
              <w:rPr>
                <w:rFonts w:ascii="Arial" w:hAnsi="Arial" w:cs="Arial"/>
                <w:bCs/>
              </w:rPr>
              <w:t xml:space="preserve"> to TAC regarding </w:t>
            </w:r>
            <w:r w:rsidR="00F43783">
              <w:rPr>
                <w:rFonts w:ascii="Arial" w:hAnsi="Arial" w:cs="Arial"/>
                <w:bCs/>
              </w:rPr>
              <w:t>PGRRs 096 and 098.</w:t>
            </w:r>
          </w:p>
          <w:p w14:paraId="7B74D139" w14:textId="4B8B682D" w:rsidR="00F11373" w:rsidRDefault="00F11373" w:rsidP="00C43D1F">
            <w:pPr>
              <w:jc w:val="both"/>
              <w:rPr>
                <w:rFonts w:ascii="Arial" w:hAnsi="Arial" w:cs="Arial"/>
                <w:bCs/>
              </w:rPr>
            </w:pPr>
          </w:p>
          <w:p w14:paraId="3E28528D" w14:textId="40B63089" w:rsidR="00F11373" w:rsidRDefault="00F11373" w:rsidP="00C43D1F">
            <w:pPr>
              <w:jc w:val="both"/>
              <w:rPr>
                <w:rFonts w:ascii="Arial" w:hAnsi="Arial" w:cs="Arial"/>
                <w:bCs/>
              </w:rPr>
            </w:pPr>
            <w:r w:rsidRPr="00F47DEE">
              <w:rPr>
                <w:rFonts w:ascii="Arial" w:hAnsi="Arial" w:cs="Arial"/>
                <w:bCs/>
              </w:rPr>
              <w:t xml:space="preserve">The </w:t>
            </w:r>
            <w:r w:rsidR="00F43783">
              <w:rPr>
                <w:rFonts w:ascii="Arial" w:hAnsi="Arial" w:cs="Arial"/>
                <w:bCs/>
              </w:rPr>
              <w:t>WMS</w:t>
            </w:r>
            <w:r>
              <w:rPr>
                <w:rFonts w:ascii="Arial" w:hAnsi="Arial" w:cs="Arial"/>
                <w:bCs/>
              </w:rPr>
              <w:t xml:space="preserve"> met,</w:t>
            </w:r>
            <w:r w:rsidRPr="00F47DEE">
              <w:rPr>
                <w:rFonts w:ascii="Arial" w:hAnsi="Arial" w:cs="Arial"/>
                <w:bCs/>
              </w:rPr>
              <w:t xml:space="preserve"> discussed the issues, and submitted</w:t>
            </w:r>
            <w:r>
              <w:rPr>
                <w:rFonts w:ascii="Arial" w:hAnsi="Arial" w:cs="Arial"/>
                <w:bCs/>
              </w:rPr>
              <w:t xml:space="preserve"> a report</w:t>
            </w:r>
            <w:r w:rsidRPr="00F47DEE">
              <w:rPr>
                <w:rFonts w:ascii="Arial" w:hAnsi="Arial" w:cs="Arial"/>
                <w:bCs/>
              </w:rPr>
              <w:t xml:space="preserve"> to TAC regarding </w:t>
            </w:r>
            <w:r w:rsidR="00F43783">
              <w:rPr>
                <w:rFonts w:ascii="Arial" w:hAnsi="Arial" w:cs="Arial"/>
                <w:bCs/>
              </w:rPr>
              <w:t>SMOGRR025</w:t>
            </w:r>
            <w:r>
              <w:rPr>
                <w:rFonts w:ascii="Arial" w:hAnsi="Arial" w:cs="Arial"/>
                <w:bCs/>
              </w:rPr>
              <w:t>.</w:t>
            </w:r>
          </w:p>
          <w:p w14:paraId="7C11F0E9" w14:textId="2322FE83" w:rsidR="0019529A" w:rsidRDefault="0019529A" w:rsidP="0019529A">
            <w:pPr>
              <w:jc w:val="both"/>
              <w:rPr>
                <w:rFonts w:ascii="Arial" w:hAnsi="Arial" w:cs="Arial"/>
                <w:bCs/>
              </w:rPr>
            </w:pPr>
          </w:p>
          <w:p w14:paraId="6CB7B3F0" w14:textId="6B5FBB0E" w:rsidR="00C43D1F" w:rsidRPr="00F47DEE" w:rsidRDefault="00C43D1F" w:rsidP="00C43D1F">
            <w:pPr>
              <w:jc w:val="both"/>
              <w:rPr>
                <w:rFonts w:ascii="Arial" w:hAnsi="Arial" w:cs="Arial"/>
                <w:bCs/>
              </w:rPr>
            </w:pPr>
          </w:p>
        </w:tc>
      </w:tr>
      <w:tr w:rsidR="007D620B" w:rsidRPr="00F47DEE" w14:paraId="03EC37CE"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44B944B4"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Conclusion/Recommendation:</w:t>
            </w:r>
          </w:p>
          <w:p w14:paraId="128D7660" w14:textId="108AA3D6" w:rsidR="0088605A" w:rsidRPr="00F47DEE" w:rsidRDefault="009C6BA6" w:rsidP="00FA19B6">
            <w:pPr>
              <w:jc w:val="both"/>
              <w:rPr>
                <w:rFonts w:ascii="Arial" w:hAnsi="Arial" w:cs="Arial"/>
                <w:bCs/>
              </w:rPr>
            </w:pPr>
            <w:r w:rsidRPr="00F47DEE">
              <w:rPr>
                <w:rFonts w:ascii="Arial" w:hAnsi="Arial" w:cs="Arial"/>
                <w:bCs/>
              </w:rPr>
              <w:t xml:space="preserve">As more specifically described above, TAC recommends that the ERCOT Board </w:t>
            </w:r>
            <w:r w:rsidR="00C43D1F">
              <w:rPr>
                <w:rFonts w:ascii="Arial" w:hAnsi="Arial" w:cs="Arial"/>
                <w:bCs/>
              </w:rPr>
              <w:t>recommend approval of</w:t>
            </w:r>
            <w:r w:rsidR="00783C94" w:rsidRPr="00F47DEE">
              <w:rPr>
                <w:rFonts w:ascii="Arial" w:hAnsi="Arial" w:cs="Arial"/>
                <w:bCs/>
              </w:rPr>
              <w:t xml:space="preserve"> </w:t>
            </w:r>
            <w:r w:rsidR="00F43783">
              <w:rPr>
                <w:rFonts w:ascii="Arial" w:hAnsi="Arial" w:cs="Arial"/>
                <w:bCs/>
              </w:rPr>
              <w:t>NPRRs 1116, 1117, 1122, 1123,</w:t>
            </w:r>
            <w:r w:rsidR="00B47CBD">
              <w:rPr>
                <w:rFonts w:ascii="Arial" w:hAnsi="Arial" w:cs="Arial"/>
                <w:bCs/>
              </w:rPr>
              <w:t xml:space="preserve"> and</w:t>
            </w:r>
            <w:r w:rsidR="004B0D26">
              <w:rPr>
                <w:rFonts w:ascii="Arial" w:hAnsi="Arial" w:cs="Arial"/>
                <w:bCs/>
              </w:rPr>
              <w:t xml:space="preserve"> </w:t>
            </w:r>
            <w:r w:rsidR="00F43783">
              <w:rPr>
                <w:rFonts w:ascii="Arial" w:hAnsi="Arial" w:cs="Arial"/>
                <w:bCs/>
              </w:rPr>
              <w:t>1125; PGRR096 and 098; and SMOGRR025</w:t>
            </w:r>
            <w:r w:rsidR="00F537CE">
              <w:rPr>
                <w:rFonts w:ascii="Arial" w:hAnsi="Arial" w:cs="Arial"/>
                <w:bCs/>
              </w:rPr>
              <w:t>.</w:t>
            </w:r>
          </w:p>
          <w:p w14:paraId="5802F134" w14:textId="77777777" w:rsidR="001A2306" w:rsidRPr="00F47DEE" w:rsidRDefault="001A2306" w:rsidP="00FA19B6">
            <w:pPr>
              <w:jc w:val="both"/>
              <w:rPr>
                <w:rFonts w:ascii="Arial" w:hAnsi="Arial" w:cs="Arial"/>
              </w:rPr>
            </w:pPr>
          </w:p>
        </w:tc>
      </w:tr>
    </w:tbl>
    <w:p w14:paraId="1BE0B170" w14:textId="77777777" w:rsidR="0042276F" w:rsidRDefault="0042276F">
      <w:pPr>
        <w:rPr>
          <w:rFonts w:ascii="Arial" w:hAnsi="Arial" w:cs="Arial"/>
          <w:b/>
          <w:u w:val="single"/>
        </w:rPr>
      </w:pPr>
      <w:r>
        <w:rPr>
          <w:rFonts w:ascii="Arial" w:hAnsi="Arial" w:cs="Arial"/>
          <w:b/>
          <w:u w:val="single"/>
        </w:rPr>
        <w:br w:type="page"/>
      </w:r>
    </w:p>
    <w:p w14:paraId="70CB28D7" w14:textId="18C36AB0" w:rsidR="00307699" w:rsidRPr="00F47DEE" w:rsidRDefault="00307699" w:rsidP="0019529A">
      <w:pPr>
        <w:jc w:val="center"/>
        <w:rPr>
          <w:rFonts w:ascii="Arial" w:hAnsi="Arial" w:cs="Arial"/>
          <w:b/>
          <w:u w:val="single"/>
        </w:rPr>
      </w:pPr>
      <w:r w:rsidRPr="00F47DEE">
        <w:rPr>
          <w:rFonts w:ascii="Arial" w:hAnsi="Arial" w:cs="Arial"/>
          <w:b/>
          <w:u w:val="single"/>
        </w:rPr>
        <w:lastRenderedPageBreak/>
        <w:t>ELECTRIC RELIABILITY COUNCIL OF TEXAS, INC.</w:t>
      </w:r>
    </w:p>
    <w:p w14:paraId="3CEAACAD" w14:textId="77777777" w:rsidR="00307699" w:rsidRPr="00F47DEE" w:rsidRDefault="00307699" w:rsidP="00A62562">
      <w:pPr>
        <w:jc w:val="center"/>
        <w:rPr>
          <w:rFonts w:ascii="Arial" w:hAnsi="Arial" w:cs="Arial"/>
          <w:b/>
          <w:u w:val="single"/>
        </w:rPr>
      </w:pPr>
      <w:r w:rsidRPr="00F47DEE">
        <w:rPr>
          <w:rFonts w:ascii="Arial" w:hAnsi="Arial" w:cs="Arial"/>
          <w:b/>
          <w:u w:val="single"/>
        </w:rPr>
        <w:t>BOARD OF DIRECTORS RESOLUTION</w:t>
      </w:r>
    </w:p>
    <w:p w14:paraId="11EF4A55" w14:textId="77777777" w:rsidR="00307699" w:rsidRPr="00F47DEE" w:rsidRDefault="00307699" w:rsidP="00A62562">
      <w:pPr>
        <w:jc w:val="center"/>
        <w:rPr>
          <w:rFonts w:ascii="Arial" w:hAnsi="Arial" w:cs="Arial"/>
        </w:rPr>
      </w:pPr>
    </w:p>
    <w:p w14:paraId="24035E6C" w14:textId="00269CD8" w:rsidR="00307699" w:rsidRPr="00F47DEE" w:rsidRDefault="00307699" w:rsidP="00A62562">
      <w:pPr>
        <w:jc w:val="both"/>
        <w:rPr>
          <w:rFonts w:ascii="Arial" w:hAnsi="Arial" w:cs="Arial"/>
        </w:rPr>
      </w:pPr>
      <w:bookmarkStart w:id="2" w:name="_Hlk83888922"/>
      <w:r w:rsidRPr="00F47DEE">
        <w:rPr>
          <w:rFonts w:ascii="Arial" w:hAnsi="Arial" w:cs="Arial"/>
        </w:rPr>
        <w:t xml:space="preserve">WHEREAS, after due consideration of the alternatives, the Board of Directors (Board) of Electric Reliability Council of Texas, Inc. (ERCOT) deems it desirable and in the best interest of ERCOT to </w:t>
      </w:r>
      <w:r w:rsidR="00CD2CB1">
        <w:rPr>
          <w:rFonts w:ascii="Arial" w:hAnsi="Arial" w:cs="Arial"/>
        </w:rPr>
        <w:t xml:space="preserve">recommend approval of </w:t>
      </w:r>
      <w:r w:rsidR="00167741" w:rsidRPr="00F47DEE">
        <w:rPr>
          <w:rFonts w:ascii="Arial" w:hAnsi="Arial" w:cs="Arial"/>
        </w:rPr>
        <w:t xml:space="preserve">the </w:t>
      </w:r>
      <w:r w:rsidR="002E7BC5" w:rsidRPr="00F47DEE">
        <w:rPr>
          <w:rFonts w:ascii="Arial" w:hAnsi="Arial" w:cs="Arial"/>
        </w:rPr>
        <w:t xml:space="preserve">following </w:t>
      </w:r>
      <w:r w:rsidR="00F11373">
        <w:rPr>
          <w:rFonts w:ascii="Arial" w:hAnsi="Arial" w:cs="Arial"/>
          <w:bCs/>
        </w:rPr>
        <w:t xml:space="preserve">Nodal Protocol Revision Requests (NPRRs), </w:t>
      </w:r>
      <w:r w:rsidR="00F11373">
        <w:rPr>
          <w:rFonts w:ascii="Arial" w:hAnsi="Arial" w:cs="Arial"/>
        </w:rPr>
        <w:t>Planning Guide Revision Request</w:t>
      </w:r>
      <w:r w:rsidR="00F43783">
        <w:rPr>
          <w:rFonts w:ascii="Arial" w:hAnsi="Arial" w:cs="Arial"/>
        </w:rPr>
        <w:t>s</w:t>
      </w:r>
      <w:r w:rsidR="00F11373">
        <w:rPr>
          <w:rFonts w:ascii="Arial" w:hAnsi="Arial" w:cs="Arial"/>
        </w:rPr>
        <w:t xml:space="preserve"> (PGRR</w:t>
      </w:r>
      <w:r w:rsidR="00F43783">
        <w:rPr>
          <w:rFonts w:ascii="Arial" w:hAnsi="Arial" w:cs="Arial"/>
        </w:rPr>
        <w:t>s</w:t>
      </w:r>
      <w:r w:rsidR="00F11373">
        <w:rPr>
          <w:rFonts w:ascii="Arial" w:hAnsi="Arial" w:cs="Arial"/>
        </w:rPr>
        <w:t xml:space="preserve">), and </w:t>
      </w:r>
      <w:r w:rsidR="00F43783">
        <w:rPr>
          <w:rFonts w:ascii="Arial" w:hAnsi="Arial" w:cs="Arial"/>
        </w:rPr>
        <w:t>Settlement Metering Operating Guide Revision Request</w:t>
      </w:r>
      <w:r w:rsidR="00F11373">
        <w:rPr>
          <w:rFonts w:ascii="Arial" w:hAnsi="Arial" w:cs="Arial"/>
        </w:rPr>
        <w:t xml:space="preserve"> (</w:t>
      </w:r>
      <w:r w:rsidR="00F43783">
        <w:rPr>
          <w:rFonts w:ascii="Arial" w:hAnsi="Arial" w:cs="Arial"/>
        </w:rPr>
        <w:t>SMOGRR</w:t>
      </w:r>
      <w:r w:rsidR="00F11373">
        <w:rPr>
          <w:rFonts w:ascii="Arial" w:hAnsi="Arial" w:cs="Arial"/>
        </w:rPr>
        <w:t xml:space="preserve">) </w:t>
      </w:r>
      <w:r w:rsidR="00F11373" w:rsidRPr="00F47DEE">
        <w:rPr>
          <w:rFonts w:ascii="Arial" w:hAnsi="Arial" w:cs="Arial"/>
          <w:bCs/>
        </w:rPr>
        <w:t>recommended for approval by TAC</w:t>
      </w:r>
      <w:r w:rsidR="00F11373">
        <w:rPr>
          <w:rFonts w:ascii="Arial" w:hAnsi="Arial" w:cs="Arial"/>
          <w:bCs/>
        </w:rPr>
        <w:t>:</w:t>
      </w:r>
    </w:p>
    <w:bookmarkEnd w:id="2"/>
    <w:p w14:paraId="304A09E9" w14:textId="77777777" w:rsidR="002E235F" w:rsidRPr="00F47DEE" w:rsidRDefault="002E235F" w:rsidP="00A62562">
      <w:pPr>
        <w:jc w:val="both"/>
        <w:rPr>
          <w:rFonts w:ascii="Arial" w:hAnsi="Arial" w:cs="Arial"/>
        </w:rPr>
      </w:pPr>
    </w:p>
    <w:p w14:paraId="6D32CB3C" w14:textId="77777777" w:rsidR="00F43783" w:rsidRDefault="00F43783" w:rsidP="00F43783">
      <w:pPr>
        <w:numPr>
          <w:ilvl w:val="0"/>
          <w:numId w:val="2"/>
        </w:numPr>
        <w:rPr>
          <w:rFonts w:ascii="Arial" w:hAnsi="Arial" w:cs="Arial"/>
        </w:rPr>
      </w:pPr>
      <w:r w:rsidRPr="00C20BD4">
        <w:rPr>
          <w:rFonts w:ascii="Arial" w:hAnsi="Arial" w:cs="Arial"/>
        </w:rPr>
        <w:t>NPRR1116, Remove Obsolete Reference to Market Information System (MIS)</w:t>
      </w:r>
      <w:r>
        <w:rPr>
          <w:rFonts w:ascii="Arial" w:hAnsi="Arial" w:cs="Arial"/>
        </w:rPr>
        <w:t>;</w:t>
      </w:r>
    </w:p>
    <w:p w14:paraId="50ABB0B6" w14:textId="77777777" w:rsidR="00F43783" w:rsidRDefault="00F43783" w:rsidP="00F43783">
      <w:pPr>
        <w:numPr>
          <w:ilvl w:val="0"/>
          <w:numId w:val="2"/>
        </w:numPr>
        <w:rPr>
          <w:rFonts w:ascii="Arial" w:hAnsi="Arial" w:cs="Arial"/>
        </w:rPr>
      </w:pPr>
      <w:r w:rsidRPr="00C20BD4">
        <w:rPr>
          <w:rFonts w:ascii="Arial" w:hAnsi="Arial" w:cs="Arial"/>
        </w:rPr>
        <w:t>NPRR1117, Related to SMOGRR025, Modifications to Line Loss Compensation Requirement for EPS Metering</w:t>
      </w:r>
      <w:r>
        <w:rPr>
          <w:rFonts w:ascii="Arial" w:hAnsi="Arial" w:cs="Arial"/>
        </w:rPr>
        <w:t>;</w:t>
      </w:r>
    </w:p>
    <w:p w14:paraId="65A70FF4" w14:textId="77777777" w:rsidR="00F43783" w:rsidRDefault="00F43783" w:rsidP="00F43783">
      <w:pPr>
        <w:numPr>
          <w:ilvl w:val="0"/>
          <w:numId w:val="2"/>
        </w:numPr>
        <w:rPr>
          <w:rFonts w:ascii="Arial" w:hAnsi="Arial" w:cs="Arial"/>
        </w:rPr>
      </w:pPr>
      <w:r w:rsidRPr="00C20BD4">
        <w:rPr>
          <w:rFonts w:ascii="Arial" w:hAnsi="Arial" w:cs="Arial"/>
        </w:rPr>
        <w:t>NPRR1122, Clarifications for PURA Subchapter M Securitization Default Charges</w:t>
      </w:r>
      <w:r>
        <w:rPr>
          <w:rFonts w:ascii="Arial" w:hAnsi="Arial" w:cs="Arial"/>
        </w:rPr>
        <w:t xml:space="preserve"> – URGENT;</w:t>
      </w:r>
    </w:p>
    <w:p w14:paraId="551BFBAD" w14:textId="77777777" w:rsidR="00F43783" w:rsidRDefault="00F43783" w:rsidP="00F43783">
      <w:pPr>
        <w:numPr>
          <w:ilvl w:val="0"/>
          <w:numId w:val="2"/>
        </w:numPr>
        <w:rPr>
          <w:rFonts w:ascii="Arial" w:hAnsi="Arial" w:cs="Arial"/>
        </w:rPr>
      </w:pPr>
      <w:r w:rsidRPr="00C20BD4">
        <w:rPr>
          <w:rFonts w:ascii="Arial" w:hAnsi="Arial" w:cs="Arial"/>
        </w:rPr>
        <w:t>NPRR1123, Clarifications for PURA Subchapter N Securitization Uplift Charges</w:t>
      </w:r>
      <w:r>
        <w:rPr>
          <w:rFonts w:ascii="Arial" w:hAnsi="Arial" w:cs="Arial"/>
        </w:rPr>
        <w:t xml:space="preserve"> – URGENT;</w:t>
      </w:r>
    </w:p>
    <w:p w14:paraId="79D6F362" w14:textId="77777777" w:rsidR="00F43783" w:rsidRDefault="00F43783" w:rsidP="00F43783">
      <w:pPr>
        <w:numPr>
          <w:ilvl w:val="0"/>
          <w:numId w:val="2"/>
        </w:numPr>
        <w:rPr>
          <w:rFonts w:ascii="Arial" w:hAnsi="Arial" w:cs="Arial"/>
        </w:rPr>
      </w:pPr>
      <w:r w:rsidRPr="00C20BD4">
        <w:rPr>
          <w:rFonts w:ascii="Arial" w:hAnsi="Arial" w:cs="Arial"/>
        </w:rPr>
        <w:t>NPRR1125, Use of Financial Security for Securitization Default Charge and Securitization Uplift Charge Invoices and Escrow Deposit Requests</w:t>
      </w:r>
      <w:r>
        <w:rPr>
          <w:rFonts w:ascii="Arial" w:hAnsi="Arial" w:cs="Arial"/>
        </w:rPr>
        <w:t xml:space="preserve"> – URGENT;</w:t>
      </w:r>
    </w:p>
    <w:p w14:paraId="4643E8B8" w14:textId="77777777" w:rsidR="00F43783" w:rsidRPr="00C20BD4" w:rsidRDefault="00F43783" w:rsidP="00F43783">
      <w:pPr>
        <w:pStyle w:val="ListParagraph"/>
        <w:numPr>
          <w:ilvl w:val="0"/>
          <w:numId w:val="2"/>
        </w:numPr>
        <w:rPr>
          <w:rFonts w:ascii="Arial" w:hAnsi="Arial" w:cs="Arial"/>
        </w:rPr>
      </w:pPr>
      <w:r w:rsidRPr="00C20BD4">
        <w:rPr>
          <w:rFonts w:ascii="Arial" w:hAnsi="Arial" w:cs="Arial"/>
        </w:rPr>
        <w:t>PGRR096, Achieve Consistent Representation of Distributed Generation in Steady-State Models</w:t>
      </w:r>
      <w:r>
        <w:rPr>
          <w:rFonts w:ascii="Arial" w:hAnsi="Arial" w:cs="Arial"/>
        </w:rPr>
        <w:t>;</w:t>
      </w:r>
    </w:p>
    <w:p w14:paraId="583F7EA6" w14:textId="77777777" w:rsidR="00F43783" w:rsidRDefault="00F43783" w:rsidP="00F43783">
      <w:pPr>
        <w:pStyle w:val="ListParagraph"/>
        <w:numPr>
          <w:ilvl w:val="0"/>
          <w:numId w:val="2"/>
        </w:numPr>
        <w:rPr>
          <w:rFonts w:ascii="Arial" w:hAnsi="Arial" w:cs="Arial"/>
        </w:rPr>
      </w:pPr>
      <w:r w:rsidRPr="00C20BD4">
        <w:rPr>
          <w:rFonts w:ascii="Arial" w:hAnsi="Arial" w:cs="Arial"/>
        </w:rPr>
        <w:t>PGRR098, Consideration of Load Shed in Transmission Planning Criteria</w:t>
      </w:r>
      <w:r>
        <w:rPr>
          <w:rFonts w:ascii="Arial" w:hAnsi="Arial" w:cs="Arial"/>
        </w:rPr>
        <w:t>; and</w:t>
      </w:r>
    </w:p>
    <w:p w14:paraId="18203187" w14:textId="3CCAC96A" w:rsidR="000A5BBD" w:rsidRDefault="00F43783" w:rsidP="00F43783">
      <w:pPr>
        <w:pStyle w:val="ListParagraph"/>
        <w:numPr>
          <w:ilvl w:val="0"/>
          <w:numId w:val="2"/>
        </w:numPr>
        <w:rPr>
          <w:rFonts w:ascii="Arial" w:hAnsi="Arial" w:cs="Arial"/>
        </w:rPr>
      </w:pPr>
      <w:r w:rsidRPr="00F43783">
        <w:rPr>
          <w:rFonts w:ascii="Arial" w:hAnsi="Arial" w:cs="Arial"/>
        </w:rPr>
        <w:t>SMOGRR025, Modifications to Line Loss Compensation Requirement for EPS Metering</w:t>
      </w:r>
      <w:r w:rsidR="00165BF3">
        <w:rPr>
          <w:rFonts w:ascii="Arial" w:hAnsi="Arial" w:cs="Arial"/>
        </w:rPr>
        <w:t>;</w:t>
      </w:r>
    </w:p>
    <w:p w14:paraId="3ECF8B44" w14:textId="77777777" w:rsidR="00F43783" w:rsidRPr="00F43783" w:rsidRDefault="00F43783" w:rsidP="00F43783">
      <w:pPr>
        <w:pStyle w:val="ListParagraph"/>
        <w:rPr>
          <w:rFonts w:ascii="Arial" w:hAnsi="Arial" w:cs="Arial"/>
        </w:rPr>
      </w:pPr>
    </w:p>
    <w:p w14:paraId="5CB818DC" w14:textId="44D893CC" w:rsidR="00307699" w:rsidRPr="00F47DEE" w:rsidRDefault="00307699" w:rsidP="00A62562">
      <w:pPr>
        <w:jc w:val="both"/>
        <w:rPr>
          <w:rFonts w:ascii="Arial" w:hAnsi="Arial" w:cs="Arial"/>
          <w:u w:val="single"/>
        </w:rPr>
      </w:pPr>
      <w:r w:rsidRPr="00F47DEE">
        <w:rPr>
          <w:rFonts w:ascii="Arial" w:hAnsi="Arial" w:cs="Arial"/>
        </w:rPr>
        <w:t xml:space="preserve">THEREFORE, BE IT RESOLVED, that </w:t>
      </w:r>
      <w:r w:rsidR="00867192" w:rsidRPr="00F47DEE">
        <w:rPr>
          <w:rFonts w:ascii="Arial" w:hAnsi="Arial" w:cs="Arial"/>
        </w:rPr>
        <w:t xml:space="preserve">the </w:t>
      </w:r>
      <w:r w:rsidRPr="00F47DEE">
        <w:rPr>
          <w:rFonts w:ascii="Arial" w:hAnsi="Arial" w:cs="Arial"/>
        </w:rPr>
        <w:t>ERCOT</w:t>
      </w:r>
      <w:r w:rsidR="00867192" w:rsidRPr="00F47DEE">
        <w:rPr>
          <w:rFonts w:ascii="Arial" w:hAnsi="Arial" w:cs="Arial"/>
        </w:rPr>
        <w:t xml:space="preserve"> Board</w:t>
      </w:r>
      <w:r w:rsidRPr="00F47DEE">
        <w:rPr>
          <w:rFonts w:ascii="Arial" w:hAnsi="Arial" w:cs="Arial"/>
        </w:rPr>
        <w:t xml:space="preserve"> hereby </w:t>
      </w:r>
      <w:r w:rsidR="00CD2CB1">
        <w:rPr>
          <w:rFonts w:ascii="Arial" w:hAnsi="Arial" w:cs="Arial"/>
        </w:rPr>
        <w:t>recommends approval of</w:t>
      </w:r>
      <w:r w:rsidR="00783C94" w:rsidRPr="00F47DEE">
        <w:rPr>
          <w:rFonts w:ascii="Arial" w:hAnsi="Arial" w:cs="Arial"/>
        </w:rPr>
        <w:t xml:space="preserve"> </w:t>
      </w:r>
      <w:r w:rsidR="00F11373">
        <w:rPr>
          <w:rFonts w:ascii="Arial" w:hAnsi="Arial" w:cs="Arial"/>
          <w:bCs/>
        </w:rPr>
        <w:t xml:space="preserve">NPRRs </w:t>
      </w:r>
      <w:r w:rsidR="00F43783">
        <w:rPr>
          <w:rFonts w:ascii="Arial" w:hAnsi="Arial" w:cs="Arial"/>
          <w:bCs/>
        </w:rPr>
        <w:t xml:space="preserve">1116, 1117, 1122, 1123, </w:t>
      </w:r>
      <w:r w:rsidR="00165BF3">
        <w:rPr>
          <w:rFonts w:ascii="Arial" w:hAnsi="Arial" w:cs="Arial"/>
          <w:bCs/>
        </w:rPr>
        <w:t xml:space="preserve">and </w:t>
      </w:r>
      <w:r w:rsidR="00F43783">
        <w:rPr>
          <w:rFonts w:ascii="Arial" w:hAnsi="Arial" w:cs="Arial"/>
          <w:bCs/>
        </w:rPr>
        <w:t>1125</w:t>
      </w:r>
      <w:r w:rsidR="00F11373">
        <w:rPr>
          <w:rFonts w:ascii="Arial" w:hAnsi="Arial" w:cs="Arial"/>
          <w:bCs/>
        </w:rPr>
        <w:t>; PGRR09</w:t>
      </w:r>
      <w:r w:rsidR="00F43783">
        <w:rPr>
          <w:rFonts w:ascii="Arial" w:hAnsi="Arial" w:cs="Arial"/>
          <w:bCs/>
        </w:rPr>
        <w:t>6 and 098</w:t>
      </w:r>
      <w:r w:rsidR="00F11373">
        <w:rPr>
          <w:rFonts w:ascii="Arial" w:hAnsi="Arial" w:cs="Arial"/>
          <w:bCs/>
        </w:rPr>
        <w:t xml:space="preserve">; </w:t>
      </w:r>
      <w:r w:rsidR="00F43783">
        <w:rPr>
          <w:rFonts w:ascii="Arial" w:hAnsi="Arial" w:cs="Arial"/>
          <w:bCs/>
        </w:rPr>
        <w:t>and SMOGRR025</w:t>
      </w:r>
      <w:r w:rsidR="0097301C">
        <w:rPr>
          <w:rFonts w:ascii="Arial" w:hAnsi="Arial" w:cs="Arial"/>
          <w:bCs/>
        </w:rPr>
        <w:t>.</w:t>
      </w:r>
    </w:p>
    <w:p w14:paraId="61D78146" w14:textId="43AACF0D" w:rsidR="00ED5B34" w:rsidRDefault="00ED5B34">
      <w:pPr>
        <w:rPr>
          <w:rFonts w:ascii="Arial" w:hAnsi="Arial" w:cs="Arial"/>
          <w:b/>
          <w:u w:val="single"/>
        </w:rPr>
      </w:pPr>
    </w:p>
    <w:p w14:paraId="2E6DD236" w14:textId="46262281" w:rsidR="0042276F" w:rsidRDefault="0042276F">
      <w:pPr>
        <w:rPr>
          <w:rFonts w:ascii="Arial" w:hAnsi="Arial" w:cs="Arial"/>
          <w:b/>
          <w:u w:val="single"/>
        </w:rPr>
      </w:pPr>
    </w:p>
    <w:p w14:paraId="4006943E" w14:textId="77777777" w:rsidR="0042276F" w:rsidRDefault="0042276F">
      <w:pPr>
        <w:rPr>
          <w:rFonts w:ascii="Arial" w:hAnsi="Arial" w:cs="Arial"/>
          <w:b/>
          <w:u w:val="single"/>
        </w:rPr>
      </w:pPr>
    </w:p>
    <w:p w14:paraId="1D9E9959" w14:textId="168E080C" w:rsidR="00307699" w:rsidRPr="00F47DEE" w:rsidRDefault="00307699" w:rsidP="00A62562">
      <w:pPr>
        <w:jc w:val="center"/>
        <w:rPr>
          <w:rFonts w:ascii="Arial" w:hAnsi="Arial" w:cs="Arial"/>
        </w:rPr>
      </w:pPr>
      <w:r w:rsidRPr="00F47DEE">
        <w:rPr>
          <w:rFonts w:ascii="Arial" w:hAnsi="Arial" w:cs="Arial"/>
          <w:b/>
          <w:u w:val="single"/>
        </w:rPr>
        <w:t>CORPORATE SECRETARY’S CERTIFICATE</w:t>
      </w:r>
    </w:p>
    <w:p w14:paraId="686DB49C" w14:textId="77777777" w:rsidR="00307699" w:rsidRPr="00F47DEE" w:rsidRDefault="00307699" w:rsidP="00E74E4C">
      <w:pPr>
        <w:rPr>
          <w:rFonts w:ascii="Arial" w:hAnsi="Arial" w:cs="Arial"/>
        </w:rPr>
      </w:pPr>
    </w:p>
    <w:p w14:paraId="53B6B73D" w14:textId="50B1125A" w:rsidR="00307699" w:rsidRPr="00F47DEE" w:rsidRDefault="00307699" w:rsidP="00A62562">
      <w:pPr>
        <w:jc w:val="both"/>
        <w:rPr>
          <w:rFonts w:ascii="Arial" w:hAnsi="Arial" w:cs="Arial"/>
        </w:rPr>
      </w:pPr>
      <w:bookmarkStart w:id="3" w:name="_Hlk83889011"/>
      <w:r w:rsidRPr="00F47DEE">
        <w:rPr>
          <w:rFonts w:ascii="Arial" w:hAnsi="Arial" w:cs="Arial"/>
        </w:rPr>
        <w:t xml:space="preserve">I, </w:t>
      </w:r>
      <w:r w:rsidR="00165BF3">
        <w:rPr>
          <w:rFonts w:ascii="Arial" w:hAnsi="Arial" w:cs="Arial"/>
        </w:rPr>
        <w:t>Jonathan M. Levine</w:t>
      </w:r>
      <w:r w:rsidRPr="00F47DEE">
        <w:rPr>
          <w:rFonts w:ascii="Arial" w:hAnsi="Arial" w:cs="Arial"/>
        </w:rPr>
        <w:t>,</w:t>
      </w:r>
      <w:r w:rsidR="00B134D0" w:rsidRPr="00F47DEE">
        <w:rPr>
          <w:rFonts w:ascii="Arial" w:hAnsi="Arial" w:cs="Arial"/>
        </w:rPr>
        <w:t xml:space="preserve"> </w:t>
      </w:r>
      <w:r w:rsidR="00A62562" w:rsidRPr="00F47DEE">
        <w:rPr>
          <w:rFonts w:ascii="Arial" w:hAnsi="Arial" w:cs="Arial"/>
        </w:rPr>
        <w:t xml:space="preserve">Assistant </w:t>
      </w:r>
      <w:r w:rsidRPr="00F47DEE">
        <w:rPr>
          <w:rFonts w:ascii="Arial" w:hAnsi="Arial" w:cs="Arial"/>
        </w:rPr>
        <w:t xml:space="preserve">Corporate Secretary of ERCOT, do hereby certify that, at its </w:t>
      </w:r>
      <w:r w:rsidR="004B71A8">
        <w:rPr>
          <w:rFonts w:ascii="Arial" w:hAnsi="Arial" w:cs="Arial"/>
        </w:rPr>
        <w:t>April 28</w:t>
      </w:r>
      <w:r w:rsidR="00F11373">
        <w:rPr>
          <w:rFonts w:ascii="Arial" w:hAnsi="Arial" w:cs="Arial"/>
        </w:rPr>
        <w:t>, 2022</w:t>
      </w:r>
      <w:r w:rsidR="00783C94" w:rsidRPr="00F47DEE">
        <w:rPr>
          <w:rFonts w:ascii="Arial" w:hAnsi="Arial" w:cs="Arial"/>
        </w:rPr>
        <w:t xml:space="preserve"> </w:t>
      </w:r>
      <w:r w:rsidRPr="00F47DEE">
        <w:rPr>
          <w:rFonts w:ascii="Arial" w:hAnsi="Arial" w:cs="Arial"/>
        </w:rPr>
        <w:t>meeting, the Board passed a motion approving the above Resolution by ______.</w:t>
      </w:r>
    </w:p>
    <w:p w14:paraId="23A06E96" w14:textId="77777777" w:rsidR="00307699" w:rsidRPr="00F47DEE" w:rsidRDefault="00307699" w:rsidP="00A62562">
      <w:pPr>
        <w:jc w:val="both"/>
        <w:rPr>
          <w:rFonts w:ascii="Arial" w:hAnsi="Arial" w:cs="Arial"/>
        </w:rPr>
      </w:pPr>
    </w:p>
    <w:p w14:paraId="5CBF38A6" w14:textId="565457F4" w:rsidR="00307699" w:rsidRPr="00F47DEE" w:rsidRDefault="00307699" w:rsidP="00A62562">
      <w:pPr>
        <w:jc w:val="both"/>
        <w:rPr>
          <w:rFonts w:ascii="Arial" w:hAnsi="Arial" w:cs="Arial"/>
        </w:rPr>
      </w:pPr>
      <w:r w:rsidRPr="00F47DEE">
        <w:rPr>
          <w:rFonts w:ascii="Arial" w:hAnsi="Arial" w:cs="Arial"/>
        </w:rPr>
        <w:t>IN WITNESS WHEREOF, I have hereunto set my hand this ___ day of</w:t>
      </w:r>
      <w:r w:rsidR="00AC4A2B" w:rsidRPr="00F47DEE">
        <w:rPr>
          <w:rFonts w:ascii="Arial" w:hAnsi="Arial" w:cs="Arial"/>
        </w:rPr>
        <w:t xml:space="preserve"> </w:t>
      </w:r>
      <w:r w:rsidR="004B71A8">
        <w:rPr>
          <w:rFonts w:ascii="Arial" w:hAnsi="Arial" w:cs="Arial"/>
        </w:rPr>
        <w:t>April</w:t>
      </w:r>
      <w:r w:rsidR="00165BF3">
        <w:rPr>
          <w:rFonts w:ascii="Arial" w:hAnsi="Arial" w:cs="Arial"/>
        </w:rPr>
        <w:t>,</w:t>
      </w:r>
      <w:r w:rsidR="004B71A8">
        <w:rPr>
          <w:rFonts w:ascii="Arial" w:hAnsi="Arial" w:cs="Arial"/>
        </w:rPr>
        <w:t xml:space="preserve"> </w:t>
      </w:r>
      <w:r w:rsidR="00F11373">
        <w:rPr>
          <w:rFonts w:ascii="Arial" w:hAnsi="Arial" w:cs="Arial"/>
        </w:rPr>
        <w:t>2022</w:t>
      </w:r>
      <w:r w:rsidRPr="00F47DEE">
        <w:rPr>
          <w:rFonts w:ascii="Arial" w:hAnsi="Arial" w:cs="Arial"/>
        </w:rPr>
        <w:t>.</w:t>
      </w:r>
    </w:p>
    <w:p w14:paraId="2EED0F13" w14:textId="77777777" w:rsidR="00307699" w:rsidRPr="00F47DEE" w:rsidRDefault="00307699" w:rsidP="00A62562">
      <w:pPr>
        <w:jc w:val="both"/>
        <w:rPr>
          <w:rFonts w:ascii="Arial" w:hAnsi="Arial" w:cs="Arial"/>
        </w:rPr>
      </w:pPr>
    </w:p>
    <w:p w14:paraId="57680C6A" w14:textId="77777777" w:rsidR="00307699" w:rsidRPr="00F47DEE" w:rsidRDefault="00307699" w:rsidP="00A62562">
      <w:pPr>
        <w:jc w:val="both"/>
        <w:rPr>
          <w:rFonts w:ascii="Arial" w:hAnsi="Arial" w:cs="Arial"/>
        </w:rPr>
      </w:pPr>
    </w:p>
    <w:p w14:paraId="4DB12768" w14:textId="77777777" w:rsidR="00307699" w:rsidRPr="00F47DEE" w:rsidRDefault="00307699" w:rsidP="00A62562">
      <w:pPr>
        <w:jc w:val="both"/>
        <w:rPr>
          <w:rFonts w:ascii="Arial" w:hAnsi="Arial" w:cs="Arial"/>
        </w:rPr>
      </w:pPr>
      <w:r w:rsidRPr="00F47DEE">
        <w:rPr>
          <w:rFonts w:ascii="Arial" w:hAnsi="Arial" w:cs="Arial"/>
        </w:rPr>
        <w:t>______________________________</w:t>
      </w:r>
    </w:p>
    <w:p w14:paraId="2041A603" w14:textId="3419E7CE" w:rsidR="00307699" w:rsidRPr="00F47DEE" w:rsidRDefault="00165BF3" w:rsidP="00A62562">
      <w:pPr>
        <w:jc w:val="both"/>
        <w:rPr>
          <w:rFonts w:ascii="Arial" w:hAnsi="Arial" w:cs="Arial"/>
        </w:rPr>
      </w:pPr>
      <w:r>
        <w:rPr>
          <w:rFonts w:ascii="Arial" w:hAnsi="Arial" w:cs="Arial"/>
        </w:rPr>
        <w:t>Jonathan M. Levine</w:t>
      </w:r>
    </w:p>
    <w:p w14:paraId="118A83C7" w14:textId="77777777" w:rsidR="00A00C66" w:rsidRPr="00F47DEE" w:rsidRDefault="00A62562" w:rsidP="00A62562">
      <w:pPr>
        <w:rPr>
          <w:rFonts w:ascii="Arial" w:hAnsi="Arial" w:cs="Arial"/>
          <w:u w:val="single"/>
        </w:rPr>
      </w:pPr>
      <w:r w:rsidRPr="00F47DEE">
        <w:rPr>
          <w:rFonts w:ascii="Arial" w:hAnsi="Arial" w:cs="Arial"/>
        </w:rPr>
        <w:t xml:space="preserve">Assistant </w:t>
      </w:r>
      <w:r w:rsidR="00307699" w:rsidRPr="00F47DEE">
        <w:rPr>
          <w:rFonts w:ascii="Arial" w:hAnsi="Arial" w:cs="Arial"/>
        </w:rPr>
        <w:t>Corporate Secretary</w:t>
      </w:r>
      <w:bookmarkEnd w:id="3"/>
    </w:p>
    <w:sectPr w:rsidR="00A00C66" w:rsidRPr="00F47DEE" w:rsidSect="00A02B92">
      <w:headerReference w:type="default" r:id="rId16"/>
      <w:footerReference w:type="default" r:id="rId17"/>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0F6E0" w14:textId="77777777" w:rsidR="00044D50" w:rsidRDefault="00044D50">
      <w:r>
        <w:separator/>
      </w:r>
    </w:p>
  </w:endnote>
  <w:endnote w:type="continuationSeparator" w:id="0">
    <w:p w14:paraId="0BA48FF2" w14:textId="77777777" w:rsidR="00044D50" w:rsidRDefault="00044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42125" w14:textId="7C8A9D77" w:rsidR="007D620B" w:rsidRPr="008534F5" w:rsidRDefault="00731C50" w:rsidP="00671BA7">
    <w:pPr>
      <w:pStyle w:val="Footer"/>
      <w:tabs>
        <w:tab w:val="clear" w:pos="4320"/>
        <w:tab w:val="clear" w:pos="8640"/>
        <w:tab w:val="center" w:pos="4680"/>
        <w:tab w:val="right" w:pos="9360"/>
      </w:tabs>
      <w:rPr>
        <w:rStyle w:val="PageNumber"/>
        <w:rFonts w:ascii="Arial" w:hAnsi="Arial" w:cs="Arial"/>
        <w:sz w:val="20"/>
        <w:szCs w:val="20"/>
      </w:rPr>
    </w:pPr>
    <w:r w:rsidRPr="008534F5">
      <w:rPr>
        <w:rFonts w:ascii="Arial" w:hAnsi="Arial" w:cs="Arial"/>
        <w:sz w:val="20"/>
        <w:szCs w:val="20"/>
      </w:rPr>
      <w:t>Item</w:t>
    </w:r>
    <w:r w:rsidR="00A62562" w:rsidRPr="008534F5">
      <w:rPr>
        <w:rFonts w:ascii="Arial" w:hAnsi="Arial" w:cs="Arial"/>
        <w:sz w:val="20"/>
        <w:szCs w:val="20"/>
      </w:rPr>
      <w:t xml:space="preserve"> </w:t>
    </w:r>
    <w:r w:rsidR="00165BF3">
      <w:rPr>
        <w:rFonts w:ascii="Arial" w:hAnsi="Arial" w:cs="Arial"/>
        <w:sz w:val="20"/>
        <w:szCs w:val="20"/>
      </w:rPr>
      <w:t>6</w:t>
    </w:r>
    <w:r w:rsidR="00040564">
      <w:rPr>
        <w:rFonts w:ascii="Arial" w:hAnsi="Arial" w:cs="Arial"/>
        <w:sz w:val="20"/>
        <w:szCs w:val="20"/>
      </w:rPr>
      <w:t>.1</w:t>
    </w:r>
    <w:r w:rsidR="00307699" w:rsidRPr="008534F5">
      <w:rPr>
        <w:rFonts w:ascii="Arial" w:hAnsi="Arial" w:cs="Arial"/>
        <w:sz w:val="20"/>
        <w:szCs w:val="20"/>
      </w:rPr>
      <w:tab/>
    </w:r>
    <w:r w:rsidR="0088605A" w:rsidRPr="008534F5">
      <w:rPr>
        <w:rFonts w:ascii="Arial" w:hAnsi="Arial" w:cs="Arial"/>
        <w:sz w:val="20"/>
        <w:szCs w:val="20"/>
      </w:rPr>
      <w:tab/>
    </w:r>
    <w:r w:rsidR="007D620B" w:rsidRPr="008534F5">
      <w:rPr>
        <w:rStyle w:val="PageNumber"/>
        <w:rFonts w:ascii="Arial" w:hAnsi="Arial" w:cs="Arial"/>
        <w:sz w:val="20"/>
        <w:szCs w:val="20"/>
      </w:rPr>
      <w:fldChar w:fldCharType="begin"/>
    </w:r>
    <w:r w:rsidR="007D620B" w:rsidRPr="008534F5">
      <w:rPr>
        <w:rStyle w:val="PageNumber"/>
        <w:rFonts w:ascii="Arial" w:hAnsi="Arial" w:cs="Arial"/>
        <w:sz w:val="20"/>
        <w:szCs w:val="20"/>
      </w:rPr>
      <w:instrText xml:space="preserve"> PAGE </w:instrText>
    </w:r>
    <w:r w:rsidR="007D620B" w:rsidRPr="008534F5">
      <w:rPr>
        <w:rStyle w:val="PageNumber"/>
        <w:rFonts w:ascii="Arial" w:hAnsi="Arial" w:cs="Arial"/>
        <w:sz w:val="20"/>
        <w:szCs w:val="20"/>
      </w:rPr>
      <w:fldChar w:fldCharType="separate"/>
    </w:r>
    <w:r w:rsidR="002F3E01">
      <w:rPr>
        <w:rStyle w:val="PageNumber"/>
        <w:rFonts w:ascii="Arial" w:hAnsi="Arial" w:cs="Arial"/>
        <w:noProof/>
        <w:sz w:val="20"/>
        <w:szCs w:val="20"/>
      </w:rPr>
      <w:t>6</w:t>
    </w:r>
    <w:r w:rsidR="007D620B" w:rsidRPr="008534F5">
      <w:rPr>
        <w:rStyle w:val="PageNumber"/>
        <w:rFonts w:ascii="Arial" w:hAnsi="Arial" w:cs="Arial"/>
        <w:sz w:val="20"/>
        <w:szCs w:val="20"/>
      </w:rPr>
      <w:fldChar w:fldCharType="end"/>
    </w:r>
  </w:p>
  <w:p w14:paraId="76D850AB" w14:textId="77777777" w:rsidR="00052530" w:rsidRPr="008534F5" w:rsidRDefault="00052530" w:rsidP="00E74E4C">
    <w:pPr>
      <w:pStyle w:val="Footer"/>
      <w:tabs>
        <w:tab w:val="clear" w:pos="8640"/>
        <w:tab w:val="right" w:pos="9360"/>
      </w:tabs>
      <w:rPr>
        <w:rFonts w:ascii="Arial" w:hAnsi="Arial" w:cs="Arial"/>
        <w:sz w:val="20"/>
        <w:szCs w:val="20"/>
      </w:rPr>
    </w:pPr>
    <w:r w:rsidRPr="008534F5">
      <w:rPr>
        <w:rStyle w:val="PageNumber"/>
        <w:rFonts w:ascii="Arial" w:hAnsi="Arial" w:cs="Arial"/>
        <w:sz w:val="20"/>
        <w:szCs w:val="20"/>
      </w:rPr>
      <w:t xml:space="preserve">ERCOT </w:t>
    </w:r>
    <w:r w:rsidR="00DC49CA" w:rsidRPr="008534F5">
      <w:rPr>
        <w:rStyle w:val="PageNumber"/>
        <w:rFonts w:ascii="Arial" w:hAnsi="Arial" w:cs="Arial"/>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2518E" w14:textId="77777777" w:rsidR="00044D50" w:rsidRDefault="00044D50">
      <w:r>
        <w:separator/>
      </w:r>
    </w:p>
  </w:footnote>
  <w:footnote w:type="continuationSeparator" w:id="0">
    <w:p w14:paraId="54BF2822" w14:textId="77777777" w:rsidR="00044D50" w:rsidRDefault="00044D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06E5" w14:textId="72FA33AA" w:rsidR="00FD7108" w:rsidRDefault="00901398" w:rsidP="00B95080">
    <w:pPr>
      <w:pStyle w:val="Header"/>
      <w:rPr>
        <w:noProof/>
      </w:rPr>
    </w:pPr>
    <w:r>
      <w:rPr>
        <w:noProof/>
      </w:rPr>
      <w:drawing>
        <wp:inline distT="0" distB="0" distL="0" distR="0" wp14:anchorId="0F7CA73B" wp14:editId="75CA7512">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p w14:paraId="45C732BE" w14:textId="77777777" w:rsidR="00FD7108" w:rsidRPr="008C13B2" w:rsidRDefault="00FD7108" w:rsidP="00B95080">
    <w:pPr>
      <w:pStyle w:val="Header"/>
    </w:pPr>
  </w:p>
  <w:p w14:paraId="05F27BAB" w14:textId="77777777" w:rsidR="007D620B" w:rsidRDefault="007D620B">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C5258F"/>
    <w:multiLevelType w:val="hybridMultilevel"/>
    <w:tmpl w:val="45C874B0"/>
    <w:lvl w:ilvl="0" w:tplc="B7CA783C">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450"/>
        </w:tabs>
        <w:ind w:left="45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60911E9"/>
    <w:multiLevelType w:val="hybridMultilevel"/>
    <w:tmpl w:val="398AD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EE47A0D"/>
    <w:multiLevelType w:val="hybridMultilevel"/>
    <w:tmpl w:val="0B26EE4A"/>
    <w:lvl w:ilvl="0" w:tplc="C5D2A8B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 w:numId="4">
    <w:abstractNumId w:val="0"/>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972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B72"/>
    <w:rsid w:val="000007BA"/>
    <w:rsid w:val="00001E21"/>
    <w:rsid w:val="000036BB"/>
    <w:rsid w:val="00004487"/>
    <w:rsid w:val="000051FF"/>
    <w:rsid w:val="00011386"/>
    <w:rsid w:val="000154BD"/>
    <w:rsid w:val="00016A1B"/>
    <w:rsid w:val="00017A28"/>
    <w:rsid w:val="00026241"/>
    <w:rsid w:val="00026FB9"/>
    <w:rsid w:val="00040564"/>
    <w:rsid w:val="00044D50"/>
    <w:rsid w:val="0004503D"/>
    <w:rsid w:val="00045831"/>
    <w:rsid w:val="00045D4C"/>
    <w:rsid w:val="00051010"/>
    <w:rsid w:val="00051197"/>
    <w:rsid w:val="00052530"/>
    <w:rsid w:val="000548AB"/>
    <w:rsid w:val="00054C49"/>
    <w:rsid w:val="00056974"/>
    <w:rsid w:val="0005733B"/>
    <w:rsid w:val="00060E2C"/>
    <w:rsid w:val="000645B9"/>
    <w:rsid w:val="00065391"/>
    <w:rsid w:val="000675EE"/>
    <w:rsid w:val="0007563D"/>
    <w:rsid w:val="00075B7E"/>
    <w:rsid w:val="00077EA4"/>
    <w:rsid w:val="00082104"/>
    <w:rsid w:val="00082927"/>
    <w:rsid w:val="000855B6"/>
    <w:rsid w:val="00087484"/>
    <w:rsid w:val="0009016F"/>
    <w:rsid w:val="00097D65"/>
    <w:rsid w:val="000A13A3"/>
    <w:rsid w:val="000A18AB"/>
    <w:rsid w:val="000A19DA"/>
    <w:rsid w:val="000A48DE"/>
    <w:rsid w:val="000A5BBD"/>
    <w:rsid w:val="000B2034"/>
    <w:rsid w:val="000B4B47"/>
    <w:rsid w:val="000B4BAF"/>
    <w:rsid w:val="000C032F"/>
    <w:rsid w:val="000C33F5"/>
    <w:rsid w:val="000C58FD"/>
    <w:rsid w:val="000C6342"/>
    <w:rsid w:val="000D0DC4"/>
    <w:rsid w:val="000D1079"/>
    <w:rsid w:val="000D342A"/>
    <w:rsid w:val="000E04CB"/>
    <w:rsid w:val="000E0A9E"/>
    <w:rsid w:val="000E1721"/>
    <w:rsid w:val="000E187D"/>
    <w:rsid w:val="000E59F3"/>
    <w:rsid w:val="000E5E74"/>
    <w:rsid w:val="000F0627"/>
    <w:rsid w:val="000F10BC"/>
    <w:rsid w:val="00101726"/>
    <w:rsid w:val="00102820"/>
    <w:rsid w:val="00105190"/>
    <w:rsid w:val="001116AC"/>
    <w:rsid w:val="001126E9"/>
    <w:rsid w:val="00115A4B"/>
    <w:rsid w:val="00115CD3"/>
    <w:rsid w:val="00120276"/>
    <w:rsid w:val="00121443"/>
    <w:rsid w:val="001237B5"/>
    <w:rsid w:val="00124066"/>
    <w:rsid w:val="00125C47"/>
    <w:rsid w:val="00135295"/>
    <w:rsid w:val="00137034"/>
    <w:rsid w:val="00144931"/>
    <w:rsid w:val="00144D0D"/>
    <w:rsid w:val="00145967"/>
    <w:rsid w:val="00153255"/>
    <w:rsid w:val="00160B04"/>
    <w:rsid w:val="0016137C"/>
    <w:rsid w:val="0016208F"/>
    <w:rsid w:val="00162B9A"/>
    <w:rsid w:val="00162D68"/>
    <w:rsid w:val="00164F07"/>
    <w:rsid w:val="00165BF3"/>
    <w:rsid w:val="00167741"/>
    <w:rsid w:val="0016787F"/>
    <w:rsid w:val="00170611"/>
    <w:rsid w:val="00176B43"/>
    <w:rsid w:val="00177EE8"/>
    <w:rsid w:val="001817EA"/>
    <w:rsid w:val="00181AD3"/>
    <w:rsid w:val="00194488"/>
    <w:rsid w:val="0019529A"/>
    <w:rsid w:val="00197003"/>
    <w:rsid w:val="001A0DEC"/>
    <w:rsid w:val="001A2306"/>
    <w:rsid w:val="001A42C2"/>
    <w:rsid w:val="001A5A75"/>
    <w:rsid w:val="001B4DD4"/>
    <w:rsid w:val="001C70A7"/>
    <w:rsid w:val="001C7524"/>
    <w:rsid w:val="001D0147"/>
    <w:rsid w:val="001D02D5"/>
    <w:rsid w:val="001D07BD"/>
    <w:rsid w:val="001D2591"/>
    <w:rsid w:val="001D4A77"/>
    <w:rsid w:val="001D6B9D"/>
    <w:rsid w:val="001D7379"/>
    <w:rsid w:val="001D7428"/>
    <w:rsid w:val="001D7C47"/>
    <w:rsid w:val="001E3085"/>
    <w:rsid w:val="001E458C"/>
    <w:rsid w:val="001E5BA4"/>
    <w:rsid w:val="001E5E53"/>
    <w:rsid w:val="001E75DD"/>
    <w:rsid w:val="001F28A1"/>
    <w:rsid w:val="001F5C4F"/>
    <w:rsid w:val="00201CE4"/>
    <w:rsid w:val="00201CFC"/>
    <w:rsid w:val="00202764"/>
    <w:rsid w:val="002038F8"/>
    <w:rsid w:val="00206775"/>
    <w:rsid w:val="002109D5"/>
    <w:rsid w:val="00211467"/>
    <w:rsid w:val="0021181A"/>
    <w:rsid w:val="00212ABB"/>
    <w:rsid w:val="002146AC"/>
    <w:rsid w:val="00214EDA"/>
    <w:rsid w:val="00221028"/>
    <w:rsid w:val="0022125A"/>
    <w:rsid w:val="00226D1A"/>
    <w:rsid w:val="0022719A"/>
    <w:rsid w:val="00232BDA"/>
    <w:rsid w:val="00233B14"/>
    <w:rsid w:val="0023477A"/>
    <w:rsid w:val="00236ACC"/>
    <w:rsid w:val="00236C57"/>
    <w:rsid w:val="00241738"/>
    <w:rsid w:val="002417B0"/>
    <w:rsid w:val="002462CB"/>
    <w:rsid w:val="00250349"/>
    <w:rsid w:val="00254440"/>
    <w:rsid w:val="00255C29"/>
    <w:rsid w:val="00261280"/>
    <w:rsid w:val="00262FD5"/>
    <w:rsid w:val="00264652"/>
    <w:rsid w:val="00264B42"/>
    <w:rsid w:val="00265CDA"/>
    <w:rsid w:val="00265ECC"/>
    <w:rsid w:val="00275505"/>
    <w:rsid w:val="00277002"/>
    <w:rsid w:val="002836BA"/>
    <w:rsid w:val="00287414"/>
    <w:rsid w:val="00287971"/>
    <w:rsid w:val="00287EF5"/>
    <w:rsid w:val="00291E00"/>
    <w:rsid w:val="002958F7"/>
    <w:rsid w:val="00297177"/>
    <w:rsid w:val="002A14E8"/>
    <w:rsid w:val="002A2206"/>
    <w:rsid w:val="002A2A08"/>
    <w:rsid w:val="002A395A"/>
    <w:rsid w:val="002A3F2C"/>
    <w:rsid w:val="002A547C"/>
    <w:rsid w:val="002B20CB"/>
    <w:rsid w:val="002B32D7"/>
    <w:rsid w:val="002C0DB0"/>
    <w:rsid w:val="002C11DB"/>
    <w:rsid w:val="002C223E"/>
    <w:rsid w:val="002C3D33"/>
    <w:rsid w:val="002C6DD4"/>
    <w:rsid w:val="002C7B24"/>
    <w:rsid w:val="002C7C9A"/>
    <w:rsid w:val="002D003B"/>
    <w:rsid w:val="002D0DFE"/>
    <w:rsid w:val="002D5E70"/>
    <w:rsid w:val="002D7E37"/>
    <w:rsid w:val="002E1682"/>
    <w:rsid w:val="002E235F"/>
    <w:rsid w:val="002E3ED2"/>
    <w:rsid w:val="002E4236"/>
    <w:rsid w:val="002E63BA"/>
    <w:rsid w:val="002E7BC5"/>
    <w:rsid w:val="002F3E01"/>
    <w:rsid w:val="002F4A9E"/>
    <w:rsid w:val="002F5F0E"/>
    <w:rsid w:val="003013E3"/>
    <w:rsid w:val="00303052"/>
    <w:rsid w:val="003037A7"/>
    <w:rsid w:val="00303FF7"/>
    <w:rsid w:val="003048DB"/>
    <w:rsid w:val="00307699"/>
    <w:rsid w:val="00312202"/>
    <w:rsid w:val="00312315"/>
    <w:rsid w:val="00314547"/>
    <w:rsid w:val="003206AA"/>
    <w:rsid w:val="0032485A"/>
    <w:rsid w:val="00326572"/>
    <w:rsid w:val="00326D54"/>
    <w:rsid w:val="00341711"/>
    <w:rsid w:val="003421BD"/>
    <w:rsid w:val="00346245"/>
    <w:rsid w:val="003632D1"/>
    <w:rsid w:val="00364431"/>
    <w:rsid w:val="00364918"/>
    <w:rsid w:val="00365D45"/>
    <w:rsid w:val="00370469"/>
    <w:rsid w:val="003712F8"/>
    <w:rsid w:val="003808AF"/>
    <w:rsid w:val="00381767"/>
    <w:rsid w:val="00382736"/>
    <w:rsid w:val="003840DB"/>
    <w:rsid w:val="00391275"/>
    <w:rsid w:val="00391D8B"/>
    <w:rsid w:val="00393759"/>
    <w:rsid w:val="0039433B"/>
    <w:rsid w:val="00394B60"/>
    <w:rsid w:val="003A2348"/>
    <w:rsid w:val="003A3CF8"/>
    <w:rsid w:val="003A67BC"/>
    <w:rsid w:val="003B03D6"/>
    <w:rsid w:val="003B143C"/>
    <w:rsid w:val="003B15B4"/>
    <w:rsid w:val="003B4603"/>
    <w:rsid w:val="003B4C72"/>
    <w:rsid w:val="003C1AA9"/>
    <w:rsid w:val="003C3608"/>
    <w:rsid w:val="003C44F3"/>
    <w:rsid w:val="003C5C26"/>
    <w:rsid w:val="003C7C4F"/>
    <w:rsid w:val="003C7FE2"/>
    <w:rsid w:val="003D1338"/>
    <w:rsid w:val="003D1AE4"/>
    <w:rsid w:val="003D35EA"/>
    <w:rsid w:val="003D4154"/>
    <w:rsid w:val="003E12A1"/>
    <w:rsid w:val="003E1528"/>
    <w:rsid w:val="003E2E29"/>
    <w:rsid w:val="003E3D6E"/>
    <w:rsid w:val="003E4DBF"/>
    <w:rsid w:val="003E702F"/>
    <w:rsid w:val="003E7FD1"/>
    <w:rsid w:val="003F1402"/>
    <w:rsid w:val="003F78A5"/>
    <w:rsid w:val="00400D65"/>
    <w:rsid w:val="00403A59"/>
    <w:rsid w:val="004048E8"/>
    <w:rsid w:val="00405C5B"/>
    <w:rsid w:val="00407C3B"/>
    <w:rsid w:val="00410414"/>
    <w:rsid w:val="00412A91"/>
    <w:rsid w:val="00414AD8"/>
    <w:rsid w:val="0042169B"/>
    <w:rsid w:val="0042263F"/>
    <w:rsid w:val="0042276F"/>
    <w:rsid w:val="004231C4"/>
    <w:rsid w:val="00423242"/>
    <w:rsid w:val="00424F11"/>
    <w:rsid w:val="004255CC"/>
    <w:rsid w:val="00431FF1"/>
    <w:rsid w:val="00433CA3"/>
    <w:rsid w:val="00435163"/>
    <w:rsid w:val="00436554"/>
    <w:rsid w:val="0043756F"/>
    <w:rsid w:val="00441C2E"/>
    <w:rsid w:val="00441DF5"/>
    <w:rsid w:val="00442B35"/>
    <w:rsid w:val="00442FCF"/>
    <w:rsid w:val="00444D83"/>
    <w:rsid w:val="00451E19"/>
    <w:rsid w:val="00453452"/>
    <w:rsid w:val="004553F9"/>
    <w:rsid w:val="00470150"/>
    <w:rsid w:val="004718C1"/>
    <w:rsid w:val="00471C8B"/>
    <w:rsid w:val="00473610"/>
    <w:rsid w:val="0047489E"/>
    <w:rsid w:val="00484EEE"/>
    <w:rsid w:val="00485E37"/>
    <w:rsid w:val="004869EE"/>
    <w:rsid w:val="004900B1"/>
    <w:rsid w:val="00492AA9"/>
    <w:rsid w:val="00495B27"/>
    <w:rsid w:val="00495F5C"/>
    <w:rsid w:val="00496E5D"/>
    <w:rsid w:val="004A6820"/>
    <w:rsid w:val="004B0D26"/>
    <w:rsid w:val="004B2CBF"/>
    <w:rsid w:val="004B3702"/>
    <w:rsid w:val="004B5682"/>
    <w:rsid w:val="004B644D"/>
    <w:rsid w:val="004B6FF7"/>
    <w:rsid w:val="004B71A8"/>
    <w:rsid w:val="004C021D"/>
    <w:rsid w:val="004C2693"/>
    <w:rsid w:val="004C363E"/>
    <w:rsid w:val="004C4AC4"/>
    <w:rsid w:val="004C61E4"/>
    <w:rsid w:val="004C63A8"/>
    <w:rsid w:val="004C647E"/>
    <w:rsid w:val="004C7464"/>
    <w:rsid w:val="004D27AC"/>
    <w:rsid w:val="004D3437"/>
    <w:rsid w:val="004D346B"/>
    <w:rsid w:val="004D42F0"/>
    <w:rsid w:val="004E141D"/>
    <w:rsid w:val="004E1C39"/>
    <w:rsid w:val="004E41B1"/>
    <w:rsid w:val="004E531D"/>
    <w:rsid w:val="004E5DE5"/>
    <w:rsid w:val="004E625A"/>
    <w:rsid w:val="004F3BDD"/>
    <w:rsid w:val="004F41FA"/>
    <w:rsid w:val="004F5858"/>
    <w:rsid w:val="004F73E7"/>
    <w:rsid w:val="004F7E08"/>
    <w:rsid w:val="0050578C"/>
    <w:rsid w:val="0050631D"/>
    <w:rsid w:val="00506673"/>
    <w:rsid w:val="00511781"/>
    <w:rsid w:val="0051232E"/>
    <w:rsid w:val="005129CB"/>
    <w:rsid w:val="005147DC"/>
    <w:rsid w:val="00515AD0"/>
    <w:rsid w:val="00522224"/>
    <w:rsid w:val="005261F4"/>
    <w:rsid w:val="0053018B"/>
    <w:rsid w:val="005311A2"/>
    <w:rsid w:val="005312C0"/>
    <w:rsid w:val="0053421B"/>
    <w:rsid w:val="0053428E"/>
    <w:rsid w:val="00534BDE"/>
    <w:rsid w:val="00534F43"/>
    <w:rsid w:val="00535DB0"/>
    <w:rsid w:val="0053631F"/>
    <w:rsid w:val="00536CC1"/>
    <w:rsid w:val="005373F5"/>
    <w:rsid w:val="00537FA7"/>
    <w:rsid w:val="005411AC"/>
    <w:rsid w:val="00543DD2"/>
    <w:rsid w:val="00544A02"/>
    <w:rsid w:val="00545E89"/>
    <w:rsid w:val="00547899"/>
    <w:rsid w:val="00554C63"/>
    <w:rsid w:val="005564FD"/>
    <w:rsid w:val="005565AC"/>
    <w:rsid w:val="0056073D"/>
    <w:rsid w:val="005619DD"/>
    <w:rsid w:val="00562777"/>
    <w:rsid w:val="0056426D"/>
    <w:rsid w:val="005723C2"/>
    <w:rsid w:val="00572C31"/>
    <w:rsid w:val="00573F65"/>
    <w:rsid w:val="005805BF"/>
    <w:rsid w:val="00581E69"/>
    <w:rsid w:val="00582F79"/>
    <w:rsid w:val="00591509"/>
    <w:rsid w:val="00592093"/>
    <w:rsid w:val="00595F7A"/>
    <w:rsid w:val="00596006"/>
    <w:rsid w:val="0059628E"/>
    <w:rsid w:val="00597B80"/>
    <w:rsid w:val="005A3D04"/>
    <w:rsid w:val="005A47B1"/>
    <w:rsid w:val="005B2158"/>
    <w:rsid w:val="005B21AF"/>
    <w:rsid w:val="005B4C9C"/>
    <w:rsid w:val="005B5DD6"/>
    <w:rsid w:val="005C1FF2"/>
    <w:rsid w:val="005C248B"/>
    <w:rsid w:val="005C33DD"/>
    <w:rsid w:val="005C3A30"/>
    <w:rsid w:val="005C3CFD"/>
    <w:rsid w:val="005C7463"/>
    <w:rsid w:val="005C79EF"/>
    <w:rsid w:val="005D4550"/>
    <w:rsid w:val="005D4DB9"/>
    <w:rsid w:val="005E06AF"/>
    <w:rsid w:val="005E20D3"/>
    <w:rsid w:val="005E38E7"/>
    <w:rsid w:val="005E7A5E"/>
    <w:rsid w:val="005F118F"/>
    <w:rsid w:val="005F300A"/>
    <w:rsid w:val="005F3826"/>
    <w:rsid w:val="006026B1"/>
    <w:rsid w:val="00607072"/>
    <w:rsid w:val="00610884"/>
    <w:rsid w:val="00610910"/>
    <w:rsid w:val="00611C34"/>
    <w:rsid w:val="00616C55"/>
    <w:rsid w:val="00616D18"/>
    <w:rsid w:val="00617527"/>
    <w:rsid w:val="0062500B"/>
    <w:rsid w:val="00625D7C"/>
    <w:rsid w:val="006312BD"/>
    <w:rsid w:val="006374CC"/>
    <w:rsid w:val="00640FB9"/>
    <w:rsid w:val="00641D7B"/>
    <w:rsid w:val="00642A38"/>
    <w:rsid w:val="006445C9"/>
    <w:rsid w:val="00645088"/>
    <w:rsid w:val="00645F53"/>
    <w:rsid w:val="006502B8"/>
    <w:rsid w:val="00655224"/>
    <w:rsid w:val="0065648B"/>
    <w:rsid w:val="00656E86"/>
    <w:rsid w:val="00657622"/>
    <w:rsid w:val="00657B06"/>
    <w:rsid w:val="00661699"/>
    <w:rsid w:val="00661876"/>
    <w:rsid w:val="00671BA7"/>
    <w:rsid w:val="006720B6"/>
    <w:rsid w:val="0067293D"/>
    <w:rsid w:val="00682B10"/>
    <w:rsid w:val="00682E89"/>
    <w:rsid w:val="00685AA9"/>
    <w:rsid w:val="00690580"/>
    <w:rsid w:val="00693C09"/>
    <w:rsid w:val="00694D85"/>
    <w:rsid w:val="00695C40"/>
    <w:rsid w:val="00696B1F"/>
    <w:rsid w:val="006A173D"/>
    <w:rsid w:val="006A371C"/>
    <w:rsid w:val="006A553E"/>
    <w:rsid w:val="006A5DDC"/>
    <w:rsid w:val="006A7E26"/>
    <w:rsid w:val="006B1C04"/>
    <w:rsid w:val="006B2E86"/>
    <w:rsid w:val="006C30A0"/>
    <w:rsid w:val="006C39F4"/>
    <w:rsid w:val="006D19FE"/>
    <w:rsid w:val="006D28BB"/>
    <w:rsid w:val="006D5B83"/>
    <w:rsid w:val="006D6D7A"/>
    <w:rsid w:val="006E50CD"/>
    <w:rsid w:val="006E5382"/>
    <w:rsid w:val="006E6909"/>
    <w:rsid w:val="006E756E"/>
    <w:rsid w:val="006F41BF"/>
    <w:rsid w:val="00701E08"/>
    <w:rsid w:val="00703034"/>
    <w:rsid w:val="00703614"/>
    <w:rsid w:val="00704730"/>
    <w:rsid w:val="00712841"/>
    <w:rsid w:val="007168AA"/>
    <w:rsid w:val="007173B3"/>
    <w:rsid w:val="00717F50"/>
    <w:rsid w:val="00726143"/>
    <w:rsid w:val="0072773B"/>
    <w:rsid w:val="00731C50"/>
    <w:rsid w:val="00734115"/>
    <w:rsid w:val="0074272D"/>
    <w:rsid w:val="007429FB"/>
    <w:rsid w:val="00744BCD"/>
    <w:rsid w:val="00747019"/>
    <w:rsid w:val="00750646"/>
    <w:rsid w:val="00752A94"/>
    <w:rsid w:val="00753685"/>
    <w:rsid w:val="007550D0"/>
    <w:rsid w:val="00755C09"/>
    <w:rsid w:val="00756F36"/>
    <w:rsid w:val="00763082"/>
    <w:rsid w:val="00764B1D"/>
    <w:rsid w:val="00771606"/>
    <w:rsid w:val="007718BC"/>
    <w:rsid w:val="007727C7"/>
    <w:rsid w:val="00772830"/>
    <w:rsid w:val="00774A29"/>
    <w:rsid w:val="0077538D"/>
    <w:rsid w:val="00782DDD"/>
    <w:rsid w:val="00783C94"/>
    <w:rsid w:val="0078417B"/>
    <w:rsid w:val="007844FD"/>
    <w:rsid w:val="0079021A"/>
    <w:rsid w:val="007A7A32"/>
    <w:rsid w:val="007B0EEC"/>
    <w:rsid w:val="007B1EED"/>
    <w:rsid w:val="007B523A"/>
    <w:rsid w:val="007B61C9"/>
    <w:rsid w:val="007B6B72"/>
    <w:rsid w:val="007C72A8"/>
    <w:rsid w:val="007C7DB4"/>
    <w:rsid w:val="007D28EF"/>
    <w:rsid w:val="007D2D57"/>
    <w:rsid w:val="007D4A9E"/>
    <w:rsid w:val="007D620B"/>
    <w:rsid w:val="007D667F"/>
    <w:rsid w:val="007E3960"/>
    <w:rsid w:val="007E5B6E"/>
    <w:rsid w:val="007F1A85"/>
    <w:rsid w:val="007F2DB5"/>
    <w:rsid w:val="007F39EF"/>
    <w:rsid w:val="00802088"/>
    <w:rsid w:val="00803A7E"/>
    <w:rsid w:val="00804084"/>
    <w:rsid w:val="008046F2"/>
    <w:rsid w:val="00806FC0"/>
    <w:rsid w:val="0081574E"/>
    <w:rsid w:val="00815EC1"/>
    <w:rsid w:val="00820380"/>
    <w:rsid w:val="00820F55"/>
    <w:rsid w:val="0082339A"/>
    <w:rsid w:val="00824615"/>
    <w:rsid w:val="00834864"/>
    <w:rsid w:val="00836146"/>
    <w:rsid w:val="00840278"/>
    <w:rsid w:val="00842CEA"/>
    <w:rsid w:val="00847896"/>
    <w:rsid w:val="00850549"/>
    <w:rsid w:val="00850585"/>
    <w:rsid w:val="008534F5"/>
    <w:rsid w:val="00854723"/>
    <w:rsid w:val="00854CB9"/>
    <w:rsid w:val="008625CF"/>
    <w:rsid w:val="008632E4"/>
    <w:rsid w:val="00863D26"/>
    <w:rsid w:val="0086434C"/>
    <w:rsid w:val="0086616F"/>
    <w:rsid w:val="00867192"/>
    <w:rsid w:val="00867AD2"/>
    <w:rsid w:val="00882825"/>
    <w:rsid w:val="008851B6"/>
    <w:rsid w:val="0088605A"/>
    <w:rsid w:val="008869CC"/>
    <w:rsid w:val="00890A4C"/>
    <w:rsid w:val="00897180"/>
    <w:rsid w:val="00897457"/>
    <w:rsid w:val="0089767C"/>
    <w:rsid w:val="008A0160"/>
    <w:rsid w:val="008A0966"/>
    <w:rsid w:val="008A3829"/>
    <w:rsid w:val="008A6452"/>
    <w:rsid w:val="008A6ED0"/>
    <w:rsid w:val="008A7D92"/>
    <w:rsid w:val="008B2188"/>
    <w:rsid w:val="008B2F24"/>
    <w:rsid w:val="008B49DB"/>
    <w:rsid w:val="008B4B04"/>
    <w:rsid w:val="008B4FA9"/>
    <w:rsid w:val="008B6955"/>
    <w:rsid w:val="008C1DC7"/>
    <w:rsid w:val="008C2737"/>
    <w:rsid w:val="008C4916"/>
    <w:rsid w:val="008D02DC"/>
    <w:rsid w:val="008D29B8"/>
    <w:rsid w:val="008D35B2"/>
    <w:rsid w:val="008D431A"/>
    <w:rsid w:val="008D433B"/>
    <w:rsid w:val="008D4D4C"/>
    <w:rsid w:val="008D5CF0"/>
    <w:rsid w:val="008D7B3C"/>
    <w:rsid w:val="008E5D56"/>
    <w:rsid w:val="008E5E28"/>
    <w:rsid w:val="008F1E8B"/>
    <w:rsid w:val="008F1FF5"/>
    <w:rsid w:val="008F76AC"/>
    <w:rsid w:val="00900C14"/>
    <w:rsid w:val="00901398"/>
    <w:rsid w:val="00907CCE"/>
    <w:rsid w:val="0091600C"/>
    <w:rsid w:val="0091705A"/>
    <w:rsid w:val="009226BD"/>
    <w:rsid w:val="00923A30"/>
    <w:rsid w:val="00924401"/>
    <w:rsid w:val="009306EA"/>
    <w:rsid w:val="00934478"/>
    <w:rsid w:val="00935A1C"/>
    <w:rsid w:val="00936B32"/>
    <w:rsid w:val="00936D61"/>
    <w:rsid w:val="00941446"/>
    <w:rsid w:val="00946B26"/>
    <w:rsid w:val="00952525"/>
    <w:rsid w:val="00953A5D"/>
    <w:rsid w:val="00955284"/>
    <w:rsid w:val="00960048"/>
    <w:rsid w:val="00960523"/>
    <w:rsid w:val="00962DE5"/>
    <w:rsid w:val="00963E88"/>
    <w:rsid w:val="0096474A"/>
    <w:rsid w:val="0096654B"/>
    <w:rsid w:val="00966638"/>
    <w:rsid w:val="00972FF3"/>
    <w:rsid w:val="0097301C"/>
    <w:rsid w:val="00975FC8"/>
    <w:rsid w:val="009769D4"/>
    <w:rsid w:val="0098319E"/>
    <w:rsid w:val="009838E8"/>
    <w:rsid w:val="00984E63"/>
    <w:rsid w:val="009866C9"/>
    <w:rsid w:val="009900E4"/>
    <w:rsid w:val="00991C7E"/>
    <w:rsid w:val="00991CD6"/>
    <w:rsid w:val="0099314A"/>
    <w:rsid w:val="009933C1"/>
    <w:rsid w:val="00996BB7"/>
    <w:rsid w:val="009A13DC"/>
    <w:rsid w:val="009A2FA4"/>
    <w:rsid w:val="009A6FEE"/>
    <w:rsid w:val="009B26B1"/>
    <w:rsid w:val="009B2757"/>
    <w:rsid w:val="009B326F"/>
    <w:rsid w:val="009B380C"/>
    <w:rsid w:val="009B6044"/>
    <w:rsid w:val="009B62F9"/>
    <w:rsid w:val="009C1FD6"/>
    <w:rsid w:val="009C206E"/>
    <w:rsid w:val="009C5DA7"/>
    <w:rsid w:val="009C6BA6"/>
    <w:rsid w:val="009D43A1"/>
    <w:rsid w:val="009E0823"/>
    <w:rsid w:val="009E2140"/>
    <w:rsid w:val="009E21AA"/>
    <w:rsid w:val="009E430B"/>
    <w:rsid w:val="009E494D"/>
    <w:rsid w:val="009F0214"/>
    <w:rsid w:val="009F05D8"/>
    <w:rsid w:val="009F6CBF"/>
    <w:rsid w:val="009F7789"/>
    <w:rsid w:val="00A00016"/>
    <w:rsid w:val="00A007C5"/>
    <w:rsid w:val="00A00C66"/>
    <w:rsid w:val="00A02B92"/>
    <w:rsid w:val="00A11F00"/>
    <w:rsid w:val="00A14DC6"/>
    <w:rsid w:val="00A1551B"/>
    <w:rsid w:val="00A171F4"/>
    <w:rsid w:val="00A1763D"/>
    <w:rsid w:val="00A25460"/>
    <w:rsid w:val="00A2765E"/>
    <w:rsid w:val="00A30FEF"/>
    <w:rsid w:val="00A33F7C"/>
    <w:rsid w:val="00A374C1"/>
    <w:rsid w:val="00A44646"/>
    <w:rsid w:val="00A45AE1"/>
    <w:rsid w:val="00A50160"/>
    <w:rsid w:val="00A5459E"/>
    <w:rsid w:val="00A60A56"/>
    <w:rsid w:val="00A62562"/>
    <w:rsid w:val="00A62825"/>
    <w:rsid w:val="00A6460F"/>
    <w:rsid w:val="00A66FBF"/>
    <w:rsid w:val="00A71843"/>
    <w:rsid w:val="00A724AD"/>
    <w:rsid w:val="00A7269D"/>
    <w:rsid w:val="00A72FE7"/>
    <w:rsid w:val="00A73CF9"/>
    <w:rsid w:val="00A74D12"/>
    <w:rsid w:val="00A750E5"/>
    <w:rsid w:val="00A7557C"/>
    <w:rsid w:val="00A75971"/>
    <w:rsid w:val="00A833B4"/>
    <w:rsid w:val="00A9011D"/>
    <w:rsid w:val="00A9079A"/>
    <w:rsid w:val="00A92D88"/>
    <w:rsid w:val="00A93254"/>
    <w:rsid w:val="00A97F2B"/>
    <w:rsid w:val="00AA18CC"/>
    <w:rsid w:val="00AA298E"/>
    <w:rsid w:val="00AA44FA"/>
    <w:rsid w:val="00AA46F0"/>
    <w:rsid w:val="00AA48D5"/>
    <w:rsid w:val="00AA51CC"/>
    <w:rsid w:val="00AB10D1"/>
    <w:rsid w:val="00AB2686"/>
    <w:rsid w:val="00AB51C1"/>
    <w:rsid w:val="00AB520C"/>
    <w:rsid w:val="00AB5806"/>
    <w:rsid w:val="00AB5E94"/>
    <w:rsid w:val="00AB7895"/>
    <w:rsid w:val="00AC3E9F"/>
    <w:rsid w:val="00AC4A2B"/>
    <w:rsid w:val="00AC4C23"/>
    <w:rsid w:val="00AC54B9"/>
    <w:rsid w:val="00AC6170"/>
    <w:rsid w:val="00AD2D24"/>
    <w:rsid w:val="00AE096D"/>
    <w:rsid w:val="00AE0AFD"/>
    <w:rsid w:val="00AE1706"/>
    <w:rsid w:val="00AE3AC0"/>
    <w:rsid w:val="00AE4FD0"/>
    <w:rsid w:val="00AE5D9C"/>
    <w:rsid w:val="00AE6903"/>
    <w:rsid w:val="00AF4CDB"/>
    <w:rsid w:val="00B00F8E"/>
    <w:rsid w:val="00B01D71"/>
    <w:rsid w:val="00B02619"/>
    <w:rsid w:val="00B06A4F"/>
    <w:rsid w:val="00B07572"/>
    <w:rsid w:val="00B10925"/>
    <w:rsid w:val="00B134D0"/>
    <w:rsid w:val="00B201C7"/>
    <w:rsid w:val="00B30972"/>
    <w:rsid w:val="00B31D86"/>
    <w:rsid w:val="00B32F13"/>
    <w:rsid w:val="00B34326"/>
    <w:rsid w:val="00B4229C"/>
    <w:rsid w:val="00B45A70"/>
    <w:rsid w:val="00B4619A"/>
    <w:rsid w:val="00B47CBD"/>
    <w:rsid w:val="00B52D60"/>
    <w:rsid w:val="00B54588"/>
    <w:rsid w:val="00B57FC4"/>
    <w:rsid w:val="00B60454"/>
    <w:rsid w:val="00B618E3"/>
    <w:rsid w:val="00B622E6"/>
    <w:rsid w:val="00B6361B"/>
    <w:rsid w:val="00B63822"/>
    <w:rsid w:val="00B71FF5"/>
    <w:rsid w:val="00B72652"/>
    <w:rsid w:val="00B73EA1"/>
    <w:rsid w:val="00B75F93"/>
    <w:rsid w:val="00B769F7"/>
    <w:rsid w:val="00B82721"/>
    <w:rsid w:val="00B855F2"/>
    <w:rsid w:val="00B8705F"/>
    <w:rsid w:val="00B92E20"/>
    <w:rsid w:val="00B931AD"/>
    <w:rsid w:val="00B93C04"/>
    <w:rsid w:val="00B95080"/>
    <w:rsid w:val="00B9563B"/>
    <w:rsid w:val="00B978C9"/>
    <w:rsid w:val="00BA16FB"/>
    <w:rsid w:val="00BA1DDA"/>
    <w:rsid w:val="00BA33F7"/>
    <w:rsid w:val="00BA45FE"/>
    <w:rsid w:val="00BB2224"/>
    <w:rsid w:val="00BB2B6B"/>
    <w:rsid w:val="00BB3DD2"/>
    <w:rsid w:val="00BB5371"/>
    <w:rsid w:val="00BB5952"/>
    <w:rsid w:val="00BB74E0"/>
    <w:rsid w:val="00BB75C5"/>
    <w:rsid w:val="00BC14D2"/>
    <w:rsid w:val="00BC250F"/>
    <w:rsid w:val="00BC54DD"/>
    <w:rsid w:val="00BD0185"/>
    <w:rsid w:val="00BD06AA"/>
    <w:rsid w:val="00BD3851"/>
    <w:rsid w:val="00BD3956"/>
    <w:rsid w:val="00BD6BFA"/>
    <w:rsid w:val="00BE14C0"/>
    <w:rsid w:val="00BE6D56"/>
    <w:rsid w:val="00BE6E3C"/>
    <w:rsid w:val="00BF3B1A"/>
    <w:rsid w:val="00C008D1"/>
    <w:rsid w:val="00C12B4B"/>
    <w:rsid w:val="00C158CD"/>
    <w:rsid w:val="00C17F58"/>
    <w:rsid w:val="00C20BD4"/>
    <w:rsid w:val="00C214AA"/>
    <w:rsid w:val="00C266A0"/>
    <w:rsid w:val="00C27134"/>
    <w:rsid w:val="00C31078"/>
    <w:rsid w:val="00C31A12"/>
    <w:rsid w:val="00C35BEF"/>
    <w:rsid w:val="00C36B43"/>
    <w:rsid w:val="00C4140F"/>
    <w:rsid w:val="00C42C1F"/>
    <w:rsid w:val="00C43D1F"/>
    <w:rsid w:val="00C47024"/>
    <w:rsid w:val="00C47890"/>
    <w:rsid w:val="00C47DDA"/>
    <w:rsid w:val="00C50307"/>
    <w:rsid w:val="00C5192F"/>
    <w:rsid w:val="00C5292E"/>
    <w:rsid w:val="00C5363B"/>
    <w:rsid w:val="00C53D78"/>
    <w:rsid w:val="00C56883"/>
    <w:rsid w:val="00C62366"/>
    <w:rsid w:val="00C62BFF"/>
    <w:rsid w:val="00C66654"/>
    <w:rsid w:val="00C67D76"/>
    <w:rsid w:val="00C70C20"/>
    <w:rsid w:val="00C711F3"/>
    <w:rsid w:val="00C71CBA"/>
    <w:rsid w:val="00C761A1"/>
    <w:rsid w:val="00C76705"/>
    <w:rsid w:val="00C80646"/>
    <w:rsid w:val="00C80D39"/>
    <w:rsid w:val="00C824A2"/>
    <w:rsid w:val="00C85E55"/>
    <w:rsid w:val="00C87614"/>
    <w:rsid w:val="00C914B1"/>
    <w:rsid w:val="00C93276"/>
    <w:rsid w:val="00C9376F"/>
    <w:rsid w:val="00C94F56"/>
    <w:rsid w:val="00C979C4"/>
    <w:rsid w:val="00C97E7A"/>
    <w:rsid w:val="00CA1665"/>
    <w:rsid w:val="00CA355F"/>
    <w:rsid w:val="00CA4FBA"/>
    <w:rsid w:val="00CA6EF5"/>
    <w:rsid w:val="00CA79A8"/>
    <w:rsid w:val="00CB3BEA"/>
    <w:rsid w:val="00CB4094"/>
    <w:rsid w:val="00CB74E7"/>
    <w:rsid w:val="00CB78BB"/>
    <w:rsid w:val="00CC286E"/>
    <w:rsid w:val="00CC3B56"/>
    <w:rsid w:val="00CD0283"/>
    <w:rsid w:val="00CD08C7"/>
    <w:rsid w:val="00CD2CB1"/>
    <w:rsid w:val="00CD724F"/>
    <w:rsid w:val="00CF092B"/>
    <w:rsid w:val="00CF3582"/>
    <w:rsid w:val="00CF4409"/>
    <w:rsid w:val="00CF4DAF"/>
    <w:rsid w:val="00D05831"/>
    <w:rsid w:val="00D11920"/>
    <w:rsid w:val="00D171A8"/>
    <w:rsid w:val="00D2141C"/>
    <w:rsid w:val="00D2434E"/>
    <w:rsid w:val="00D2724F"/>
    <w:rsid w:val="00D30019"/>
    <w:rsid w:val="00D32187"/>
    <w:rsid w:val="00D34941"/>
    <w:rsid w:val="00D3507A"/>
    <w:rsid w:val="00D35B8F"/>
    <w:rsid w:val="00D35F23"/>
    <w:rsid w:val="00D545BA"/>
    <w:rsid w:val="00D56788"/>
    <w:rsid w:val="00D6011E"/>
    <w:rsid w:val="00D6149E"/>
    <w:rsid w:val="00D64401"/>
    <w:rsid w:val="00D6614D"/>
    <w:rsid w:val="00D754D4"/>
    <w:rsid w:val="00D76832"/>
    <w:rsid w:val="00D77758"/>
    <w:rsid w:val="00D81A63"/>
    <w:rsid w:val="00D84EFE"/>
    <w:rsid w:val="00D85234"/>
    <w:rsid w:val="00D87ADB"/>
    <w:rsid w:val="00D942D2"/>
    <w:rsid w:val="00D958DF"/>
    <w:rsid w:val="00D97F6B"/>
    <w:rsid w:val="00DA0C31"/>
    <w:rsid w:val="00DA19E1"/>
    <w:rsid w:val="00DA1FB4"/>
    <w:rsid w:val="00DA480C"/>
    <w:rsid w:val="00DA5996"/>
    <w:rsid w:val="00DA79E3"/>
    <w:rsid w:val="00DB42B2"/>
    <w:rsid w:val="00DB547B"/>
    <w:rsid w:val="00DB5EC2"/>
    <w:rsid w:val="00DC227F"/>
    <w:rsid w:val="00DC49CA"/>
    <w:rsid w:val="00DC5B58"/>
    <w:rsid w:val="00DD0AB7"/>
    <w:rsid w:val="00DD227D"/>
    <w:rsid w:val="00DD624D"/>
    <w:rsid w:val="00DD7747"/>
    <w:rsid w:val="00DE3580"/>
    <w:rsid w:val="00DE7306"/>
    <w:rsid w:val="00DE78BA"/>
    <w:rsid w:val="00DF74A0"/>
    <w:rsid w:val="00E07501"/>
    <w:rsid w:val="00E0751E"/>
    <w:rsid w:val="00E11E9B"/>
    <w:rsid w:val="00E12940"/>
    <w:rsid w:val="00E13AC5"/>
    <w:rsid w:val="00E161B4"/>
    <w:rsid w:val="00E22AC8"/>
    <w:rsid w:val="00E343CB"/>
    <w:rsid w:val="00E348DD"/>
    <w:rsid w:val="00E35440"/>
    <w:rsid w:val="00E364FB"/>
    <w:rsid w:val="00E37209"/>
    <w:rsid w:val="00E40D2A"/>
    <w:rsid w:val="00E4142D"/>
    <w:rsid w:val="00E47ABE"/>
    <w:rsid w:val="00E47B8C"/>
    <w:rsid w:val="00E5382A"/>
    <w:rsid w:val="00E57819"/>
    <w:rsid w:val="00E57959"/>
    <w:rsid w:val="00E57D3A"/>
    <w:rsid w:val="00E60C6E"/>
    <w:rsid w:val="00E6460F"/>
    <w:rsid w:val="00E646C7"/>
    <w:rsid w:val="00E647BC"/>
    <w:rsid w:val="00E64ABD"/>
    <w:rsid w:val="00E7135B"/>
    <w:rsid w:val="00E7251C"/>
    <w:rsid w:val="00E728D9"/>
    <w:rsid w:val="00E74E4C"/>
    <w:rsid w:val="00E83707"/>
    <w:rsid w:val="00E83B3A"/>
    <w:rsid w:val="00E8534E"/>
    <w:rsid w:val="00E85F5F"/>
    <w:rsid w:val="00E870C0"/>
    <w:rsid w:val="00E90238"/>
    <w:rsid w:val="00E90CEB"/>
    <w:rsid w:val="00E92712"/>
    <w:rsid w:val="00EA1C78"/>
    <w:rsid w:val="00EA3496"/>
    <w:rsid w:val="00EA35DE"/>
    <w:rsid w:val="00EA565D"/>
    <w:rsid w:val="00EB2A05"/>
    <w:rsid w:val="00EB2CE7"/>
    <w:rsid w:val="00EB6DE4"/>
    <w:rsid w:val="00EB7F85"/>
    <w:rsid w:val="00EC1145"/>
    <w:rsid w:val="00EC2DDD"/>
    <w:rsid w:val="00EC311F"/>
    <w:rsid w:val="00EC3800"/>
    <w:rsid w:val="00EC425C"/>
    <w:rsid w:val="00EC46AC"/>
    <w:rsid w:val="00EC5658"/>
    <w:rsid w:val="00EC6AC3"/>
    <w:rsid w:val="00EC6D01"/>
    <w:rsid w:val="00EC7E57"/>
    <w:rsid w:val="00ED0EBD"/>
    <w:rsid w:val="00ED1822"/>
    <w:rsid w:val="00ED1E51"/>
    <w:rsid w:val="00ED5B34"/>
    <w:rsid w:val="00EE3F3A"/>
    <w:rsid w:val="00EF3998"/>
    <w:rsid w:val="00EF4F26"/>
    <w:rsid w:val="00EF52F0"/>
    <w:rsid w:val="00EF55CB"/>
    <w:rsid w:val="00F01802"/>
    <w:rsid w:val="00F01C81"/>
    <w:rsid w:val="00F03A20"/>
    <w:rsid w:val="00F07757"/>
    <w:rsid w:val="00F11373"/>
    <w:rsid w:val="00F1294C"/>
    <w:rsid w:val="00F20916"/>
    <w:rsid w:val="00F213D6"/>
    <w:rsid w:val="00F2258B"/>
    <w:rsid w:val="00F22909"/>
    <w:rsid w:val="00F255E6"/>
    <w:rsid w:val="00F31475"/>
    <w:rsid w:val="00F32734"/>
    <w:rsid w:val="00F354F4"/>
    <w:rsid w:val="00F35924"/>
    <w:rsid w:val="00F40105"/>
    <w:rsid w:val="00F4250E"/>
    <w:rsid w:val="00F4313E"/>
    <w:rsid w:val="00F43783"/>
    <w:rsid w:val="00F4452A"/>
    <w:rsid w:val="00F47DEE"/>
    <w:rsid w:val="00F51EF7"/>
    <w:rsid w:val="00F537CE"/>
    <w:rsid w:val="00F608B3"/>
    <w:rsid w:val="00F63388"/>
    <w:rsid w:val="00F64D7D"/>
    <w:rsid w:val="00F6564C"/>
    <w:rsid w:val="00F665E8"/>
    <w:rsid w:val="00F6710D"/>
    <w:rsid w:val="00F67207"/>
    <w:rsid w:val="00F76AF7"/>
    <w:rsid w:val="00F80D24"/>
    <w:rsid w:val="00F8183C"/>
    <w:rsid w:val="00F82E48"/>
    <w:rsid w:val="00F84FF5"/>
    <w:rsid w:val="00F86B7E"/>
    <w:rsid w:val="00F90BA4"/>
    <w:rsid w:val="00F92D5A"/>
    <w:rsid w:val="00FA0EE5"/>
    <w:rsid w:val="00FA11B2"/>
    <w:rsid w:val="00FA1899"/>
    <w:rsid w:val="00FA19B6"/>
    <w:rsid w:val="00FA3EB2"/>
    <w:rsid w:val="00FA4A1B"/>
    <w:rsid w:val="00FB055F"/>
    <w:rsid w:val="00FB0B78"/>
    <w:rsid w:val="00FB1CE9"/>
    <w:rsid w:val="00FB44DD"/>
    <w:rsid w:val="00FC03BB"/>
    <w:rsid w:val="00FD1CE8"/>
    <w:rsid w:val="00FD7108"/>
    <w:rsid w:val="00FD72D3"/>
    <w:rsid w:val="00FE4465"/>
    <w:rsid w:val="00FE5DCA"/>
    <w:rsid w:val="00FF035C"/>
    <w:rsid w:val="00FF4C73"/>
    <w:rsid w:val="00FF5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1"/>
    <o:shapelayout v:ext="edit">
      <o:idmap v:ext="edit" data="1"/>
    </o:shapelayout>
  </w:shapeDefaults>
  <w:decimalSymbol w:val="."/>
  <w:listSeparator w:val=","/>
  <w14:docId w14:val="6E38B6D9"/>
  <w15:chartTrackingRefBased/>
  <w15:docId w15:val="{5603F14C-5C3C-4390-98F2-81488E34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7ABE"/>
    <w:rPr>
      <w:sz w:val="24"/>
      <w:szCs w:val="24"/>
    </w:rPr>
  </w:style>
  <w:style w:type="paragraph" w:styleId="Heading1">
    <w:name w:val="heading 1"/>
    <w:aliases w:val="h1"/>
    <w:basedOn w:val="Normal"/>
    <w:next w:val="Normal"/>
    <w:qFormat/>
    <w:pPr>
      <w:keepNext/>
      <w:jc w:val="center"/>
      <w:outlineLvl w:val="0"/>
    </w:pPr>
    <w:rPr>
      <w:i/>
      <w:iCs/>
      <w:color w:val="999999"/>
      <w:sz w:val="96"/>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4"/>
  </w:style>
  <w:style w:type="paragraph" w:styleId="BodyText">
    <w:name w:val="Body Text"/>
    <w:basedOn w:val="Normal"/>
    <w:link w:val="BodyTextChar"/>
    <w:pPr>
      <w:spacing w:before="120" w:after="120"/>
    </w:pPr>
    <w:rPr>
      <w:iCs/>
      <w:szCs w:val="20"/>
    </w:rPr>
  </w:style>
  <w:style w:type="paragraph" w:customStyle="1" w:styleId="BulletIndent">
    <w:name w:val="Bullet Indent"/>
    <w:basedOn w:val="Normal"/>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uiPriority w:val="99"/>
    <w:qFormat/>
    <w:pPr>
      <w:jc w:val="center"/>
    </w:pPr>
    <w:rPr>
      <w:b/>
      <w:bCs/>
    </w:rPr>
  </w:style>
  <w:style w:type="character" w:styleId="PageNumber">
    <w:name w:val="page number"/>
    <w:basedOn w:val="DefaultParagraphFont"/>
  </w:style>
  <w:style w:type="paragraph" w:customStyle="1" w:styleId="Bullet">
    <w:name w:val="Bullet"/>
    <w:basedOn w:val="Normal"/>
    <w:pPr>
      <w:numPr>
        <w:numId w:val="1"/>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TOC8">
    <w:name w:val="toc 8"/>
    <w:basedOn w:val="Normal"/>
    <w:next w:val="Normal"/>
    <w:autoRedefine/>
    <w:semiHidden/>
    <w:pPr>
      <w:tabs>
        <w:tab w:val="left" w:pos="9000"/>
        <w:tab w:val="right" w:pos="9360"/>
      </w:tabs>
      <w:suppressAutoHyphens/>
      <w:autoSpaceDE w:val="0"/>
      <w:autoSpaceDN w:val="0"/>
      <w:ind w:left="720" w:hanging="720"/>
    </w:pPr>
    <w:rPr>
      <w:rFonts w:ascii="Courier New" w:hAnsi="Courier New" w:cs="Courier New"/>
    </w:rPr>
  </w:style>
  <w:style w:type="paragraph" w:customStyle="1" w:styleId="Standard1">
    <w:name w:val="Standard1"/>
    <w:basedOn w:val="Normal"/>
    <w:pPr>
      <w:spacing w:before="60" w:after="60"/>
    </w:pPr>
    <w:rPr>
      <w:sz w:val="20"/>
      <w:szCs w:val="20"/>
    </w:rPr>
  </w:style>
  <w:style w:type="paragraph" w:styleId="BodyText2">
    <w:name w:val="Body Text 2"/>
    <w:basedOn w:val="Normal"/>
    <w:pPr>
      <w:jc w:val="both"/>
    </w:p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BodyText3">
    <w:name w:val="Body Text 3"/>
    <w:basedOn w:val="Normal"/>
    <w:rsid w:val="00382736"/>
    <w:pPr>
      <w:spacing w:after="120"/>
    </w:pPr>
    <w:rPr>
      <w:sz w:val="16"/>
      <w:szCs w:val="16"/>
    </w:rPr>
  </w:style>
  <w:style w:type="paragraph" w:customStyle="1" w:styleId="Char">
    <w:name w:val="Char"/>
    <w:basedOn w:val="Normal"/>
    <w:rsid w:val="00A00C66"/>
    <w:pPr>
      <w:spacing w:after="160" w:line="240" w:lineRule="exact"/>
    </w:pPr>
    <w:rPr>
      <w:rFonts w:ascii="Verdana" w:hAnsi="Verdana"/>
      <w:sz w:val="16"/>
      <w:szCs w:val="20"/>
    </w:rPr>
  </w:style>
  <w:style w:type="character" w:customStyle="1" w:styleId="HeaderChar">
    <w:name w:val="Header Char"/>
    <w:link w:val="Header"/>
    <w:uiPriority w:val="99"/>
    <w:rsid w:val="00B95080"/>
    <w:rPr>
      <w:sz w:val="24"/>
      <w:szCs w:val="24"/>
    </w:rPr>
  </w:style>
  <w:style w:type="character" w:customStyle="1" w:styleId="BodyTextChar">
    <w:name w:val="Body Text Char"/>
    <w:link w:val="BodyText"/>
    <w:locked/>
    <w:rsid w:val="00167741"/>
    <w:rPr>
      <w:iCs/>
      <w:sz w:val="24"/>
    </w:rPr>
  </w:style>
  <w:style w:type="character" w:styleId="CommentReference">
    <w:name w:val="annotation reference"/>
    <w:rsid w:val="00655224"/>
    <w:rPr>
      <w:sz w:val="16"/>
      <w:szCs w:val="16"/>
    </w:rPr>
  </w:style>
  <w:style w:type="paragraph" w:styleId="CommentText">
    <w:name w:val="annotation text"/>
    <w:basedOn w:val="Normal"/>
    <w:link w:val="CommentTextChar"/>
    <w:rsid w:val="00655224"/>
    <w:rPr>
      <w:sz w:val="20"/>
      <w:szCs w:val="20"/>
    </w:rPr>
  </w:style>
  <w:style w:type="character" w:customStyle="1" w:styleId="CommentTextChar">
    <w:name w:val="Comment Text Char"/>
    <w:basedOn w:val="DefaultParagraphFont"/>
    <w:link w:val="CommentText"/>
    <w:rsid w:val="00655224"/>
  </w:style>
  <w:style w:type="paragraph" w:styleId="BalloonText">
    <w:name w:val="Balloon Text"/>
    <w:basedOn w:val="Normal"/>
    <w:link w:val="BalloonTextChar"/>
    <w:rsid w:val="00655224"/>
    <w:rPr>
      <w:rFonts w:ascii="Segoe UI" w:hAnsi="Segoe UI" w:cs="Segoe UI"/>
      <w:sz w:val="18"/>
      <w:szCs w:val="18"/>
    </w:rPr>
  </w:style>
  <w:style w:type="character" w:customStyle="1" w:styleId="BalloonTextChar">
    <w:name w:val="Balloon Text Char"/>
    <w:link w:val="BalloonText"/>
    <w:rsid w:val="00655224"/>
    <w:rPr>
      <w:rFonts w:ascii="Segoe UI" w:hAnsi="Segoe UI" w:cs="Segoe UI"/>
      <w:sz w:val="18"/>
      <w:szCs w:val="18"/>
    </w:rPr>
  </w:style>
  <w:style w:type="paragraph" w:styleId="CommentSubject">
    <w:name w:val="annotation subject"/>
    <w:basedOn w:val="CommentText"/>
    <w:next w:val="CommentText"/>
    <w:link w:val="CommentSubjectChar"/>
    <w:rsid w:val="007D28EF"/>
    <w:rPr>
      <w:b/>
      <w:bCs/>
    </w:rPr>
  </w:style>
  <w:style w:type="character" w:customStyle="1" w:styleId="CommentSubjectChar">
    <w:name w:val="Comment Subject Char"/>
    <w:link w:val="CommentSubject"/>
    <w:rsid w:val="007D28EF"/>
    <w:rPr>
      <w:b/>
      <w:bCs/>
    </w:rPr>
  </w:style>
  <w:style w:type="paragraph" w:customStyle="1" w:styleId="Default">
    <w:name w:val="Default"/>
    <w:rsid w:val="00EC2DD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C2DDD"/>
    <w:rPr>
      <w:sz w:val="24"/>
      <w:szCs w:val="24"/>
    </w:rPr>
  </w:style>
  <w:style w:type="character" w:customStyle="1" w:styleId="TitleChar">
    <w:name w:val="Title Char"/>
    <w:link w:val="Title"/>
    <w:uiPriority w:val="99"/>
    <w:locked/>
    <w:rsid w:val="00682B10"/>
    <w:rPr>
      <w:b/>
      <w:bCs/>
      <w:sz w:val="24"/>
      <w:szCs w:val="24"/>
    </w:rPr>
  </w:style>
  <w:style w:type="paragraph" w:styleId="ListParagraph">
    <w:name w:val="List Paragraph"/>
    <w:basedOn w:val="Normal"/>
    <w:uiPriority w:val="34"/>
    <w:qFormat/>
    <w:rsid w:val="003F1402"/>
    <w:pPr>
      <w:ind w:left="720"/>
      <w:contextualSpacing/>
    </w:pPr>
  </w:style>
  <w:style w:type="character" w:styleId="UnresolvedMention">
    <w:name w:val="Unresolved Mention"/>
    <w:basedOn w:val="DefaultParagraphFont"/>
    <w:uiPriority w:val="99"/>
    <w:semiHidden/>
    <w:unhideWhenUsed/>
    <w:rsid w:val="006D28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329917">
      <w:bodyDiv w:val="1"/>
      <w:marLeft w:val="0"/>
      <w:marRight w:val="0"/>
      <w:marTop w:val="0"/>
      <w:marBottom w:val="0"/>
      <w:divBdr>
        <w:top w:val="none" w:sz="0" w:space="0" w:color="auto"/>
        <w:left w:val="none" w:sz="0" w:space="0" w:color="auto"/>
        <w:bottom w:val="none" w:sz="0" w:space="0" w:color="auto"/>
        <w:right w:val="none" w:sz="0" w:space="0" w:color="auto"/>
      </w:divBdr>
    </w:div>
    <w:div w:id="796686222">
      <w:bodyDiv w:val="1"/>
      <w:marLeft w:val="0"/>
      <w:marRight w:val="0"/>
      <w:marTop w:val="0"/>
      <w:marBottom w:val="0"/>
      <w:divBdr>
        <w:top w:val="none" w:sz="0" w:space="0" w:color="auto"/>
        <w:left w:val="none" w:sz="0" w:space="0" w:color="auto"/>
        <w:bottom w:val="none" w:sz="0" w:space="0" w:color="auto"/>
        <w:right w:val="none" w:sz="0" w:space="0" w:color="auto"/>
      </w:divBdr>
    </w:div>
    <w:div w:id="188451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rcot.com/mktrules/issues/npr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rcot.com/calendar/event?id=1646762937073"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rcot.com/mktrules/issues/smogrr"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rcot.com/mktrules/issues/pgr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3BAA5C-1262-4A02-8704-698E06921975}">
  <ds:schemaRefs>
    <ds:schemaRef ds:uri="http://schemas.openxmlformats.org/officeDocument/2006/bibliography"/>
  </ds:schemaRefs>
</ds:datastoreItem>
</file>

<file path=customXml/itemProps2.xml><?xml version="1.0" encoding="utf-8"?>
<ds:datastoreItem xmlns:ds="http://schemas.openxmlformats.org/officeDocument/2006/customXml" ds:itemID="{6D3A9CCF-21A8-4E6D-AAB3-69F8C49B5C9A}">
  <ds:schemaRefs>
    <ds:schemaRef ds:uri="http://schemas.microsoft.com/sharepoint/v3/contenttype/forms"/>
  </ds:schemaRefs>
</ds:datastoreItem>
</file>

<file path=customXml/itemProps3.xml><?xml version="1.0" encoding="utf-8"?>
<ds:datastoreItem xmlns:ds="http://schemas.openxmlformats.org/officeDocument/2006/customXml" ds:itemID="{D7FA7AD7-F97A-494C-B44F-1612F0B1917D}">
  <ds:schemaRefs>
    <ds:schemaRef ds:uri="http://schemas.microsoft.com/office/2006/metadata/longProperties"/>
  </ds:schemaRefs>
</ds:datastoreItem>
</file>

<file path=customXml/itemProps4.xml><?xml version="1.0" encoding="utf-8"?>
<ds:datastoreItem xmlns:ds="http://schemas.openxmlformats.org/officeDocument/2006/customXml" ds:itemID="{41B97500-9472-4C36-99B5-7068030F4C31}">
  <ds:schemaRefs>
    <ds:schemaRef ds:uri="http://schemas.openxmlformats.org/package/2006/metadata/core-properties"/>
    <ds:schemaRef ds:uri="http://purl.org/dc/terms/"/>
    <ds:schemaRef ds:uri="c34af464-7aa1-4edd-9be4-83dffc1cb926"/>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B6353943-6D42-4518-8306-53BE60BA2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7</Pages>
  <Words>2172</Words>
  <Characters>13295</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Date:</vt:lpstr>
    </vt:vector>
  </TitlesOfParts>
  <Company>Dell Computer Corporation</Company>
  <LinksUpToDate>false</LinksUpToDate>
  <CharactersWithSpaces>15437</CharactersWithSpaces>
  <SharedDoc>false</SharedDoc>
  <HLinks>
    <vt:vector size="18" baseType="variant">
      <vt:variant>
        <vt:i4>8323176</vt:i4>
      </vt:variant>
      <vt:variant>
        <vt:i4>6</vt:i4>
      </vt:variant>
      <vt:variant>
        <vt:i4>0</vt:i4>
      </vt:variant>
      <vt:variant>
        <vt:i4>5</vt:i4>
      </vt:variant>
      <vt:variant>
        <vt:lpwstr>http://www.ercot.com/mktrules/issues/nogrr</vt:lpwstr>
      </vt:variant>
      <vt:variant>
        <vt:lpwstr/>
      </vt:variant>
      <vt:variant>
        <vt:i4>1572869</vt:i4>
      </vt:variant>
      <vt:variant>
        <vt:i4>3</vt:i4>
      </vt:variant>
      <vt:variant>
        <vt:i4>0</vt:i4>
      </vt:variant>
      <vt:variant>
        <vt:i4>5</vt:i4>
      </vt:variant>
      <vt:variant>
        <vt:lpwstr>http://www.ercot.com/mktrules/issues/nprr</vt:lpwstr>
      </vt:variant>
      <vt:variant>
        <vt:lpwstr/>
      </vt:variant>
      <vt:variant>
        <vt:i4>7340067</vt:i4>
      </vt:variant>
      <vt:variant>
        <vt:i4>0</vt:i4>
      </vt:variant>
      <vt:variant>
        <vt:i4>0</vt:i4>
      </vt:variant>
      <vt:variant>
        <vt:i4>5</vt:i4>
      </vt:variant>
      <vt:variant>
        <vt:lpwstr>http://www.ercot.com/calendar/2020/6/9/181573-BOARD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Cheryl Moseley</dc:creator>
  <cp:keywords/>
  <cp:lastModifiedBy>Levine, Jonathan</cp:lastModifiedBy>
  <cp:revision>7</cp:revision>
  <cp:lastPrinted>2019-09-26T13:16:00Z</cp:lastPrinted>
  <dcterms:created xsi:type="dcterms:W3CDTF">2022-04-19T16:56:00Z</dcterms:created>
  <dcterms:modified xsi:type="dcterms:W3CDTF">2022-04-21T20:06:00Z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Markham, Lori</vt:lpwstr>
  </property>
  <property fmtid="{D5CDD505-2E9C-101B-9397-08002B2CF9AE}" pid="3" name="xd_Signature">
    <vt:lpwstr/>
  </property>
  <property fmtid="{D5CDD505-2E9C-101B-9397-08002B2CF9AE}" pid="4" name="TemplateUrl">
    <vt:lpwstr/>
  </property>
  <property fmtid="{D5CDD505-2E9C-101B-9397-08002B2CF9AE}" pid="5" name="display_urn:schemas-microsoft-com:office:office#Author">
    <vt:lpwstr>Rife, Carolyn</vt:lpwstr>
  </property>
  <property fmtid="{D5CDD505-2E9C-101B-9397-08002B2CF9AE}" pid="6" name="xd_ProgID">
    <vt:lpwstr/>
  </property>
  <property fmtid="{D5CDD505-2E9C-101B-9397-08002B2CF9AE}" pid="7" name="IconOverlay">
    <vt:lpwstr/>
  </property>
</Properties>
</file>