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E1BC" w14:textId="77777777" w:rsidR="008E6E0E" w:rsidRPr="00F16A93" w:rsidRDefault="008E6E0E" w:rsidP="008E6E0E">
      <w:pPr>
        <w:spacing w:after="0" w:line="240" w:lineRule="auto"/>
        <w:jc w:val="center"/>
        <w:rPr>
          <w:rFonts w:ascii="Calibri" w:hAnsi="Calibri"/>
          <w:u w:val="single"/>
        </w:rPr>
      </w:pPr>
      <w:r w:rsidRPr="00F16A93">
        <w:rPr>
          <w:rFonts w:ascii="Calibri" w:hAnsi="Calibri"/>
          <w:u w:val="single"/>
        </w:rPr>
        <w:t>PUC Project No. 46304</w:t>
      </w:r>
    </w:p>
    <w:p w14:paraId="5DB1C083" w14:textId="77777777" w:rsidR="008E6E0E" w:rsidRPr="00F16A93" w:rsidRDefault="008E6E0E" w:rsidP="008E6E0E">
      <w:pPr>
        <w:spacing w:after="0" w:line="240" w:lineRule="auto"/>
        <w:jc w:val="center"/>
        <w:rPr>
          <w:rFonts w:ascii="Calibri" w:hAnsi="Calibri"/>
          <w:u w:val="single"/>
        </w:rPr>
      </w:pPr>
      <w:r w:rsidRPr="00F16A93">
        <w:rPr>
          <w:rFonts w:ascii="Calibri" w:hAnsi="Calibri"/>
          <w:u w:val="single"/>
        </w:rPr>
        <w:t>Oversight Relating to the Southern Cross Transmission (SCT) DC</w:t>
      </w:r>
      <w:r>
        <w:rPr>
          <w:rFonts w:ascii="Calibri" w:hAnsi="Calibri"/>
          <w:u w:val="single"/>
        </w:rPr>
        <w:t xml:space="preserve"> Tie</w:t>
      </w:r>
      <w:r w:rsidRPr="00F16A93">
        <w:rPr>
          <w:rFonts w:ascii="Calibri" w:hAnsi="Calibri"/>
          <w:u w:val="single"/>
        </w:rPr>
        <w:t xml:space="preserve"> </w:t>
      </w:r>
    </w:p>
    <w:p w14:paraId="07334BEB" w14:textId="01A12906" w:rsidR="008E6E0E" w:rsidRDefault="009D52FC" w:rsidP="008E6E0E">
      <w:pPr>
        <w:spacing w:after="0" w:line="240" w:lineRule="auto"/>
        <w:jc w:val="center"/>
        <w:rPr>
          <w:rFonts w:ascii="Calibri" w:hAnsi="Calibri"/>
          <w:u w:val="single"/>
        </w:rPr>
      </w:pPr>
      <w:r>
        <w:rPr>
          <w:rFonts w:ascii="Calibri" w:hAnsi="Calibri"/>
          <w:u w:val="single"/>
        </w:rPr>
        <w:t>Planning Studies for Transmission Upgrades</w:t>
      </w:r>
      <w:r w:rsidR="00A0107D">
        <w:rPr>
          <w:rFonts w:ascii="Calibri" w:hAnsi="Calibri"/>
          <w:u w:val="single"/>
        </w:rPr>
        <w:t xml:space="preserve"> (Directive </w:t>
      </w:r>
      <w:r>
        <w:rPr>
          <w:rFonts w:ascii="Calibri" w:hAnsi="Calibri"/>
          <w:u w:val="single"/>
        </w:rPr>
        <w:t>6</w:t>
      </w:r>
      <w:r w:rsidR="008E6E0E" w:rsidRPr="00F16A93">
        <w:rPr>
          <w:rFonts w:ascii="Calibri" w:hAnsi="Calibri"/>
          <w:u w:val="single"/>
        </w:rPr>
        <w:t>)</w:t>
      </w:r>
    </w:p>
    <w:p w14:paraId="55F4202E" w14:textId="77777777" w:rsidR="008E6E0E" w:rsidRDefault="008E6E0E">
      <w:pPr>
        <w:rPr>
          <w:u w:val="single"/>
        </w:rPr>
      </w:pPr>
    </w:p>
    <w:p w14:paraId="4ACA1DAB" w14:textId="10E223E0" w:rsidR="00230A62" w:rsidRPr="003C5735" w:rsidRDefault="00230A62">
      <w:r w:rsidRPr="008C47BE">
        <w:rPr>
          <w:u w:val="single"/>
        </w:rPr>
        <w:t>Date</w:t>
      </w:r>
      <w:r w:rsidR="00A0107D" w:rsidRPr="008C47BE">
        <w:t xml:space="preserve">:  </w:t>
      </w:r>
      <w:r w:rsidR="009D3333">
        <w:t>04/13/2022</w:t>
      </w:r>
    </w:p>
    <w:p w14:paraId="4304747A" w14:textId="6F527360" w:rsidR="00EB1C87" w:rsidRDefault="00230A62" w:rsidP="00EB1C87">
      <w:r w:rsidRPr="003C5735">
        <w:rPr>
          <w:u w:val="single"/>
        </w:rPr>
        <w:t>Market stakeholder input</w:t>
      </w:r>
      <w:r w:rsidR="00F3035C" w:rsidRPr="003C5735">
        <w:t xml:space="preserve">: </w:t>
      </w:r>
      <w:r w:rsidR="00C502DA" w:rsidRPr="003C5735">
        <w:t>RPG 04/24/2018, RPG 11/27/2018, RPG 01/22/2019, RPG 02/19/2019, RPG 03/1</w:t>
      </w:r>
      <w:r w:rsidR="009D52FC">
        <w:t>3</w:t>
      </w:r>
      <w:r w:rsidR="00C502DA" w:rsidRPr="003C5735">
        <w:t>/2019</w:t>
      </w:r>
      <w:r w:rsidR="00FC2D68">
        <w:t>, PLWG 02/15/2022, ROS 03/03/2022</w:t>
      </w:r>
      <w:r w:rsidR="008326C9">
        <w:t>, TAC 04/13/2022</w:t>
      </w:r>
    </w:p>
    <w:tbl>
      <w:tblPr>
        <w:tblW w:w="9867" w:type="dxa"/>
        <w:tblCellMar>
          <w:left w:w="0" w:type="dxa"/>
          <w:right w:w="0" w:type="dxa"/>
        </w:tblCellMar>
        <w:tblLook w:val="0420" w:firstRow="1" w:lastRow="0" w:firstColumn="0" w:lastColumn="0" w:noHBand="0" w:noVBand="1"/>
      </w:tblPr>
      <w:tblGrid>
        <w:gridCol w:w="1770"/>
        <w:gridCol w:w="8097"/>
      </w:tblGrid>
      <w:tr w:rsidR="009C4E17" w:rsidRPr="009C4E17" w14:paraId="0DDE7735" w14:textId="77777777" w:rsidTr="009D52FC">
        <w:trPr>
          <w:trHeight w:val="1147"/>
        </w:trPr>
        <w:tc>
          <w:tcPr>
            <w:tcW w:w="1770"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1CF542A4" w14:textId="6B55C7CD" w:rsidR="009C4E17" w:rsidRPr="009C4E17" w:rsidRDefault="009C4E17" w:rsidP="0001152C">
            <w:r w:rsidRPr="009C4E17">
              <w:rPr>
                <w:b/>
                <w:bCs/>
              </w:rPr>
              <w:t>Directive #</w:t>
            </w:r>
            <w:r w:rsidR="00E734BE">
              <w:rPr>
                <w:b/>
                <w:bCs/>
              </w:rPr>
              <w:t>6</w:t>
            </w:r>
            <w:r w:rsidRPr="009C4E17">
              <w:rPr>
                <w:b/>
                <w:bCs/>
              </w:rPr>
              <w:t xml:space="preserve"> </w:t>
            </w:r>
            <w:r w:rsidR="00F3035C">
              <w:rPr>
                <w:b/>
                <w:bCs/>
              </w:rPr>
              <w:t>–</w:t>
            </w:r>
            <w:r w:rsidRPr="009C4E17">
              <w:rPr>
                <w:b/>
                <w:bCs/>
              </w:rPr>
              <w:t xml:space="preserve"> </w:t>
            </w:r>
            <w:r w:rsidR="009D52FC">
              <w:rPr>
                <w:b/>
                <w:bCs/>
              </w:rPr>
              <w:t>Planning Studies for Transmission Upgrades</w:t>
            </w:r>
          </w:p>
        </w:tc>
        <w:tc>
          <w:tcPr>
            <w:tcW w:w="809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hideMark/>
          </w:tcPr>
          <w:p w14:paraId="080A4AA6" w14:textId="1D0984C4" w:rsidR="009C4E17" w:rsidRPr="009C4E17" w:rsidRDefault="00256832" w:rsidP="00A0107D">
            <w:r>
              <w:t xml:space="preserve">ERCOT shall study and determine </w:t>
            </w:r>
            <w:r w:rsidR="009D52FC">
              <w:t>what transmission upgrades, if any, are necessary to manage congestion resulting from power flows over the Southern Cross DC tie, make any necessary revisions to its standards, guides, systems, and protocols as appropriate, and certify to the Commission when it has completed these actions.</w:t>
            </w:r>
          </w:p>
        </w:tc>
      </w:tr>
    </w:tbl>
    <w:p w14:paraId="2A8FE8DF" w14:textId="77777777" w:rsidR="00CB15E3" w:rsidRPr="00723164" w:rsidRDefault="00CB15E3" w:rsidP="00723164">
      <w:pPr>
        <w:spacing w:after="0"/>
        <w:rPr>
          <w:i/>
          <w:color w:val="FF0000"/>
        </w:rPr>
      </w:pPr>
    </w:p>
    <w:p w14:paraId="1D0C69F0" w14:textId="2CF845A9" w:rsidR="009D52FC" w:rsidRDefault="0077476B" w:rsidP="007F23F4">
      <w:pPr>
        <w:jc w:val="both"/>
        <w:rPr>
          <w:b/>
          <w:i/>
          <w:color w:val="FF0000"/>
        </w:rPr>
      </w:pPr>
      <w:r w:rsidRPr="003C5735">
        <w:rPr>
          <w:b/>
          <w:i/>
          <w:color w:val="FF0000"/>
        </w:rPr>
        <w:t xml:space="preserve">Determination: </w:t>
      </w:r>
      <w:r w:rsidR="002E7338">
        <w:rPr>
          <w:b/>
          <w:i/>
          <w:color w:val="FF0000"/>
        </w:rPr>
        <w:t xml:space="preserve">While ERCOT studies revealed that upgrades would be needed to </w:t>
      </w:r>
      <w:r w:rsidR="009C361E">
        <w:rPr>
          <w:b/>
          <w:i/>
          <w:color w:val="FF0000"/>
        </w:rPr>
        <w:t>accommodate the modeled flows over the Southern Cross DC Tie under certain system conditions,</w:t>
      </w:r>
      <w:r w:rsidR="00306E53">
        <w:rPr>
          <w:b/>
          <w:i/>
          <w:color w:val="FF0000"/>
        </w:rPr>
        <w:t xml:space="preserve"> </w:t>
      </w:r>
      <w:r w:rsidR="00994B4E">
        <w:rPr>
          <w:b/>
          <w:i/>
          <w:color w:val="FF0000"/>
        </w:rPr>
        <w:t xml:space="preserve">ERCOT has determined that no transmission system upgrades are </w:t>
      </w:r>
      <w:r w:rsidR="009C361E">
        <w:rPr>
          <w:b/>
          <w:i/>
          <w:color w:val="FF0000"/>
        </w:rPr>
        <w:t xml:space="preserve">ultimately </w:t>
      </w:r>
      <w:r w:rsidR="00994B4E">
        <w:rPr>
          <w:b/>
          <w:i/>
          <w:color w:val="FF0000"/>
        </w:rPr>
        <w:t xml:space="preserve">necessary to manage congestion resulting from power flows over the Southern Cross DC Tie. </w:t>
      </w:r>
      <w:r w:rsidR="009C361E">
        <w:rPr>
          <w:b/>
          <w:i/>
          <w:color w:val="FF0000"/>
        </w:rPr>
        <w:t xml:space="preserve">This is because </w:t>
      </w:r>
      <w:r w:rsidR="00F603A2">
        <w:rPr>
          <w:b/>
          <w:i/>
          <w:color w:val="FF0000"/>
        </w:rPr>
        <w:t xml:space="preserve">PGRR077, DC Tie Planning Assumptions, which was approved by the ERCOT Board in October 2020, </w:t>
      </w:r>
      <w:r w:rsidR="009C361E">
        <w:rPr>
          <w:b/>
          <w:i/>
          <w:color w:val="FF0000"/>
        </w:rPr>
        <w:t>requires ERCOT to curtail</w:t>
      </w:r>
      <w:r w:rsidR="00F603A2">
        <w:rPr>
          <w:b/>
          <w:i/>
          <w:color w:val="FF0000"/>
        </w:rPr>
        <w:t xml:space="preserve"> assumed DC Tie flows in transmission planning analysis when necessary to meet reliability criteria. </w:t>
      </w:r>
      <w:r w:rsidR="00994B4E">
        <w:rPr>
          <w:b/>
          <w:i/>
          <w:color w:val="FF0000"/>
        </w:rPr>
        <w:t xml:space="preserve">ERCOT expects that it </w:t>
      </w:r>
      <w:r w:rsidR="00D769F8">
        <w:rPr>
          <w:b/>
          <w:i/>
          <w:color w:val="FF0000"/>
        </w:rPr>
        <w:t>may</w:t>
      </w:r>
      <w:r w:rsidR="00994B4E">
        <w:rPr>
          <w:b/>
          <w:i/>
          <w:color w:val="FF0000"/>
        </w:rPr>
        <w:t xml:space="preserve"> need to redispatch generation and/or limit flows </w:t>
      </w:r>
      <w:r w:rsidR="00D769F8">
        <w:rPr>
          <w:b/>
          <w:i/>
          <w:color w:val="FF0000"/>
        </w:rPr>
        <w:t>across</w:t>
      </w:r>
      <w:r w:rsidR="00994B4E">
        <w:rPr>
          <w:b/>
          <w:i/>
          <w:color w:val="FF0000"/>
        </w:rPr>
        <w:t xml:space="preserve"> the Southern Cross DC Tie to manage</w:t>
      </w:r>
      <w:r w:rsidR="00D769F8">
        <w:rPr>
          <w:b/>
          <w:i/>
          <w:color w:val="FF0000"/>
        </w:rPr>
        <w:t xml:space="preserve"> constraints in real time</w:t>
      </w:r>
      <w:r w:rsidR="00C667A5">
        <w:rPr>
          <w:b/>
          <w:i/>
          <w:color w:val="FF0000"/>
        </w:rPr>
        <w:t>.</w:t>
      </w:r>
    </w:p>
    <w:p w14:paraId="4F549BF8" w14:textId="77777777" w:rsidR="008533BA" w:rsidRPr="005B02E6" w:rsidRDefault="008533BA" w:rsidP="007F23F4">
      <w:pPr>
        <w:jc w:val="both"/>
        <w:rPr>
          <w:u w:val="single"/>
        </w:rPr>
      </w:pPr>
      <w:r w:rsidRPr="00481F9D">
        <w:rPr>
          <w:u w:val="single"/>
        </w:rPr>
        <w:t xml:space="preserve">Technical reasons for </w:t>
      </w:r>
      <w:r>
        <w:rPr>
          <w:u w:val="single"/>
        </w:rPr>
        <w:t>determination</w:t>
      </w:r>
    </w:p>
    <w:p w14:paraId="00D161EE" w14:textId="008DCFBD" w:rsidR="009D52FC" w:rsidRPr="00743C19" w:rsidRDefault="00614C5B" w:rsidP="007F23F4">
      <w:pPr>
        <w:ind w:firstLine="360"/>
        <w:jc w:val="both"/>
      </w:pPr>
      <w:r w:rsidRPr="007F23F4">
        <w:rPr>
          <w:bCs/>
          <w:iCs/>
          <w:color w:val="000000" w:themeColor="text1"/>
        </w:rPr>
        <w:t xml:space="preserve">In 2019, </w:t>
      </w:r>
      <w:r w:rsidR="00743C19" w:rsidRPr="007F23F4">
        <w:rPr>
          <w:bCs/>
          <w:iCs/>
          <w:color w:val="000000" w:themeColor="text1"/>
        </w:rPr>
        <w:t xml:space="preserve">ERCOT conducted </w:t>
      </w:r>
      <w:r w:rsidR="00F603A2" w:rsidRPr="007F23F4">
        <w:rPr>
          <w:bCs/>
          <w:iCs/>
          <w:color w:val="000000" w:themeColor="text1"/>
        </w:rPr>
        <w:t xml:space="preserve">a </w:t>
      </w:r>
      <w:r w:rsidR="00743C19" w:rsidRPr="007F23F4">
        <w:rPr>
          <w:bCs/>
          <w:iCs/>
          <w:color w:val="000000" w:themeColor="text1"/>
        </w:rPr>
        <w:t xml:space="preserve">transmission analysis to determine the ability of the transmission system in the area of the Southern Cross DC Tie to support assumed imports and exports across the tie. </w:t>
      </w:r>
      <w:r w:rsidR="00743C19" w:rsidRPr="009C361E">
        <w:t>ERCOT analyzed the following conditions</w:t>
      </w:r>
      <w:r w:rsidR="0025384A" w:rsidRPr="009C361E">
        <w:t xml:space="preserve"> after consulting with stakeholders</w:t>
      </w:r>
      <w:r w:rsidR="00743C19" w:rsidRPr="009C361E">
        <w:t>:</w:t>
      </w:r>
    </w:p>
    <w:p w14:paraId="6A213C57" w14:textId="7C28E974" w:rsidR="00743C19" w:rsidRPr="00743C19" w:rsidRDefault="00743C19" w:rsidP="007F23F4">
      <w:pPr>
        <w:pStyle w:val="ListParagraph"/>
        <w:numPr>
          <w:ilvl w:val="0"/>
          <w:numId w:val="19"/>
        </w:numPr>
        <w:jc w:val="both"/>
      </w:pPr>
      <w:r w:rsidRPr="007F23F4">
        <w:rPr>
          <w:bCs/>
          <w:iCs/>
          <w:color w:val="000000" w:themeColor="text1"/>
        </w:rPr>
        <w:t>350 MW Southern Cross DC Tie import during summer peak conditions</w:t>
      </w:r>
    </w:p>
    <w:p w14:paraId="2D0BBF7D" w14:textId="2B5BEB92" w:rsidR="009C361E" w:rsidRPr="0025384A" w:rsidRDefault="00743C19" w:rsidP="007F23F4">
      <w:pPr>
        <w:pStyle w:val="ListParagraph"/>
        <w:numPr>
          <w:ilvl w:val="0"/>
          <w:numId w:val="19"/>
        </w:numPr>
        <w:jc w:val="both"/>
      </w:pPr>
      <w:r w:rsidRPr="007F23F4">
        <w:rPr>
          <w:bCs/>
          <w:iCs/>
          <w:color w:val="000000" w:themeColor="text1"/>
        </w:rPr>
        <w:t>2,100 MW Southern Cross DC Tie export during high wind, low load conditions</w:t>
      </w:r>
    </w:p>
    <w:p w14:paraId="6570EDEF" w14:textId="00690354" w:rsidR="009C361E" w:rsidRPr="00253E8A" w:rsidRDefault="0025384A" w:rsidP="007F23F4">
      <w:pPr>
        <w:pStyle w:val="ListParagraph"/>
        <w:numPr>
          <w:ilvl w:val="0"/>
          <w:numId w:val="19"/>
        </w:numPr>
        <w:jc w:val="both"/>
      </w:pPr>
      <w:r w:rsidRPr="007F23F4">
        <w:rPr>
          <w:bCs/>
          <w:iCs/>
          <w:color w:val="000000" w:themeColor="text1"/>
        </w:rPr>
        <w:t>Sensitivity analysis evaluating dynamic stability for full import and export conditions on the Southern Cross DC Tie</w:t>
      </w:r>
    </w:p>
    <w:p w14:paraId="5893F417" w14:textId="57B16556" w:rsidR="00F16F5D" w:rsidRPr="005C188D" w:rsidRDefault="00253E8A" w:rsidP="007F23F4">
      <w:pPr>
        <w:pStyle w:val="ListParagraph"/>
        <w:numPr>
          <w:ilvl w:val="0"/>
          <w:numId w:val="19"/>
        </w:numPr>
        <w:jc w:val="both"/>
      </w:pPr>
      <w:r>
        <w:t>Sensitivity analysis evaluating dynamic stability assuming the proposed Southern Cross DC Tie was importing 1,375 MW during summer peak conditions based on the consideration of the Most Severe Single Contingency (MSSC)</w:t>
      </w:r>
    </w:p>
    <w:p w14:paraId="3AA98FB0" w14:textId="4B897A72" w:rsidR="0025384A" w:rsidRDefault="00F16F5D" w:rsidP="007F23F4">
      <w:pPr>
        <w:pStyle w:val="ListParagraph"/>
        <w:numPr>
          <w:ilvl w:val="0"/>
          <w:numId w:val="19"/>
        </w:numPr>
        <w:jc w:val="both"/>
      </w:pPr>
      <w:r>
        <w:t>I</w:t>
      </w:r>
      <w:r w:rsidR="0025384A">
        <w:t>mpact of the Southern Cross DC Tie providing the equivalent of 0.95 power factor leading and lagging reactive capability</w:t>
      </w:r>
      <w:r w:rsidR="00A14FE1">
        <w:t xml:space="preserve">, </w:t>
      </w:r>
      <w:r w:rsidR="001B11E8">
        <w:t>which is related to Dire</w:t>
      </w:r>
      <w:r w:rsidR="00A14FE1">
        <w:t>ctive 8</w:t>
      </w:r>
    </w:p>
    <w:p w14:paraId="29F8DBC6" w14:textId="1ADE5767" w:rsidR="005C188D" w:rsidRPr="005C188D" w:rsidRDefault="00F16F5D" w:rsidP="007F23F4">
      <w:pPr>
        <w:jc w:val="both"/>
      </w:pPr>
      <w:r>
        <w:rPr>
          <w:bCs/>
          <w:iCs/>
          <w:color w:val="000000" w:themeColor="text1"/>
        </w:rPr>
        <w:t>ERCOT’s</w:t>
      </w:r>
      <w:r w:rsidRPr="007F23F4">
        <w:rPr>
          <w:bCs/>
          <w:iCs/>
          <w:color w:val="000000" w:themeColor="text1"/>
        </w:rPr>
        <w:t xml:space="preserve"> </w:t>
      </w:r>
      <w:r w:rsidR="00E557AD" w:rsidRPr="007F23F4">
        <w:rPr>
          <w:bCs/>
          <w:iCs/>
          <w:color w:val="000000" w:themeColor="text1"/>
        </w:rPr>
        <w:t xml:space="preserve">transmission analysis </w:t>
      </w:r>
      <w:r>
        <w:rPr>
          <w:bCs/>
          <w:iCs/>
          <w:color w:val="000000" w:themeColor="text1"/>
        </w:rPr>
        <w:t>yielded the following conclusions</w:t>
      </w:r>
      <w:r w:rsidR="00E557AD" w:rsidRPr="007F23F4">
        <w:rPr>
          <w:bCs/>
          <w:iCs/>
          <w:color w:val="000000" w:themeColor="text1"/>
        </w:rPr>
        <w:t>:</w:t>
      </w:r>
    </w:p>
    <w:p w14:paraId="508BA240" w14:textId="5ECBC4A3" w:rsidR="005C188D" w:rsidRDefault="00E557AD" w:rsidP="007F23F4">
      <w:pPr>
        <w:pStyle w:val="ListParagraph"/>
        <w:numPr>
          <w:ilvl w:val="0"/>
          <w:numId w:val="20"/>
        </w:numPr>
        <w:jc w:val="both"/>
      </w:pPr>
      <w:r w:rsidRPr="007F23F4">
        <w:rPr>
          <w:bCs/>
          <w:iCs/>
          <w:color w:val="000000" w:themeColor="text1"/>
        </w:rPr>
        <w:t xml:space="preserve">For </w:t>
      </w:r>
      <w:r w:rsidR="00F16F5D">
        <w:rPr>
          <w:bCs/>
          <w:iCs/>
          <w:color w:val="000000" w:themeColor="text1"/>
        </w:rPr>
        <w:t xml:space="preserve">imports during </w:t>
      </w:r>
      <w:r w:rsidRPr="007F23F4">
        <w:rPr>
          <w:bCs/>
          <w:iCs/>
          <w:color w:val="000000" w:themeColor="text1"/>
        </w:rPr>
        <w:t>summer peak conditions, t</w:t>
      </w:r>
      <w:r w:rsidR="0025384A" w:rsidRPr="007F23F4">
        <w:rPr>
          <w:bCs/>
          <w:iCs/>
          <w:color w:val="000000" w:themeColor="text1"/>
        </w:rPr>
        <w:t>hermal limits were reached before voltage stability limits.</w:t>
      </w:r>
      <w:r w:rsidRPr="007F23F4">
        <w:rPr>
          <w:bCs/>
          <w:iCs/>
          <w:color w:val="000000" w:themeColor="text1"/>
        </w:rPr>
        <w:t xml:space="preserve"> </w:t>
      </w:r>
      <w:r w:rsidR="005C188D" w:rsidRPr="007F23F4">
        <w:rPr>
          <w:bCs/>
          <w:iCs/>
          <w:color w:val="000000" w:themeColor="text1"/>
        </w:rPr>
        <w:t>The transmission system was able to accommodate an import level of approximately 547 MW before thermal overloads were observed.</w:t>
      </w:r>
      <w:r w:rsidRPr="007F23F4">
        <w:rPr>
          <w:bCs/>
          <w:iCs/>
          <w:color w:val="000000" w:themeColor="text1"/>
        </w:rPr>
        <w:t xml:space="preserve"> </w:t>
      </w:r>
      <w:r w:rsidR="00584068">
        <w:rPr>
          <w:bCs/>
          <w:iCs/>
          <w:color w:val="000000" w:themeColor="text1"/>
        </w:rPr>
        <w:t>This value was in excess of the assumed 350 MW import value.</w:t>
      </w:r>
      <w:r w:rsidR="007F23F4">
        <w:rPr>
          <w:bCs/>
          <w:iCs/>
          <w:color w:val="000000" w:themeColor="text1"/>
        </w:rPr>
        <w:t xml:space="preserve"> </w:t>
      </w:r>
      <w:r w:rsidR="00584068">
        <w:rPr>
          <w:bCs/>
          <w:iCs/>
          <w:color w:val="000000" w:themeColor="text1"/>
        </w:rPr>
        <w:t xml:space="preserve">For purposes of real-time operations, </w:t>
      </w:r>
      <w:r w:rsidR="005C188D">
        <w:t xml:space="preserve">ERCOT expects that it would need to </w:t>
      </w:r>
      <w:r w:rsidR="005C188D">
        <w:lastRenderedPageBreak/>
        <w:t>redispatch generation and/or limit flows across the Southern Cross DC Tie if the actual import level exceeds the level analyzed in the study.</w:t>
      </w:r>
    </w:p>
    <w:p w14:paraId="40587D6A" w14:textId="4B472003" w:rsidR="00F769EC" w:rsidRDefault="00E557AD" w:rsidP="007F23F4">
      <w:pPr>
        <w:pStyle w:val="ListParagraph"/>
        <w:numPr>
          <w:ilvl w:val="0"/>
          <w:numId w:val="20"/>
        </w:numPr>
        <w:jc w:val="both"/>
      </w:pPr>
      <w:r>
        <w:t>F</w:t>
      </w:r>
      <w:r w:rsidR="005C188D">
        <w:t>or high wind, low load conditions</w:t>
      </w:r>
      <w:r>
        <w:t>, e</w:t>
      </w:r>
      <w:r w:rsidR="005C188D">
        <w:t>xports across the Southern Cross DC Tie would be limited to 1,289 MW by voltage stability constraints</w:t>
      </w:r>
      <w:r w:rsidR="00F769EC">
        <w:t>.</w:t>
      </w:r>
      <w:r>
        <w:t xml:space="preserve"> </w:t>
      </w:r>
      <w:r w:rsidR="005D6C30">
        <w:t xml:space="preserve">Without transmission system upgrades, </w:t>
      </w:r>
      <w:r w:rsidR="00F769EC">
        <w:t>ERCOT expects that</w:t>
      </w:r>
      <w:r w:rsidR="005D6C30">
        <w:t xml:space="preserve"> </w:t>
      </w:r>
      <w:r w:rsidR="0025384A">
        <w:t>ex</w:t>
      </w:r>
      <w:r w:rsidR="005D6C30">
        <w:t>ports across</w:t>
      </w:r>
      <w:r w:rsidR="00F769EC">
        <w:t xml:space="preserve"> the Southern Cross DC Tie would need to be limi</w:t>
      </w:r>
      <w:r w:rsidR="005D6C30">
        <w:t>ted to manage the voltage stability constraints identified.</w:t>
      </w:r>
    </w:p>
    <w:p w14:paraId="648BE63A" w14:textId="0E91048E" w:rsidR="00656F0F" w:rsidRPr="008C3235" w:rsidRDefault="00656F0F" w:rsidP="007F23F4">
      <w:pPr>
        <w:pStyle w:val="ListParagraph"/>
        <w:numPr>
          <w:ilvl w:val="0"/>
          <w:numId w:val="20"/>
        </w:numPr>
        <w:jc w:val="both"/>
      </w:pPr>
      <w:r>
        <w:t xml:space="preserve">The cost of transmission upgrades needed to resolve the voltage stability constraint associated with exports was estimated to be $182-205 million.  </w:t>
      </w:r>
    </w:p>
    <w:p w14:paraId="02A3E4C4" w14:textId="1A9AF0D6" w:rsidR="00656F0F" w:rsidRDefault="00656F0F" w:rsidP="007F23F4">
      <w:pPr>
        <w:pStyle w:val="ListParagraph"/>
        <w:numPr>
          <w:ilvl w:val="0"/>
          <w:numId w:val="20"/>
        </w:numPr>
        <w:jc w:val="both"/>
      </w:pPr>
      <w:r w:rsidRPr="00656F0F">
        <w:rPr>
          <w:bCs/>
          <w:iCs/>
          <w:color w:val="000000" w:themeColor="text1"/>
        </w:rPr>
        <w:t>Fewer transmission upgrades would be needed to achieve full export capability under the studied conditions if the Southern Cross DC Tie provided the equivalent of 0.95 power factor leading and lagging reactive power capability</w:t>
      </w:r>
      <w:r>
        <w:rPr>
          <w:bCs/>
          <w:iCs/>
          <w:color w:val="000000" w:themeColor="text1"/>
        </w:rPr>
        <w:t xml:space="preserve">, as proposed in NPRR1098, </w:t>
      </w:r>
      <w:r w:rsidRPr="00656F0F">
        <w:rPr>
          <w:bCs/>
          <w:iCs/>
          <w:color w:val="000000" w:themeColor="text1"/>
        </w:rPr>
        <w:t>Direct Current Tie (DC Tie) Reactive Power Capability Requirements</w:t>
      </w:r>
      <w:r>
        <w:rPr>
          <w:bCs/>
          <w:iCs/>
          <w:color w:val="000000" w:themeColor="text1"/>
        </w:rPr>
        <w:t>, which ERCOT submitted to resolve Directive 8</w:t>
      </w:r>
      <w:r w:rsidRPr="00656F0F">
        <w:rPr>
          <w:bCs/>
          <w:iCs/>
          <w:color w:val="000000" w:themeColor="text1"/>
        </w:rPr>
        <w:t>.</w:t>
      </w:r>
      <w:r w:rsidR="007F23F4">
        <w:rPr>
          <w:bCs/>
          <w:iCs/>
          <w:color w:val="000000" w:themeColor="text1"/>
        </w:rPr>
        <w:t xml:space="preserve"> </w:t>
      </w:r>
      <w:r w:rsidR="00584068">
        <w:rPr>
          <w:bCs/>
          <w:iCs/>
          <w:color w:val="000000" w:themeColor="text1"/>
        </w:rPr>
        <w:t xml:space="preserve">If Southern Cross were required to provide reactive </w:t>
      </w:r>
      <w:r w:rsidR="007F23F4">
        <w:rPr>
          <w:bCs/>
          <w:iCs/>
          <w:color w:val="000000" w:themeColor="text1"/>
        </w:rPr>
        <w:t xml:space="preserve">power </w:t>
      </w:r>
      <w:r w:rsidR="00584068">
        <w:rPr>
          <w:bCs/>
          <w:iCs/>
          <w:color w:val="000000" w:themeColor="text1"/>
        </w:rPr>
        <w:t>capability equivalent to a 0.95 power factor</w:t>
      </w:r>
      <w:r w:rsidRPr="00656F0F">
        <w:rPr>
          <w:bCs/>
          <w:iCs/>
          <w:color w:val="000000" w:themeColor="text1"/>
        </w:rPr>
        <w:t>, the cost of transmission upgrades needed to resolve the stability constraint associated with exports was estimated to be $70-123 million.</w:t>
      </w:r>
    </w:p>
    <w:p w14:paraId="788F3B1E" w14:textId="2DAAD76E" w:rsidR="008C3235" w:rsidRPr="007F23F4" w:rsidRDefault="008C3235" w:rsidP="007F23F4">
      <w:pPr>
        <w:pStyle w:val="ListParagraph"/>
        <w:numPr>
          <w:ilvl w:val="0"/>
          <w:numId w:val="20"/>
        </w:numPr>
        <w:jc w:val="both"/>
      </w:pPr>
      <w:r w:rsidRPr="007F23F4">
        <w:rPr>
          <w:bCs/>
          <w:iCs/>
          <w:color w:val="000000" w:themeColor="text1"/>
        </w:rPr>
        <w:t>The transmission system would experience angular instability at assumed full import conditions (2,000 MW).</w:t>
      </w:r>
      <w:r w:rsidR="00E557AD" w:rsidRPr="007F23F4">
        <w:rPr>
          <w:bCs/>
          <w:iCs/>
          <w:color w:val="000000" w:themeColor="text1"/>
        </w:rPr>
        <w:t xml:space="preserve"> </w:t>
      </w:r>
      <w:r w:rsidR="00253E8A" w:rsidRPr="007F23F4">
        <w:rPr>
          <w:bCs/>
          <w:iCs/>
          <w:color w:val="000000" w:themeColor="text1"/>
        </w:rPr>
        <w:t>Additionally, u</w:t>
      </w:r>
      <w:r w:rsidR="008044E7" w:rsidRPr="007F23F4">
        <w:rPr>
          <w:bCs/>
          <w:iCs/>
          <w:color w:val="000000" w:themeColor="text1"/>
        </w:rPr>
        <w:t xml:space="preserve">nder summer peak conditions, the transmission system would experience instability at an import level of 1,375 MW for the contingency loss of a double-circuit transmission line. </w:t>
      </w:r>
      <w:r w:rsidRPr="007F23F4">
        <w:rPr>
          <w:bCs/>
          <w:iCs/>
          <w:color w:val="000000" w:themeColor="text1"/>
        </w:rPr>
        <w:t>While thermal constraints would be most binding for imports, if those constraints were relieved, stability limit</w:t>
      </w:r>
      <w:r w:rsidR="008044E7" w:rsidRPr="007F23F4">
        <w:rPr>
          <w:bCs/>
          <w:iCs/>
          <w:color w:val="000000" w:themeColor="text1"/>
        </w:rPr>
        <w:t>s</w:t>
      </w:r>
      <w:r w:rsidRPr="007F23F4">
        <w:rPr>
          <w:bCs/>
          <w:iCs/>
          <w:color w:val="000000" w:themeColor="text1"/>
        </w:rPr>
        <w:t xml:space="preserve"> would </w:t>
      </w:r>
      <w:r w:rsidR="008044E7" w:rsidRPr="007F23F4">
        <w:rPr>
          <w:bCs/>
          <w:iCs/>
          <w:color w:val="000000" w:themeColor="text1"/>
        </w:rPr>
        <w:t>limit imports</w:t>
      </w:r>
      <w:r w:rsidRPr="007F23F4">
        <w:rPr>
          <w:bCs/>
          <w:iCs/>
          <w:color w:val="000000" w:themeColor="text1"/>
        </w:rPr>
        <w:t xml:space="preserve"> across the Southern Cross DC Tie at the level</w:t>
      </w:r>
      <w:r w:rsidR="008044E7" w:rsidRPr="007F23F4">
        <w:rPr>
          <w:bCs/>
          <w:iCs/>
          <w:color w:val="000000" w:themeColor="text1"/>
        </w:rPr>
        <w:t>s</w:t>
      </w:r>
      <w:r w:rsidRPr="007F23F4">
        <w:rPr>
          <w:bCs/>
          <w:iCs/>
          <w:color w:val="000000" w:themeColor="text1"/>
        </w:rPr>
        <w:t xml:space="preserve"> assumed for the study.</w:t>
      </w:r>
      <w:r w:rsidR="00E557AD" w:rsidRPr="007F23F4">
        <w:rPr>
          <w:bCs/>
          <w:iCs/>
          <w:color w:val="000000" w:themeColor="text1"/>
        </w:rPr>
        <w:t xml:space="preserve"> </w:t>
      </w:r>
      <w:r w:rsidR="008044E7" w:rsidRPr="007F23F4">
        <w:rPr>
          <w:bCs/>
          <w:iCs/>
          <w:color w:val="000000" w:themeColor="text1"/>
        </w:rPr>
        <w:t xml:space="preserve">Actual </w:t>
      </w:r>
      <w:r w:rsidRPr="007F23F4">
        <w:rPr>
          <w:bCs/>
          <w:iCs/>
          <w:color w:val="000000" w:themeColor="text1"/>
        </w:rPr>
        <w:t>stability limit</w:t>
      </w:r>
      <w:r w:rsidR="008044E7" w:rsidRPr="007F23F4">
        <w:rPr>
          <w:bCs/>
          <w:iCs/>
          <w:color w:val="000000" w:themeColor="text1"/>
        </w:rPr>
        <w:t>s</w:t>
      </w:r>
      <w:r w:rsidRPr="007F23F4">
        <w:rPr>
          <w:bCs/>
          <w:iCs/>
          <w:color w:val="000000" w:themeColor="text1"/>
        </w:rPr>
        <w:t xml:space="preserve"> could be</w:t>
      </w:r>
      <w:r w:rsidR="008044E7" w:rsidRPr="007F23F4">
        <w:rPr>
          <w:bCs/>
          <w:iCs/>
          <w:color w:val="000000" w:themeColor="text1"/>
        </w:rPr>
        <w:t xml:space="preserve"> lower than</w:t>
      </w:r>
      <w:r w:rsidRPr="007F23F4">
        <w:rPr>
          <w:bCs/>
          <w:iCs/>
          <w:color w:val="000000" w:themeColor="text1"/>
        </w:rPr>
        <w:t xml:space="preserve"> </w:t>
      </w:r>
      <w:r w:rsidR="00253E8A" w:rsidRPr="007F23F4">
        <w:rPr>
          <w:bCs/>
          <w:iCs/>
          <w:color w:val="000000" w:themeColor="text1"/>
        </w:rPr>
        <w:t xml:space="preserve">those resulting from the study and could be </w:t>
      </w:r>
      <w:r w:rsidRPr="007F23F4">
        <w:rPr>
          <w:bCs/>
          <w:iCs/>
          <w:color w:val="000000" w:themeColor="text1"/>
        </w:rPr>
        <w:t xml:space="preserve">managed in real time by curtailing the </w:t>
      </w:r>
      <w:r w:rsidR="00E557AD" w:rsidRPr="007F23F4">
        <w:rPr>
          <w:bCs/>
          <w:iCs/>
          <w:color w:val="000000" w:themeColor="text1"/>
        </w:rPr>
        <w:t xml:space="preserve">Southern Cross </w:t>
      </w:r>
      <w:r w:rsidRPr="007F23F4">
        <w:rPr>
          <w:bCs/>
          <w:iCs/>
          <w:color w:val="000000" w:themeColor="text1"/>
        </w:rPr>
        <w:t>DC Tie or creating a Generic Transmission Constraint (GTC).</w:t>
      </w:r>
    </w:p>
    <w:p w14:paraId="0E176B69" w14:textId="6E54CDD1" w:rsidR="00656F0F" w:rsidRPr="007F23F4" w:rsidRDefault="00656F0F" w:rsidP="007F23F4">
      <w:pPr>
        <w:pStyle w:val="ListParagraph"/>
        <w:numPr>
          <w:ilvl w:val="0"/>
          <w:numId w:val="20"/>
        </w:numPr>
        <w:jc w:val="both"/>
      </w:pPr>
      <w:r>
        <w:t>The cost of the incremental transmission upgrades that would resolve the angular stability limits was estimated to be $161-360 million.</w:t>
      </w:r>
    </w:p>
    <w:p w14:paraId="186CED60" w14:textId="6F91EDB2" w:rsidR="00071DFA" w:rsidRDefault="00071DFA" w:rsidP="007F23F4">
      <w:pPr>
        <w:ind w:firstLine="360"/>
        <w:jc w:val="both"/>
        <w:rPr>
          <w:bCs/>
          <w:iCs/>
          <w:color w:val="000000" w:themeColor="text1"/>
        </w:rPr>
      </w:pPr>
      <w:r>
        <w:t xml:space="preserve">Following ERCOT’s completion of the Directive 6 </w:t>
      </w:r>
      <w:r w:rsidR="00F37F8B">
        <w:t>transmission analysis</w:t>
      </w:r>
      <w:r>
        <w:t xml:space="preserve">, ERCOT submitted </w:t>
      </w:r>
      <w:r w:rsidRPr="007F23F4">
        <w:rPr>
          <w:bCs/>
          <w:iCs/>
          <w:color w:val="000000" w:themeColor="text1"/>
        </w:rPr>
        <w:t>PGRR077, DC Tie Planning Assumptions</w:t>
      </w:r>
      <w:r>
        <w:rPr>
          <w:bCs/>
          <w:iCs/>
          <w:color w:val="000000" w:themeColor="text1"/>
        </w:rPr>
        <w:t>.</w:t>
      </w:r>
      <w:r w:rsidR="007F23F4">
        <w:rPr>
          <w:bCs/>
          <w:iCs/>
          <w:color w:val="000000" w:themeColor="text1"/>
        </w:rPr>
        <w:t xml:space="preserve"> </w:t>
      </w:r>
      <w:r>
        <w:rPr>
          <w:bCs/>
          <w:iCs/>
          <w:color w:val="000000" w:themeColor="text1"/>
        </w:rPr>
        <w:t>This PGRR,</w:t>
      </w:r>
      <w:r w:rsidRPr="007F23F4">
        <w:rPr>
          <w:bCs/>
          <w:iCs/>
          <w:color w:val="000000" w:themeColor="text1"/>
        </w:rPr>
        <w:t xml:space="preserve"> which was approved by the ERCOT Board in October 2020, clarifies that </w:t>
      </w:r>
      <w:r>
        <w:rPr>
          <w:bCs/>
          <w:iCs/>
          <w:color w:val="000000" w:themeColor="text1"/>
        </w:rPr>
        <w:t xml:space="preserve">ERCOT will curtail </w:t>
      </w:r>
      <w:r w:rsidRPr="007F23F4">
        <w:rPr>
          <w:bCs/>
          <w:iCs/>
          <w:color w:val="000000" w:themeColor="text1"/>
        </w:rPr>
        <w:t xml:space="preserve">assumed DC Tie flows in </w:t>
      </w:r>
      <w:r>
        <w:rPr>
          <w:bCs/>
          <w:iCs/>
          <w:color w:val="000000" w:themeColor="text1"/>
        </w:rPr>
        <w:t xml:space="preserve">its </w:t>
      </w:r>
      <w:r w:rsidRPr="007F23F4">
        <w:rPr>
          <w:bCs/>
          <w:iCs/>
          <w:color w:val="000000" w:themeColor="text1"/>
        </w:rPr>
        <w:t xml:space="preserve">transmission planning </w:t>
      </w:r>
      <w:r>
        <w:rPr>
          <w:bCs/>
          <w:iCs/>
          <w:color w:val="000000" w:themeColor="text1"/>
        </w:rPr>
        <w:t>studies</w:t>
      </w:r>
      <w:r w:rsidRPr="007F23F4">
        <w:rPr>
          <w:bCs/>
          <w:iCs/>
          <w:color w:val="000000" w:themeColor="text1"/>
        </w:rPr>
        <w:t xml:space="preserve"> when necessary to meet reliability criteria.</w:t>
      </w:r>
      <w:r w:rsidR="007F23F4">
        <w:rPr>
          <w:bCs/>
          <w:iCs/>
          <w:color w:val="000000" w:themeColor="text1"/>
        </w:rPr>
        <w:t xml:space="preserve"> </w:t>
      </w:r>
      <w:r>
        <w:rPr>
          <w:bCs/>
          <w:iCs/>
          <w:color w:val="000000" w:themeColor="text1"/>
        </w:rPr>
        <w:t>Consequently, ERCOT’s future transmission planning studies will not identify any reliability-based need for transmission upgrades following the interconnection of the Southern Cross DC Tie</w:t>
      </w:r>
      <w:r w:rsidR="00F37F8B">
        <w:rPr>
          <w:bCs/>
          <w:iCs/>
          <w:color w:val="000000" w:themeColor="text1"/>
        </w:rPr>
        <w:t>, notwithstanding the results of ERCOT’s Directive 6 stu</w:t>
      </w:r>
      <w:r w:rsidR="00C95F0A">
        <w:rPr>
          <w:bCs/>
          <w:iCs/>
          <w:color w:val="000000" w:themeColor="text1"/>
        </w:rPr>
        <w:t>dy.</w:t>
      </w:r>
    </w:p>
    <w:p w14:paraId="29270687" w14:textId="4C58C5DE" w:rsidR="00F37F8B" w:rsidRDefault="00071DFA" w:rsidP="007F23F4">
      <w:pPr>
        <w:ind w:firstLine="360"/>
        <w:jc w:val="both"/>
      </w:pPr>
      <w:r w:rsidRPr="007F23F4">
        <w:rPr>
          <w:bCs/>
          <w:iCs/>
          <w:color w:val="000000" w:themeColor="text1"/>
        </w:rPr>
        <w:t>As noted in the determination on Directive 7 approved by the ERCOT Board on February 11, 2020, existing operational and market mechanisms can be used to manage congestion due to flows over the Southern Cross DC Tie, including ERCOT’s ability to issue a DC Tie Curtailment Notice and curtail the import or export of the DC Tie to the extent necessary to operate the system within its limits.</w:t>
      </w:r>
    </w:p>
    <w:p w14:paraId="43906173" w14:textId="0ED601B3" w:rsidR="00C667A5" w:rsidRPr="001F2780" w:rsidRDefault="00C667A5" w:rsidP="008F44F1">
      <w:pPr>
        <w:ind w:firstLine="360"/>
        <w:jc w:val="both"/>
      </w:pPr>
      <w:r>
        <w:rPr>
          <w:bCs/>
          <w:iCs/>
          <w:color w:val="000000" w:themeColor="text1"/>
        </w:rPr>
        <w:t>ERCOT’s transmission analysis identified various transmission improvement options to accommodate full imports and exports across the Southern Cross DC tie under the conditions studied</w:t>
      </w:r>
      <w:r w:rsidR="009E6932">
        <w:rPr>
          <w:bCs/>
          <w:iCs/>
          <w:color w:val="000000" w:themeColor="text1"/>
        </w:rPr>
        <w:t xml:space="preserve"> and </w:t>
      </w:r>
      <w:r w:rsidR="00C95F0A">
        <w:rPr>
          <w:bCs/>
          <w:iCs/>
          <w:color w:val="000000" w:themeColor="text1"/>
        </w:rPr>
        <w:t>assuming</w:t>
      </w:r>
      <w:r w:rsidR="00F37F8B">
        <w:rPr>
          <w:bCs/>
          <w:iCs/>
          <w:color w:val="000000" w:themeColor="text1"/>
        </w:rPr>
        <w:t xml:space="preserve"> the physical </w:t>
      </w:r>
      <w:r w:rsidR="009E6932">
        <w:rPr>
          <w:bCs/>
          <w:iCs/>
          <w:color w:val="000000" w:themeColor="text1"/>
        </w:rPr>
        <w:t xml:space="preserve">characteristics of the Southern Cross DC Tie </w:t>
      </w:r>
      <w:r w:rsidR="00F37F8B">
        <w:rPr>
          <w:bCs/>
          <w:iCs/>
          <w:color w:val="000000" w:themeColor="text1"/>
        </w:rPr>
        <w:t xml:space="preserve">that were </w:t>
      </w:r>
      <w:r w:rsidR="009E6932">
        <w:rPr>
          <w:bCs/>
          <w:iCs/>
          <w:color w:val="000000" w:themeColor="text1"/>
        </w:rPr>
        <w:t>pro</w:t>
      </w:r>
      <w:r w:rsidR="00C95F0A">
        <w:rPr>
          <w:bCs/>
          <w:iCs/>
          <w:color w:val="000000" w:themeColor="text1"/>
        </w:rPr>
        <w:t>vided to ERCOT</w:t>
      </w:r>
      <w:r w:rsidR="009E6932">
        <w:rPr>
          <w:bCs/>
          <w:iCs/>
          <w:color w:val="000000" w:themeColor="text1"/>
        </w:rPr>
        <w:t xml:space="preserve"> at the time of the study</w:t>
      </w:r>
      <w:r>
        <w:rPr>
          <w:bCs/>
          <w:iCs/>
          <w:color w:val="000000" w:themeColor="text1"/>
        </w:rPr>
        <w:t xml:space="preserve">. </w:t>
      </w:r>
      <w:r w:rsidR="009E6932">
        <w:rPr>
          <w:bCs/>
          <w:iCs/>
          <w:color w:val="000000" w:themeColor="text1"/>
        </w:rPr>
        <w:t xml:space="preserve">If </w:t>
      </w:r>
      <w:r w:rsidR="00F37F8B">
        <w:rPr>
          <w:bCs/>
          <w:iCs/>
          <w:color w:val="000000" w:themeColor="text1"/>
        </w:rPr>
        <w:t xml:space="preserve">for any reason </w:t>
      </w:r>
      <w:r w:rsidR="009E6932">
        <w:rPr>
          <w:bCs/>
          <w:iCs/>
          <w:color w:val="000000" w:themeColor="text1"/>
        </w:rPr>
        <w:t xml:space="preserve">transmission upgrades </w:t>
      </w:r>
      <w:r w:rsidR="00F37F8B">
        <w:rPr>
          <w:bCs/>
          <w:iCs/>
          <w:color w:val="000000" w:themeColor="text1"/>
        </w:rPr>
        <w:t xml:space="preserve">were required </w:t>
      </w:r>
      <w:r w:rsidR="009E6932">
        <w:rPr>
          <w:bCs/>
          <w:iCs/>
          <w:color w:val="000000" w:themeColor="text1"/>
        </w:rPr>
        <w:t>to be made</w:t>
      </w:r>
      <w:r w:rsidR="00C95F0A">
        <w:rPr>
          <w:bCs/>
          <w:iCs/>
          <w:color w:val="000000" w:themeColor="text1"/>
        </w:rPr>
        <w:t xml:space="preserve"> (</w:t>
      </w:r>
      <w:r w:rsidR="00F37F8B">
        <w:rPr>
          <w:bCs/>
          <w:iCs/>
          <w:color w:val="000000" w:themeColor="text1"/>
        </w:rPr>
        <w:t>notwithstanding PGRR077</w:t>
      </w:r>
      <w:r w:rsidR="00C95F0A">
        <w:rPr>
          <w:bCs/>
          <w:iCs/>
          <w:color w:val="000000" w:themeColor="text1"/>
        </w:rPr>
        <w:t>)</w:t>
      </w:r>
      <w:r w:rsidR="009E6932">
        <w:rPr>
          <w:bCs/>
          <w:iCs/>
          <w:color w:val="000000" w:themeColor="text1"/>
        </w:rPr>
        <w:t xml:space="preserve">, </w:t>
      </w:r>
      <w:r w:rsidR="00F37F8B">
        <w:rPr>
          <w:bCs/>
          <w:iCs/>
          <w:color w:val="000000" w:themeColor="text1"/>
        </w:rPr>
        <w:t xml:space="preserve">ERCOT would need to conduct </w:t>
      </w:r>
      <w:r w:rsidR="009E6932">
        <w:rPr>
          <w:bCs/>
          <w:iCs/>
          <w:color w:val="000000" w:themeColor="text1"/>
        </w:rPr>
        <w:t xml:space="preserve">additional studies </w:t>
      </w:r>
      <w:r w:rsidR="00F37F8B">
        <w:rPr>
          <w:bCs/>
          <w:iCs/>
          <w:color w:val="000000" w:themeColor="text1"/>
        </w:rPr>
        <w:t xml:space="preserve">using </w:t>
      </w:r>
      <w:r w:rsidR="009E6932">
        <w:rPr>
          <w:bCs/>
          <w:iCs/>
          <w:color w:val="000000" w:themeColor="text1"/>
        </w:rPr>
        <w:t xml:space="preserve">expected system conditions updated from those used for the 2019 study and </w:t>
      </w:r>
      <w:r w:rsidR="00F37F8B">
        <w:rPr>
          <w:bCs/>
          <w:iCs/>
          <w:color w:val="000000" w:themeColor="text1"/>
        </w:rPr>
        <w:t xml:space="preserve">the latest information about the </w:t>
      </w:r>
      <w:r w:rsidR="009E6932">
        <w:rPr>
          <w:bCs/>
          <w:iCs/>
          <w:color w:val="000000" w:themeColor="text1"/>
        </w:rPr>
        <w:t xml:space="preserve">technology </w:t>
      </w:r>
      <w:r w:rsidR="00F37F8B">
        <w:rPr>
          <w:bCs/>
          <w:iCs/>
          <w:color w:val="000000" w:themeColor="text1"/>
        </w:rPr>
        <w:t>to be used in</w:t>
      </w:r>
      <w:r w:rsidR="009E6932">
        <w:rPr>
          <w:bCs/>
          <w:iCs/>
          <w:color w:val="000000" w:themeColor="text1"/>
        </w:rPr>
        <w:t xml:space="preserve"> the Southern Cross DC Tie, </w:t>
      </w:r>
      <w:r w:rsidR="00584068">
        <w:rPr>
          <w:bCs/>
          <w:iCs/>
          <w:color w:val="000000" w:themeColor="text1"/>
        </w:rPr>
        <w:t xml:space="preserve">in order </w:t>
      </w:r>
      <w:r w:rsidR="00F603A2">
        <w:rPr>
          <w:bCs/>
          <w:iCs/>
          <w:color w:val="000000" w:themeColor="text1"/>
        </w:rPr>
        <w:t>to develop a</w:t>
      </w:r>
      <w:r w:rsidR="00E926EB">
        <w:rPr>
          <w:bCs/>
          <w:iCs/>
          <w:color w:val="000000" w:themeColor="text1"/>
        </w:rPr>
        <w:t xml:space="preserve"> recommendation</w:t>
      </w:r>
      <w:r w:rsidR="00F603A2">
        <w:rPr>
          <w:bCs/>
          <w:iCs/>
          <w:color w:val="000000" w:themeColor="text1"/>
        </w:rPr>
        <w:t xml:space="preserve"> on transmission upgrades</w:t>
      </w:r>
      <w:r w:rsidR="00E926EB">
        <w:rPr>
          <w:bCs/>
          <w:iCs/>
          <w:color w:val="000000" w:themeColor="text1"/>
        </w:rPr>
        <w:t>.</w:t>
      </w:r>
    </w:p>
    <w:sectPr w:rsidR="00C667A5" w:rsidRPr="001F278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7E3DA" w14:textId="77777777" w:rsidR="00D570DA" w:rsidRDefault="00D570DA" w:rsidP="006C32D5">
      <w:pPr>
        <w:spacing w:after="0" w:line="240" w:lineRule="auto"/>
      </w:pPr>
      <w:r>
        <w:separator/>
      </w:r>
    </w:p>
  </w:endnote>
  <w:endnote w:type="continuationSeparator" w:id="0">
    <w:p w14:paraId="3F92C8B8" w14:textId="77777777" w:rsidR="00D570DA" w:rsidRDefault="00D570DA"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2286" w14:textId="5574C745" w:rsidR="009508C0" w:rsidRDefault="002F3622" w:rsidP="00EB1C87">
    <w:pPr>
      <w:pStyle w:val="Footer"/>
      <w:rPr>
        <w:rFonts w:ascii="Arial" w:hAnsi="Arial" w:cs="Arial"/>
        <w:sz w:val="18"/>
      </w:rPr>
    </w:pPr>
    <w:r>
      <w:rPr>
        <w:rFonts w:ascii="Arial" w:hAnsi="Arial" w:cs="Arial"/>
        <w:sz w:val="18"/>
      </w:rPr>
      <w:t xml:space="preserve">PUC Order No. 46304, Directive </w:t>
    </w:r>
    <w:r w:rsidR="00E734BE">
      <w:rPr>
        <w:rFonts w:ascii="Arial" w:hAnsi="Arial" w:cs="Arial"/>
        <w:sz w:val="18"/>
      </w:rPr>
      <w:t>6</w:t>
    </w:r>
    <w:r w:rsidR="00EB1C87">
      <w:rPr>
        <w:rFonts w:ascii="Arial" w:hAnsi="Arial" w:cs="Arial"/>
        <w:sz w:val="18"/>
      </w:rPr>
      <w:t xml:space="preserve">, </w:t>
    </w:r>
    <w:r w:rsidR="00E734BE">
      <w:rPr>
        <w:rFonts w:ascii="Arial" w:hAnsi="Arial" w:cs="Arial"/>
        <w:sz w:val="18"/>
      </w:rPr>
      <w:t>Planning Studies for Transmission Upgrades</w:t>
    </w:r>
    <w:r w:rsidR="003C5735">
      <w:rPr>
        <w:rFonts w:ascii="Arial" w:hAnsi="Arial" w:cs="Arial"/>
        <w:sz w:val="18"/>
      </w:rPr>
      <w:t xml:space="preserve"> </w:t>
    </w:r>
    <w:r w:rsidR="003C5735" w:rsidRPr="008C47BE">
      <w:rPr>
        <w:rFonts w:ascii="Arial" w:hAnsi="Arial" w:cs="Arial"/>
        <w:sz w:val="18"/>
      </w:rPr>
      <w:t>0</w:t>
    </w:r>
    <w:r w:rsidR="00812A60">
      <w:rPr>
        <w:rFonts w:ascii="Arial" w:hAnsi="Arial" w:cs="Arial"/>
        <w:sz w:val="18"/>
      </w:rPr>
      <w:t>413</w:t>
    </w:r>
    <w:r w:rsidR="003C5735" w:rsidRPr="008C47BE">
      <w:rPr>
        <w:rFonts w:ascii="Arial" w:hAnsi="Arial" w:cs="Arial"/>
        <w:sz w:val="18"/>
      </w:rPr>
      <w:t>2022</w:t>
    </w:r>
  </w:p>
  <w:p w14:paraId="21C2E539" w14:textId="7D01625E" w:rsidR="00EB1C87" w:rsidRDefault="00EB1C87" w:rsidP="00EB1C87">
    <w:pPr>
      <w:pStyle w:val="Footer"/>
      <w:rPr>
        <w:rFonts w:ascii="Arial" w:hAnsi="Arial" w:cs="Arial"/>
        <w:sz w:val="18"/>
      </w:rPr>
    </w:pP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AF6BB2">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F6BB2">
      <w:rPr>
        <w:rFonts w:ascii="Arial" w:hAnsi="Arial" w:cs="Arial"/>
        <w:noProof/>
        <w:sz w:val="18"/>
      </w:rPr>
      <w:t>3</w:t>
    </w:r>
    <w:r w:rsidRPr="00412DCA">
      <w:rPr>
        <w:rFonts w:ascii="Arial" w:hAnsi="Arial" w:cs="Arial"/>
        <w:sz w:val="18"/>
      </w:rPr>
      <w:fldChar w:fldCharType="end"/>
    </w:r>
  </w:p>
  <w:p w14:paraId="4CE0897B" w14:textId="77777777" w:rsidR="00EB1C87" w:rsidRPr="00EB1C87" w:rsidRDefault="00EB1C87">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8E813" w14:textId="77777777" w:rsidR="00D570DA" w:rsidRDefault="00D570DA" w:rsidP="006C32D5">
      <w:pPr>
        <w:spacing w:after="0" w:line="240" w:lineRule="auto"/>
      </w:pPr>
      <w:r>
        <w:separator/>
      </w:r>
    </w:p>
  </w:footnote>
  <w:footnote w:type="continuationSeparator" w:id="0">
    <w:p w14:paraId="4FC50E19" w14:textId="77777777" w:rsidR="00D570DA" w:rsidRDefault="00D570DA" w:rsidP="006C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9B6D" w14:textId="7D9A412C" w:rsidR="006C32D5" w:rsidRDefault="00EB1C87">
    <w:pPr>
      <w:pStyle w:val="Header"/>
    </w:pPr>
    <w:r>
      <w:rPr>
        <w:noProof/>
      </w:rPr>
      <w:drawing>
        <wp:inline distT="0" distB="0" distL="0" distR="0" wp14:anchorId="0ACB16B1" wp14:editId="2C3247AA">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27E"/>
    <w:multiLevelType w:val="hybridMultilevel"/>
    <w:tmpl w:val="8F5AED28"/>
    <w:lvl w:ilvl="0" w:tplc="04090003">
      <w:start w:val="1"/>
      <w:numFmt w:val="bullet"/>
      <w:lvlText w:val="o"/>
      <w:lvlJc w:val="left"/>
      <w:pPr>
        <w:ind w:left="720" w:hanging="360"/>
      </w:pPr>
      <w:rPr>
        <w:rFonts w:ascii="Courier New" w:hAnsi="Courier New" w:cs="Courier New" w:hint="default"/>
      </w:rPr>
    </w:lvl>
    <w:lvl w:ilvl="1" w:tplc="53F08932">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814A2"/>
    <w:multiLevelType w:val="hybridMultilevel"/>
    <w:tmpl w:val="71A67AF8"/>
    <w:lvl w:ilvl="0" w:tplc="15ACE420">
      <w:start w:val="1"/>
      <w:numFmt w:val="bullet"/>
      <w:lvlText w:val="–"/>
      <w:lvlJc w:val="left"/>
      <w:pPr>
        <w:tabs>
          <w:tab w:val="num" w:pos="720"/>
        </w:tabs>
        <w:ind w:left="720" w:hanging="360"/>
      </w:pPr>
      <w:rPr>
        <w:rFonts w:ascii="Arial" w:hAnsi="Arial" w:hint="default"/>
      </w:rPr>
    </w:lvl>
    <w:lvl w:ilvl="1" w:tplc="267A9BCA">
      <w:start w:val="1"/>
      <w:numFmt w:val="bullet"/>
      <w:lvlText w:val="–"/>
      <w:lvlJc w:val="left"/>
      <w:pPr>
        <w:tabs>
          <w:tab w:val="num" w:pos="1440"/>
        </w:tabs>
        <w:ind w:left="1440" w:hanging="360"/>
      </w:pPr>
      <w:rPr>
        <w:rFonts w:ascii="Arial" w:hAnsi="Arial" w:hint="default"/>
      </w:rPr>
    </w:lvl>
    <w:lvl w:ilvl="2" w:tplc="08FE6D4C" w:tentative="1">
      <w:start w:val="1"/>
      <w:numFmt w:val="bullet"/>
      <w:lvlText w:val="–"/>
      <w:lvlJc w:val="left"/>
      <w:pPr>
        <w:tabs>
          <w:tab w:val="num" w:pos="2160"/>
        </w:tabs>
        <w:ind w:left="2160" w:hanging="360"/>
      </w:pPr>
      <w:rPr>
        <w:rFonts w:ascii="Arial" w:hAnsi="Arial" w:hint="default"/>
      </w:rPr>
    </w:lvl>
    <w:lvl w:ilvl="3" w:tplc="89B0BA28" w:tentative="1">
      <w:start w:val="1"/>
      <w:numFmt w:val="bullet"/>
      <w:lvlText w:val="–"/>
      <w:lvlJc w:val="left"/>
      <w:pPr>
        <w:tabs>
          <w:tab w:val="num" w:pos="2880"/>
        </w:tabs>
        <w:ind w:left="2880" w:hanging="360"/>
      </w:pPr>
      <w:rPr>
        <w:rFonts w:ascii="Arial" w:hAnsi="Arial" w:hint="default"/>
      </w:rPr>
    </w:lvl>
    <w:lvl w:ilvl="4" w:tplc="2D9AE0AE" w:tentative="1">
      <w:start w:val="1"/>
      <w:numFmt w:val="bullet"/>
      <w:lvlText w:val="–"/>
      <w:lvlJc w:val="left"/>
      <w:pPr>
        <w:tabs>
          <w:tab w:val="num" w:pos="3600"/>
        </w:tabs>
        <w:ind w:left="3600" w:hanging="360"/>
      </w:pPr>
      <w:rPr>
        <w:rFonts w:ascii="Arial" w:hAnsi="Arial" w:hint="default"/>
      </w:rPr>
    </w:lvl>
    <w:lvl w:ilvl="5" w:tplc="2E4442C6" w:tentative="1">
      <w:start w:val="1"/>
      <w:numFmt w:val="bullet"/>
      <w:lvlText w:val="–"/>
      <w:lvlJc w:val="left"/>
      <w:pPr>
        <w:tabs>
          <w:tab w:val="num" w:pos="4320"/>
        </w:tabs>
        <w:ind w:left="4320" w:hanging="360"/>
      </w:pPr>
      <w:rPr>
        <w:rFonts w:ascii="Arial" w:hAnsi="Arial" w:hint="default"/>
      </w:rPr>
    </w:lvl>
    <w:lvl w:ilvl="6" w:tplc="0D8CF65C" w:tentative="1">
      <w:start w:val="1"/>
      <w:numFmt w:val="bullet"/>
      <w:lvlText w:val="–"/>
      <w:lvlJc w:val="left"/>
      <w:pPr>
        <w:tabs>
          <w:tab w:val="num" w:pos="5040"/>
        </w:tabs>
        <w:ind w:left="5040" w:hanging="360"/>
      </w:pPr>
      <w:rPr>
        <w:rFonts w:ascii="Arial" w:hAnsi="Arial" w:hint="default"/>
      </w:rPr>
    </w:lvl>
    <w:lvl w:ilvl="7" w:tplc="D84ECD60" w:tentative="1">
      <w:start w:val="1"/>
      <w:numFmt w:val="bullet"/>
      <w:lvlText w:val="–"/>
      <w:lvlJc w:val="left"/>
      <w:pPr>
        <w:tabs>
          <w:tab w:val="num" w:pos="5760"/>
        </w:tabs>
        <w:ind w:left="5760" w:hanging="360"/>
      </w:pPr>
      <w:rPr>
        <w:rFonts w:ascii="Arial" w:hAnsi="Arial" w:hint="default"/>
      </w:rPr>
    </w:lvl>
    <w:lvl w:ilvl="8" w:tplc="9836CF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F213E5"/>
    <w:multiLevelType w:val="hybridMultilevel"/>
    <w:tmpl w:val="09C8AD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81AD0"/>
    <w:multiLevelType w:val="hybridMultilevel"/>
    <w:tmpl w:val="C25606AC"/>
    <w:lvl w:ilvl="0" w:tplc="7628441C">
      <w:start w:val="1"/>
      <w:numFmt w:val="bullet"/>
      <w:lvlText w:val="•"/>
      <w:lvlJc w:val="left"/>
      <w:pPr>
        <w:tabs>
          <w:tab w:val="num" w:pos="720"/>
        </w:tabs>
        <w:ind w:left="720" w:hanging="360"/>
      </w:pPr>
      <w:rPr>
        <w:rFonts w:ascii="Arial" w:hAnsi="Arial" w:hint="default"/>
      </w:rPr>
    </w:lvl>
    <w:lvl w:ilvl="1" w:tplc="64EE77B0">
      <w:start w:val="6830"/>
      <w:numFmt w:val="bullet"/>
      <w:lvlText w:val="–"/>
      <w:lvlJc w:val="left"/>
      <w:pPr>
        <w:tabs>
          <w:tab w:val="num" w:pos="1440"/>
        </w:tabs>
        <w:ind w:left="1440" w:hanging="360"/>
      </w:pPr>
      <w:rPr>
        <w:rFonts w:ascii="Arial" w:hAnsi="Arial" w:hint="default"/>
      </w:rPr>
    </w:lvl>
    <w:lvl w:ilvl="2" w:tplc="2526734C" w:tentative="1">
      <w:start w:val="1"/>
      <w:numFmt w:val="bullet"/>
      <w:lvlText w:val="•"/>
      <w:lvlJc w:val="left"/>
      <w:pPr>
        <w:tabs>
          <w:tab w:val="num" w:pos="2160"/>
        </w:tabs>
        <w:ind w:left="2160" w:hanging="360"/>
      </w:pPr>
      <w:rPr>
        <w:rFonts w:ascii="Arial" w:hAnsi="Arial" w:hint="default"/>
      </w:rPr>
    </w:lvl>
    <w:lvl w:ilvl="3" w:tplc="838271F8" w:tentative="1">
      <w:start w:val="1"/>
      <w:numFmt w:val="bullet"/>
      <w:lvlText w:val="•"/>
      <w:lvlJc w:val="left"/>
      <w:pPr>
        <w:tabs>
          <w:tab w:val="num" w:pos="2880"/>
        </w:tabs>
        <w:ind w:left="2880" w:hanging="360"/>
      </w:pPr>
      <w:rPr>
        <w:rFonts w:ascii="Arial" w:hAnsi="Arial" w:hint="default"/>
      </w:rPr>
    </w:lvl>
    <w:lvl w:ilvl="4" w:tplc="D436CDA4" w:tentative="1">
      <w:start w:val="1"/>
      <w:numFmt w:val="bullet"/>
      <w:lvlText w:val="•"/>
      <w:lvlJc w:val="left"/>
      <w:pPr>
        <w:tabs>
          <w:tab w:val="num" w:pos="3600"/>
        </w:tabs>
        <w:ind w:left="3600" w:hanging="360"/>
      </w:pPr>
      <w:rPr>
        <w:rFonts w:ascii="Arial" w:hAnsi="Arial" w:hint="default"/>
      </w:rPr>
    </w:lvl>
    <w:lvl w:ilvl="5" w:tplc="83F4ACE4" w:tentative="1">
      <w:start w:val="1"/>
      <w:numFmt w:val="bullet"/>
      <w:lvlText w:val="•"/>
      <w:lvlJc w:val="left"/>
      <w:pPr>
        <w:tabs>
          <w:tab w:val="num" w:pos="4320"/>
        </w:tabs>
        <w:ind w:left="4320" w:hanging="360"/>
      </w:pPr>
      <w:rPr>
        <w:rFonts w:ascii="Arial" w:hAnsi="Arial" w:hint="default"/>
      </w:rPr>
    </w:lvl>
    <w:lvl w:ilvl="6" w:tplc="21529ADE" w:tentative="1">
      <w:start w:val="1"/>
      <w:numFmt w:val="bullet"/>
      <w:lvlText w:val="•"/>
      <w:lvlJc w:val="left"/>
      <w:pPr>
        <w:tabs>
          <w:tab w:val="num" w:pos="5040"/>
        </w:tabs>
        <w:ind w:left="5040" w:hanging="360"/>
      </w:pPr>
      <w:rPr>
        <w:rFonts w:ascii="Arial" w:hAnsi="Arial" w:hint="default"/>
      </w:rPr>
    </w:lvl>
    <w:lvl w:ilvl="7" w:tplc="BF408F50" w:tentative="1">
      <w:start w:val="1"/>
      <w:numFmt w:val="bullet"/>
      <w:lvlText w:val="•"/>
      <w:lvlJc w:val="left"/>
      <w:pPr>
        <w:tabs>
          <w:tab w:val="num" w:pos="5760"/>
        </w:tabs>
        <w:ind w:left="5760" w:hanging="360"/>
      </w:pPr>
      <w:rPr>
        <w:rFonts w:ascii="Arial" w:hAnsi="Arial" w:hint="default"/>
      </w:rPr>
    </w:lvl>
    <w:lvl w:ilvl="8" w:tplc="837475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D5CA4"/>
    <w:multiLevelType w:val="hybridMultilevel"/>
    <w:tmpl w:val="8AE620AC"/>
    <w:lvl w:ilvl="0" w:tplc="AA5E6320">
      <w:start w:val="1"/>
      <w:numFmt w:val="bullet"/>
      <w:lvlText w:val="•"/>
      <w:lvlJc w:val="left"/>
      <w:pPr>
        <w:tabs>
          <w:tab w:val="num" w:pos="720"/>
        </w:tabs>
        <w:ind w:left="720" w:hanging="360"/>
      </w:pPr>
      <w:rPr>
        <w:rFonts w:ascii="Arial" w:hAnsi="Arial" w:hint="default"/>
      </w:rPr>
    </w:lvl>
    <w:lvl w:ilvl="1" w:tplc="22C0824C" w:tentative="1">
      <w:start w:val="1"/>
      <w:numFmt w:val="bullet"/>
      <w:lvlText w:val="•"/>
      <w:lvlJc w:val="left"/>
      <w:pPr>
        <w:tabs>
          <w:tab w:val="num" w:pos="1440"/>
        </w:tabs>
        <w:ind w:left="1440" w:hanging="360"/>
      </w:pPr>
      <w:rPr>
        <w:rFonts w:ascii="Arial" w:hAnsi="Arial" w:hint="default"/>
      </w:rPr>
    </w:lvl>
    <w:lvl w:ilvl="2" w:tplc="0C08144C" w:tentative="1">
      <w:start w:val="1"/>
      <w:numFmt w:val="bullet"/>
      <w:lvlText w:val="•"/>
      <w:lvlJc w:val="left"/>
      <w:pPr>
        <w:tabs>
          <w:tab w:val="num" w:pos="2160"/>
        </w:tabs>
        <w:ind w:left="2160" w:hanging="360"/>
      </w:pPr>
      <w:rPr>
        <w:rFonts w:ascii="Arial" w:hAnsi="Arial" w:hint="default"/>
      </w:rPr>
    </w:lvl>
    <w:lvl w:ilvl="3" w:tplc="E798793C" w:tentative="1">
      <w:start w:val="1"/>
      <w:numFmt w:val="bullet"/>
      <w:lvlText w:val="•"/>
      <w:lvlJc w:val="left"/>
      <w:pPr>
        <w:tabs>
          <w:tab w:val="num" w:pos="2880"/>
        </w:tabs>
        <w:ind w:left="2880" w:hanging="360"/>
      </w:pPr>
      <w:rPr>
        <w:rFonts w:ascii="Arial" w:hAnsi="Arial" w:hint="default"/>
      </w:rPr>
    </w:lvl>
    <w:lvl w:ilvl="4" w:tplc="600AF668" w:tentative="1">
      <w:start w:val="1"/>
      <w:numFmt w:val="bullet"/>
      <w:lvlText w:val="•"/>
      <w:lvlJc w:val="left"/>
      <w:pPr>
        <w:tabs>
          <w:tab w:val="num" w:pos="3600"/>
        </w:tabs>
        <w:ind w:left="3600" w:hanging="360"/>
      </w:pPr>
      <w:rPr>
        <w:rFonts w:ascii="Arial" w:hAnsi="Arial" w:hint="default"/>
      </w:rPr>
    </w:lvl>
    <w:lvl w:ilvl="5" w:tplc="B8D08AB6" w:tentative="1">
      <w:start w:val="1"/>
      <w:numFmt w:val="bullet"/>
      <w:lvlText w:val="•"/>
      <w:lvlJc w:val="left"/>
      <w:pPr>
        <w:tabs>
          <w:tab w:val="num" w:pos="4320"/>
        </w:tabs>
        <w:ind w:left="4320" w:hanging="360"/>
      </w:pPr>
      <w:rPr>
        <w:rFonts w:ascii="Arial" w:hAnsi="Arial" w:hint="default"/>
      </w:rPr>
    </w:lvl>
    <w:lvl w:ilvl="6" w:tplc="E78694C8" w:tentative="1">
      <w:start w:val="1"/>
      <w:numFmt w:val="bullet"/>
      <w:lvlText w:val="•"/>
      <w:lvlJc w:val="left"/>
      <w:pPr>
        <w:tabs>
          <w:tab w:val="num" w:pos="5040"/>
        </w:tabs>
        <w:ind w:left="5040" w:hanging="360"/>
      </w:pPr>
      <w:rPr>
        <w:rFonts w:ascii="Arial" w:hAnsi="Arial" w:hint="default"/>
      </w:rPr>
    </w:lvl>
    <w:lvl w:ilvl="7" w:tplc="32F2CF72" w:tentative="1">
      <w:start w:val="1"/>
      <w:numFmt w:val="bullet"/>
      <w:lvlText w:val="•"/>
      <w:lvlJc w:val="left"/>
      <w:pPr>
        <w:tabs>
          <w:tab w:val="num" w:pos="5760"/>
        </w:tabs>
        <w:ind w:left="5760" w:hanging="360"/>
      </w:pPr>
      <w:rPr>
        <w:rFonts w:ascii="Arial" w:hAnsi="Arial" w:hint="default"/>
      </w:rPr>
    </w:lvl>
    <w:lvl w:ilvl="8" w:tplc="C05C084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9F6E4E"/>
    <w:multiLevelType w:val="hybridMultilevel"/>
    <w:tmpl w:val="FF1ED1CA"/>
    <w:lvl w:ilvl="0" w:tplc="AFFA89DC">
      <w:start w:val="1"/>
      <w:numFmt w:val="bullet"/>
      <w:lvlText w:val="•"/>
      <w:lvlJc w:val="left"/>
      <w:pPr>
        <w:tabs>
          <w:tab w:val="num" w:pos="720"/>
        </w:tabs>
        <w:ind w:left="720" w:hanging="360"/>
      </w:pPr>
      <w:rPr>
        <w:rFonts w:ascii="Arial" w:hAnsi="Arial" w:hint="default"/>
      </w:rPr>
    </w:lvl>
    <w:lvl w:ilvl="1" w:tplc="5BD8F4E4" w:tentative="1">
      <w:start w:val="1"/>
      <w:numFmt w:val="bullet"/>
      <w:lvlText w:val="•"/>
      <w:lvlJc w:val="left"/>
      <w:pPr>
        <w:tabs>
          <w:tab w:val="num" w:pos="1440"/>
        </w:tabs>
        <w:ind w:left="1440" w:hanging="360"/>
      </w:pPr>
      <w:rPr>
        <w:rFonts w:ascii="Arial" w:hAnsi="Arial" w:hint="default"/>
      </w:rPr>
    </w:lvl>
    <w:lvl w:ilvl="2" w:tplc="932EC70C" w:tentative="1">
      <w:start w:val="1"/>
      <w:numFmt w:val="bullet"/>
      <w:lvlText w:val="•"/>
      <w:lvlJc w:val="left"/>
      <w:pPr>
        <w:tabs>
          <w:tab w:val="num" w:pos="2160"/>
        </w:tabs>
        <w:ind w:left="2160" w:hanging="360"/>
      </w:pPr>
      <w:rPr>
        <w:rFonts w:ascii="Arial" w:hAnsi="Arial" w:hint="default"/>
      </w:rPr>
    </w:lvl>
    <w:lvl w:ilvl="3" w:tplc="CABAC642" w:tentative="1">
      <w:start w:val="1"/>
      <w:numFmt w:val="bullet"/>
      <w:lvlText w:val="•"/>
      <w:lvlJc w:val="left"/>
      <w:pPr>
        <w:tabs>
          <w:tab w:val="num" w:pos="2880"/>
        </w:tabs>
        <w:ind w:left="2880" w:hanging="360"/>
      </w:pPr>
      <w:rPr>
        <w:rFonts w:ascii="Arial" w:hAnsi="Arial" w:hint="default"/>
      </w:rPr>
    </w:lvl>
    <w:lvl w:ilvl="4" w:tplc="4A228412" w:tentative="1">
      <w:start w:val="1"/>
      <w:numFmt w:val="bullet"/>
      <w:lvlText w:val="•"/>
      <w:lvlJc w:val="left"/>
      <w:pPr>
        <w:tabs>
          <w:tab w:val="num" w:pos="3600"/>
        </w:tabs>
        <w:ind w:left="3600" w:hanging="360"/>
      </w:pPr>
      <w:rPr>
        <w:rFonts w:ascii="Arial" w:hAnsi="Arial" w:hint="default"/>
      </w:rPr>
    </w:lvl>
    <w:lvl w:ilvl="5" w:tplc="1B469F60" w:tentative="1">
      <w:start w:val="1"/>
      <w:numFmt w:val="bullet"/>
      <w:lvlText w:val="•"/>
      <w:lvlJc w:val="left"/>
      <w:pPr>
        <w:tabs>
          <w:tab w:val="num" w:pos="4320"/>
        </w:tabs>
        <w:ind w:left="4320" w:hanging="360"/>
      </w:pPr>
      <w:rPr>
        <w:rFonts w:ascii="Arial" w:hAnsi="Arial" w:hint="default"/>
      </w:rPr>
    </w:lvl>
    <w:lvl w:ilvl="6" w:tplc="9828C3A6" w:tentative="1">
      <w:start w:val="1"/>
      <w:numFmt w:val="bullet"/>
      <w:lvlText w:val="•"/>
      <w:lvlJc w:val="left"/>
      <w:pPr>
        <w:tabs>
          <w:tab w:val="num" w:pos="5040"/>
        </w:tabs>
        <w:ind w:left="5040" w:hanging="360"/>
      </w:pPr>
      <w:rPr>
        <w:rFonts w:ascii="Arial" w:hAnsi="Arial" w:hint="default"/>
      </w:rPr>
    </w:lvl>
    <w:lvl w:ilvl="7" w:tplc="4894AC8C" w:tentative="1">
      <w:start w:val="1"/>
      <w:numFmt w:val="bullet"/>
      <w:lvlText w:val="•"/>
      <w:lvlJc w:val="left"/>
      <w:pPr>
        <w:tabs>
          <w:tab w:val="num" w:pos="5760"/>
        </w:tabs>
        <w:ind w:left="5760" w:hanging="360"/>
      </w:pPr>
      <w:rPr>
        <w:rFonts w:ascii="Arial" w:hAnsi="Arial" w:hint="default"/>
      </w:rPr>
    </w:lvl>
    <w:lvl w:ilvl="8" w:tplc="0436ECC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144869"/>
    <w:multiLevelType w:val="hybridMultilevel"/>
    <w:tmpl w:val="711A6C56"/>
    <w:lvl w:ilvl="0" w:tplc="75D848FE">
      <w:start w:val="1"/>
      <w:numFmt w:val="bullet"/>
      <w:lvlText w:val="–"/>
      <w:lvlJc w:val="left"/>
      <w:pPr>
        <w:tabs>
          <w:tab w:val="num" w:pos="720"/>
        </w:tabs>
        <w:ind w:left="720" w:hanging="360"/>
      </w:pPr>
      <w:rPr>
        <w:rFonts w:ascii="Arial" w:hAnsi="Arial" w:hint="default"/>
      </w:rPr>
    </w:lvl>
    <w:lvl w:ilvl="1" w:tplc="C9B48598">
      <w:start w:val="1"/>
      <w:numFmt w:val="bullet"/>
      <w:lvlText w:val="–"/>
      <w:lvlJc w:val="left"/>
      <w:pPr>
        <w:tabs>
          <w:tab w:val="num" w:pos="1440"/>
        </w:tabs>
        <w:ind w:left="1440" w:hanging="360"/>
      </w:pPr>
      <w:rPr>
        <w:rFonts w:ascii="Arial" w:hAnsi="Arial" w:hint="default"/>
      </w:rPr>
    </w:lvl>
    <w:lvl w:ilvl="2" w:tplc="76D66A6E" w:tentative="1">
      <w:start w:val="1"/>
      <w:numFmt w:val="bullet"/>
      <w:lvlText w:val="–"/>
      <w:lvlJc w:val="left"/>
      <w:pPr>
        <w:tabs>
          <w:tab w:val="num" w:pos="2160"/>
        </w:tabs>
        <w:ind w:left="2160" w:hanging="360"/>
      </w:pPr>
      <w:rPr>
        <w:rFonts w:ascii="Arial" w:hAnsi="Arial" w:hint="default"/>
      </w:rPr>
    </w:lvl>
    <w:lvl w:ilvl="3" w:tplc="554CBC18" w:tentative="1">
      <w:start w:val="1"/>
      <w:numFmt w:val="bullet"/>
      <w:lvlText w:val="–"/>
      <w:lvlJc w:val="left"/>
      <w:pPr>
        <w:tabs>
          <w:tab w:val="num" w:pos="2880"/>
        </w:tabs>
        <w:ind w:left="2880" w:hanging="360"/>
      </w:pPr>
      <w:rPr>
        <w:rFonts w:ascii="Arial" w:hAnsi="Arial" w:hint="default"/>
      </w:rPr>
    </w:lvl>
    <w:lvl w:ilvl="4" w:tplc="5E8EC8D6" w:tentative="1">
      <w:start w:val="1"/>
      <w:numFmt w:val="bullet"/>
      <w:lvlText w:val="–"/>
      <w:lvlJc w:val="left"/>
      <w:pPr>
        <w:tabs>
          <w:tab w:val="num" w:pos="3600"/>
        </w:tabs>
        <w:ind w:left="3600" w:hanging="360"/>
      </w:pPr>
      <w:rPr>
        <w:rFonts w:ascii="Arial" w:hAnsi="Arial" w:hint="default"/>
      </w:rPr>
    </w:lvl>
    <w:lvl w:ilvl="5" w:tplc="517A4FD2" w:tentative="1">
      <w:start w:val="1"/>
      <w:numFmt w:val="bullet"/>
      <w:lvlText w:val="–"/>
      <w:lvlJc w:val="left"/>
      <w:pPr>
        <w:tabs>
          <w:tab w:val="num" w:pos="4320"/>
        </w:tabs>
        <w:ind w:left="4320" w:hanging="360"/>
      </w:pPr>
      <w:rPr>
        <w:rFonts w:ascii="Arial" w:hAnsi="Arial" w:hint="default"/>
      </w:rPr>
    </w:lvl>
    <w:lvl w:ilvl="6" w:tplc="BEA8DC1E" w:tentative="1">
      <w:start w:val="1"/>
      <w:numFmt w:val="bullet"/>
      <w:lvlText w:val="–"/>
      <w:lvlJc w:val="left"/>
      <w:pPr>
        <w:tabs>
          <w:tab w:val="num" w:pos="5040"/>
        </w:tabs>
        <w:ind w:left="5040" w:hanging="360"/>
      </w:pPr>
      <w:rPr>
        <w:rFonts w:ascii="Arial" w:hAnsi="Arial" w:hint="default"/>
      </w:rPr>
    </w:lvl>
    <w:lvl w:ilvl="7" w:tplc="11B47986" w:tentative="1">
      <w:start w:val="1"/>
      <w:numFmt w:val="bullet"/>
      <w:lvlText w:val="–"/>
      <w:lvlJc w:val="left"/>
      <w:pPr>
        <w:tabs>
          <w:tab w:val="num" w:pos="5760"/>
        </w:tabs>
        <w:ind w:left="5760" w:hanging="360"/>
      </w:pPr>
      <w:rPr>
        <w:rFonts w:ascii="Arial" w:hAnsi="Arial" w:hint="default"/>
      </w:rPr>
    </w:lvl>
    <w:lvl w:ilvl="8" w:tplc="830CFD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B142D23"/>
    <w:multiLevelType w:val="hybridMultilevel"/>
    <w:tmpl w:val="B57AB746"/>
    <w:lvl w:ilvl="0" w:tplc="7F962D60">
      <w:start w:val="1"/>
      <w:numFmt w:val="bullet"/>
      <w:lvlText w:val="•"/>
      <w:lvlJc w:val="left"/>
      <w:pPr>
        <w:tabs>
          <w:tab w:val="num" w:pos="720"/>
        </w:tabs>
        <w:ind w:left="720" w:hanging="360"/>
      </w:pPr>
      <w:rPr>
        <w:rFonts w:ascii="Arial" w:hAnsi="Arial" w:hint="default"/>
      </w:rPr>
    </w:lvl>
    <w:lvl w:ilvl="1" w:tplc="10085980" w:tentative="1">
      <w:start w:val="1"/>
      <w:numFmt w:val="bullet"/>
      <w:lvlText w:val="•"/>
      <w:lvlJc w:val="left"/>
      <w:pPr>
        <w:tabs>
          <w:tab w:val="num" w:pos="1440"/>
        </w:tabs>
        <w:ind w:left="1440" w:hanging="360"/>
      </w:pPr>
      <w:rPr>
        <w:rFonts w:ascii="Arial" w:hAnsi="Arial" w:hint="default"/>
      </w:rPr>
    </w:lvl>
    <w:lvl w:ilvl="2" w:tplc="F170F0D6" w:tentative="1">
      <w:start w:val="1"/>
      <w:numFmt w:val="bullet"/>
      <w:lvlText w:val="•"/>
      <w:lvlJc w:val="left"/>
      <w:pPr>
        <w:tabs>
          <w:tab w:val="num" w:pos="2160"/>
        </w:tabs>
        <w:ind w:left="2160" w:hanging="360"/>
      </w:pPr>
      <w:rPr>
        <w:rFonts w:ascii="Arial" w:hAnsi="Arial" w:hint="default"/>
      </w:rPr>
    </w:lvl>
    <w:lvl w:ilvl="3" w:tplc="D026FC80" w:tentative="1">
      <w:start w:val="1"/>
      <w:numFmt w:val="bullet"/>
      <w:lvlText w:val="•"/>
      <w:lvlJc w:val="left"/>
      <w:pPr>
        <w:tabs>
          <w:tab w:val="num" w:pos="2880"/>
        </w:tabs>
        <w:ind w:left="2880" w:hanging="360"/>
      </w:pPr>
      <w:rPr>
        <w:rFonts w:ascii="Arial" w:hAnsi="Arial" w:hint="default"/>
      </w:rPr>
    </w:lvl>
    <w:lvl w:ilvl="4" w:tplc="736C58A2" w:tentative="1">
      <w:start w:val="1"/>
      <w:numFmt w:val="bullet"/>
      <w:lvlText w:val="•"/>
      <w:lvlJc w:val="left"/>
      <w:pPr>
        <w:tabs>
          <w:tab w:val="num" w:pos="3600"/>
        </w:tabs>
        <w:ind w:left="3600" w:hanging="360"/>
      </w:pPr>
      <w:rPr>
        <w:rFonts w:ascii="Arial" w:hAnsi="Arial" w:hint="default"/>
      </w:rPr>
    </w:lvl>
    <w:lvl w:ilvl="5" w:tplc="BDDA0378" w:tentative="1">
      <w:start w:val="1"/>
      <w:numFmt w:val="bullet"/>
      <w:lvlText w:val="•"/>
      <w:lvlJc w:val="left"/>
      <w:pPr>
        <w:tabs>
          <w:tab w:val="num" w:pos="4320"/>
        </w:tabs>
        <w:ind w:left="4320" w:hanging="360"/>
      </w:pPr>
      <w:rPr>
        <w:rFonts w:ascii="Arial" w:hAnsi="Arial" w:hint="default"/>
      </w:rPr>
    </w:lvl>
    <w:lvl w:ilvl="6" w:tplc="5BDA296A" w:tentative="1">
      <w:start w:val="1"/>
      <w:numFmt w:val="bullet"/>
      <w:lvlText w:val="•"/>
      <w:lvlJc w:val="left"/>
      <w:pPr>
        <w:tabs>
          <w:tab w:val="num" w:pos="5040"/>
        </w:tabs>
        <w:ind w:left="5040" w:hanging="360"/>
      </w:pPr>
      <w:rPr>
        <w:rFonts w:ascii="Arial" w:hAnsi="Arial" w:hint="default"/>
      </w:rPr>
    </w:lvl>
    <w:lvl w:ilvl="7" w:tplc="28C2F56A" w:tentative="1">
      <w:start w:val="1"/>
      <w:numFmt w:val="bullet"/>
      <w:lvlText w:val="•"/>
      <w:lvlJc w:val="left"/>
      <w:pPr>
        <w:tabs>
          <w:tab w:val="num" w:pos="5760"/>
        </w:tabs>
        <w:ind w:left="5760" w:hanging="360"/>
      </w:pPr>
      <w:rPr>
        <w:rFonts w:ascii="Arial" w:hAnsi="Arial" w:hint="default"/>
      </w:rPr>
    </w:lvl>
    <w:lvl w:ilvl="8" w:tplc="A874D6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FAD0F69"/>
    <w:multiLevelType w:val="hybridMultilevel"/>
    <w:tmpl w:val="69F67E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BD7C9B"/>
    <w:multiLevelType w:val="hybridMultilevel"/>
    <w:tmpl w:val="A830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63568"/>
    <w:multiLevelType w:val="hybridMultilevel"/>
    <w:tmpl w:val="40EAA7E2"/>
    <w:lvl w:ilvl="0" w:tplc="33D85064">
      <w:start w:val="1"/>
      <w:numFmt w:val="bullet"/>
      <w:lvlText w:val="–"/>
      <w:lvlJc w:val="left"/>
      <w:pPr>
        <w:tabs>
          <w:tab w:val="num" w:pos="720"/>
        </w:tabs>
        <w:ind w:left="720" w:hanging="360"/>
      </w:pPr>
      <w:rPr>
        <w:rFonts w:ascii="Arial" w:hAnsi="Arial" w:hint="default"/>
      </w:rPr>
    </w:lvl>
    <w:lvl w:ilvl="1" w:tplc="9DAEA724">
      <w:start w:val="1"/>
      <w:numFmt w:val="bullet"/>
      <w:lvlText w:val="–"/>
      <w:lvlJc w:val="left"/>
      <w:pPr>
        <w:tabs>
          <w:tab w:val="num" w:pos="1440"/>
        </w:tabs>
        <w:ind w:left="1440" w:hanging="360"/>
      </w:pPr>
      <w:rPr>
        <w:rFonts w:ascii="Arial" w:hAnsi="Arial" w:hint="default"/>
      </w:rPr>
    </w:lvl>
    <w:lvl w:ilvl="2" w:tplc="7C346FFC" w:tentative="1">
      <w:start w:val="1"/>
      <w:numFmt w:val="bullet"/>
      <w:lvlText w:val="–"/>
      <w:lvlJc w:val="left"/>
      <w:pPr>
        <w:tabs>
          <w:tab w:val="num" w:pos="2160"/>
        </w:tabs>
        <w:ind w:left="2160" w:hanging="360"/>
      </w:pPr>
      <w:rPr>
        <w:rFonts w:ascii="Arial" w:hAnsi="Arial" w:hint="default"/>
      </w:rPr>
    </w:lvl>
    <w:lvl w:ilvl="3" w:tplc="734239E2" w:tentative="1">
      <w:start w:val="1"/>
      <w:numFmt w:val="bullet"/>
      <w:lvlText w:val="–"/>
      <w:lvlJc w:val="left"/>
      <w:pPr>
        <w:tabs>
          <w:tab w:val="num" w:pos="2880"/>
        </w:tabs>
        <w:ind w:left="2880" w:hanging="360"/>
      </w:pPr>
      <w:rPr>
        <w:rFonts w:ascii="Arial" w:hAnsi="Arial" w:hint="default"/>
      </w:rPr>
    </w:lvl>
    <w:lvl w:ilvl="4" w:tplc="0C0A5C30" w:tentative="1">
      <w:start w:val="1"/>
      <w:numFmt w:val="bullet"/>
      <w:lvlText w:val="–"/>
      <w:lvlJc w:val="left"/>
      <w:pPr>
        <w:tabs>
          <w:tab w:val="num" w:pos="3600"/>
        </w:tabs>
        <w:ind w:left="3600" w:hanging="360"/>
      </w:pPr>
      <w:rPr>
        <w:rFonts w:ascii="Arial" w:hAnsi="Arial" w:hint="default"/>
      </w:rPr>
    </w:lvl>
    <w:lvl w:ilvl="5" w:tplc="1A5A3AA0" w:tentative="1">
      <w:start w:val="1"/>
      <w:numFmt w:val="bullet"/>
      <w:lvlText w:val="–"/>
      <w:lvlJc w:val="left"/>
      <w:pPr>
        <w:tabs>
          <w:tab w:val="num" w:pos="4320"/>
        </w:tabs>
        <w:ind w:left="4320" w:hanging="360"/>
      </w:pPr>
      <w:rPr>
        <w:rFonts w:ascii="Arial" w:hAnsi="Arial" w:hint="default"/>
      </w:rPr>
    </w:lvl>
    <w:lvl w:ilvl="6" w:tplc="5B2E463E" w:tentative="1">
      <w:start w:val="1"/>
      <w:numFmt w:val="bullet"/>
      <w:lvlText w:val="–"/>
      <w:lvlJc w:val="left"/>
      <w:pPr>
        <w:tabs>
          <w:tab w:val="num" w:pos="5040"/>
        </w:tabs>
        <w:ind w:left="5040" w:hanging="360"/>
      </w:pPr>
      <w:rPr>
        <w:rFonts w:ascii="Arial" w:hAnsi="Arial" w:hint="default"/>
      </w:rPr>
    </w:lvl>
    <w:lvl w:ilvl="7" w:tplc="1676FB7E" w:tentative="1">
      <w:start w:val="1"/>
      <w:numFmt w:val="bullet"/>
      <w:lvlText w:val="–"/>
      <w:lvlJc w:val="left"/>
      <w:pPr>
        <w:tabs>
          <w:tab w:val="num" w:pos="5760"/>
        </w:tabs>
        <w:ind w:left="5760" w:hanging="360"/>
      </w:pPr>
      <w:rPr>
        <w:rFonts w:ascii="Arial" w:hAnsi="Arial" w:hint="default"/>
      </w:rPr>
    </w:lvl>
    <w:lvl w:ilvl="8" w:tplc="AD5C57B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B70559"/>
    <w:multiLevelType w:val="multilevel"/>
    <w:tmpl w:val="AAD67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0E510C"/>
    <w:multiLevelType w:val="hybridMultilevel"/>
    <w:tmpl w:val="010C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172051"/>
    <w:multiLevelType w:val="hybridMultilevel"/>
    <w:tmpl w:val="FD62664C"/>
    <w:lvl w:ilvl="0" w:tplc="D1762EDA">
      <w:start w:val="1"/>
      <w:numFmt w:val="bullet"/>
      <w:lvlText w:val="•"/>
      <w:lvlJc w:val="left"/>
      <w:pPr>
        <w:tabs>
          <w:tab w:val="num" w:pos="720"/>
        </w:tabs>
        <w:ind w:left="720" w:hanging="360"/>
      </w:pPr>
      <w:rPr>
        <w:rFonts w:ascii="Arial" w:hAnsi="Arial" w:hint="default"/>
      </w:rPr>
    </w:lvl>
    <w:lvl w:ilvl="1" w:tplc="E82EC74E">
      <w:start w:val="6830"/>
      <w:numFmt w:val="bullet"/>
      <w:lvlText w:val="–"/>
      <w:lvlJc w:val="left"/>
      <w:pPr>
        <w:tabs>
          <w:tab w:val="num" w:pos="1440"/>
        </w:tabs>
        <w:ind w:left="1440" w:hanging="360"/>
      </w:pPr>
      <w:rPr>
        <w:rFonts w:ascii="Arial" w:hAnsi="Arial" w:hint="default"/>
      </w:rPr>
    </w:lvl>
    <w:lvl w:ilvl="2" w:tplc="87901492" w:tentative="1">
      <w:start w:val="1"/>
      <w:numFmt w:val="bullet"/>
      <w:lvlText w:val="•"/>
      <w:lvlJc w:val="left"/>
      <w:pPr>
        <w:tabs>
          <w:tab w:val="num" w:pos="2160"/>
        </w:tabs>
        <w:ind w:left="2160" w:hanging="360"/>
      </w:pPr>
      <w:rPr>
        <w:rFonts w:ascii="Arial" w:hAnsi="Arial" w:hint="default"/>
      </w:rPr>
    </w:lvl>
    <w:lvl w:ilvl="3" w:tplc="73AAD5FA" w:tentative="1">
      <w:start w:val="1"/>
      <w:numFmt w:val="bullet"/>
      <w:lvlText w:val="•"/>
      <w:lvlJc w:val="left"/>
      <w:pPr>
        <w:tabs>
          <w:tab w:val="num" w:pos="2880"/>
        </w:tabs>
        <w:ind w:left="2880" w:hanging="360"/>
      </w:pPr>
      <w:rPr>
        <w:rFonts w:ascii="Arial" w:hAnsi="Arial" w:hint="default"/>
      </w:rPr>
    </w:lvl>
    <w:lvl w:ilvl="4" w:tplc="99D4F77E" w:tentative="1">
      <w:start w:val="1"/>
      <w:numFmt w:val="bullet"/>
      <w:lvlText w:val="•"/>
      <w:lvlJc w:val="left"/>
      <w:pPr>
        <w:tabs>
          <w:tab w:val="num" w:pos="3600"/>
        </w:tabs>
        <w:ind w:left="3600" w:hanging="360"/>
      </w:pPr>
      <w:rPr>
        <w:rFonts w:ascii="Arial" w:hAnsi="Arial" w:hint="default"/>
      </w:rPr>
    </w:lvl>
    <w:lvl w:ilvl="5" w:tplc="2C2282D4" w:tentative="1">
      <w:start w:val="1"/>
      <w:numFmt w:val="bullet"/>
      <w:lvlText w:val="•"/>
      <w:lvlJc w:val="left"/>
      <w:pPr>
        <w:tabs>
          <w:tab w:val="num" w:pos="4320"/>
        </w:tabs>
        <w:ind w:left="4320" w:hanging="360"/>
      </w:pPr>
      <w:rPr>
        <w:rFonts w:ascii="Arial" w:hAnsi="Arial" w:hint="default"/>
      </w:rPr>
    </w:lvl>
    <w:lvl w:ilvl="6" w:tplc="7FD0DCE8" w:tentative="1">
      <w:start w:val="1"/>
      <w:numFmt w:val="bullet"/>
      <w:lvlText w:val="•"/>
      <w:lvlJc w:val="left"/>
      <w:pPr>
        <w:tabs>
          <w:tab w:val="num" w:pos="5040"/>
        </w:tabs>
        <w:ind w:left="5040" w:hanging="360"/>
      </w:pPr>
      <w:rPr>
        <w:rFonts w:ascii="Arial" w:hAnsi="Arial" w:hint="default"/>
      </w:rPr>
    </w:lvl>
    <w:lvl w:ilvl="7" w:tplc="33FCA702" w:tentative="1">
      <w:start w:val="1"/>
      <w:numFmt w:val="bullet"/>
      <w:lvlText w:val="•"/>
      <w:lvlJc w:val="left"/>
      <w:pPr>
        <w:tabs>
          <w:tab w:val="num" w:pos="5760"/>
        </w:tabs>
        <w:ind w:left="5760" w:hanging="360"/>
      </w:pPr>
      <w:rPr>
        <w:rFonts w:ascii="Arial" w:hAnsi="Arial" w:hint="default"/>
      </w:rPr>
    </w:lvl>
    <w:lvl w:ilvl="8" w:tplc="6C3A756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B7177E8"/>
    <w:multiLevelType w:val="hybridMultilevel"/>
    <w:tmpl w:val="C3A04BF6"/>
    <w:lvl w:ilvl="0" w:tplc="7EDA0B9C">
      <w:start w:val="1"/>
      <w:numFmt w:val="bullet"/>
      <w:lvlText w:val="–"/>
      <w:lvlJc w:val="left"/>
      <w:pPr>
        <w:tabs>
          <w:tab w:val="num" w:pos="720"/>
        </w:tabs>
        <w:ind w:left="720" w:hanging="360"/>
      </w:pPr>
      <w:rPr>
        <w:rFonts w:ascii="Arial" w:hAnsi="Arial" w:hint="default"/>
      </w:rPr>
    </w:lvl>
    <w:lvl w:ilvl="1" w:tplc="C3F07AC4">
      <w:start w:val="1"/>
      <w:numFmt w:val="bullet"/>
      <w:lvlText w:val="–"/>
      <w:lvlJc w:val="left"/>
      <w:pPr>
        <w:tabs>
          <w:tab w:val="num" w:pos="1440"/>
        </w:tabs>
        <w:ind w:left="1440" w:hanging="360"/>
      </w:pPr>
      <w:rPr>
        <w:rFonts w:ascii="Arial" w:hAnsi="Arial" w:hint="default"/>
      </w:rPr>
    </w:lvl>
    <w:lvl w:ilvl="2" w:tplc="53F4369A" w:tentative="1">
      <w:start w:val="1"/>
      <w:numFmt w:val="bullet"/>
      <w:lvlText w:val="–"/>
      <w:lvlJc w:val="left"/>
      <w:pPr>
        <w:tabs>
          <w:tab w:val="num" w:pos="2160"/>
        </w:tabs>
        <w:ind w:left="2160" w:hanging="360"/>
      </w:pPr>
      <w:rPr>
        <w:rFonts w:ascii="Arial" w:hAnsi="Arial" w:hint="default"/>
      </w:rPr>
    </w:lvl>
    <w:lvl w:ilvl="3" w:tplc="1C5C7C5A" w:tentative="1">
      <w:start w:val="1"/>
      <w:numFmt w:val="bullet"/>
      <w:lvlText w:val="–"/>
      <w:lvlJc w:val="left"/>
      <w:pPr>
        <w:tabs>
          <w:tab w:val="num" w:pos="2880"/>
        </w:tabs>
        <w:ind w:left="2880" w:hanging="360"/>
      </w:pPr>
      <w:rPr>
        <w:rFonts w:ascii="Arial" w:hAnsi="Arial" w:hint="default"/>
      </w:rPr>
    </w:lvl>
    <w:lvl w:ilvl="4" w:tplc="2A92A8FC" w:tentative="1">
      <w:start w:val="1"/>
      <w:numFmt w:val="bullet"/>
      <w:lvlText w:val="–"/>
      <w:lvlJc w:val="left"/>
      <w:pPr>
        <w:tabs>
          <w:tab w:val="num" w:pos="3600"/>
        </w:tabs>
        <w:ind w:left="3600" w:hanging="360"/>
      </w:pPr>
      <w:rPr>
        <w:rFonts w:ascii="Arial" w:hAnsi="Arial" w:hint="default"/>
      </w:rPr>
    </w:lvl>
    <w:lvl w:ilvl="5" w:tplc="682866DC" w:tentative="1">
      <w:start w:val="1"/>
      <w:numFmt w:val="bullet"/>
      <w:lvlText w:val="–"/>
      <w:lvlJc w:val="left"/>
      <w:pPr>
        <w:tabs>
          <w:tab w:val="num" w:pos="4320"/>
        </w:tabs>
        <w:ind w:left="4320" w:hanging="360"/>
      </w:pPr>
      <w:rPr>
        <w:rFonts w:ascii="Arial" w:hAnsi="Arial" w:hint="default"/>
      </w:rPr>
    </w:lvl>
    <w:lvl w:ilvl="6" w:tplc="7A70B862" w:tentative="1">
      <w:start w:val="1"/>
      <w:numFmt w:val="bullet"/>
      <w:lvlText w:val="–"/>
      <w:lvlJc w:val="left"/>
      <w:pPr>
        <w:tabs>
          <w:tab w:val="num" w:pos="5040"/>
        </w:tabs>
        <w:ind w:left="5040" w:hanging="360"/>
      </w:pPr>
      <w:rPr>
        <w:rFonts w:ascii="Arial" w:hAnsi="Arial" w:hint="default"/>
      </w:rPr>
    </w:lvl>
    <w:lvl w:ilvl="7" w:tplc="2B780612" w:tentative="1">
      <w:start w:val="1"/>
      <w:numFmt w:val="bullet"/>
      <w:lvlText w:val="–"/>
      <w:lvlJc w:val="left"/>
      <w:pPr>
        <w:tabs>
          <w:tab w:val="num" w:pos="5760"/>
        </w:tabs>
        <w:ind w:left="5760" w:hanging="360"/>
      </w:pPr>
      <w:rPr>
        <w:rFonts w:ascii="Arial" w:hAnsi="Arial" w:hint="default"/>
      </w:rPr>
    </w:lvl>
    <w:lvl w:ilvl="8" w:tplc="1AB4C97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02E373C"/>
    <w:multiLevelType w:val="multilevel"/>
    <w:tmpl w:val="9320B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EB03A6"/>
    <w:multiLevelType w:val="hybridMultilevel"/>
    <w:tmpl w:val="5E149E60"/>
    <w:lvl w:ilvl="0" w:tplc="68367646">
      <w:start w:val="1"/>
      <w:numFmt w:val="bullet"/>
      <w:lvlText w:val="•"/>
      <w:lvlJc w:val="left"/>
      <w:pPr>
        <w:tabs>
          <w:tab w:val="num" w:pos="720"/>
        </w:tabs>
        <w:ind w:left="720" w:hanging="360"/>
      </w:pPr>
      <w:rPr>
        <w:rFonts w:ascii="Arial" w:hAnsi="Arial" w:hint="default"/>
      </w:rPr>
    </w:lvl>
    <w:lvl w:ilvl="1" w:tplc="F404E280" w:tentative="1">
      <w:start w:val="1"/>
      <w:numFmt w:val="bullet"/>
      <w:lvlText w:val="•"/>
      <w:lvlJc w:val="left"/>
      <w:pPr>
        <w:tabs>
          <w:tab w:val="num" w:pos="1440"/>
        </w:tabs>
        <w:ind w:left="1440" w:hanging="360"/>
      </w:pPr>
      <w:rPr>
        <w:rFonts w:ascii="Arial" w:hAnsi="Arial" w:hint="default"/>
      </w:rPr>
    </w:lvl>
    <w:lvl w:ilvl="2" w:tplc="C9044420" w:tentative="1">
      <w:start w:val="1"/>
      <w:numFmt w:val="bullet"/>
      <w:lvlText w:val="•"/>
      <w:lvlJc w:val="left"/>
      <w:pPr>
        <w:tabs>
          <w:tab w:val="num" w:pos="2160"/>
        </w:tabs>
        <w:ind w:left="2160" w:hanging="360"/>
      </w:pPr>
      <w:rPr>
        <w:rFonts w:ascii="Arial" w:hAnsi="Arial" w:hint="default"/>
      </w:rPr>
    </w:lvl>
    <w:lvl w:ilvl="3" w:tplc="DBEA6152" w:tentative="1">
      <w:start w:val="1"/>
      <w:numFmt w:val="bullet"/>
      <w:lvlText w:val="•"/>
      <w:lvlJc w:val="left"/>
      <w:pPr>
        <w:tabs>
          <w:tab w:val="num" w:pos="2880"/>
        </w:tabs>
        <w:ind w:left="2880" w:hanging="360"/>
      </w:pPr>
      <w:rPr>
        <w:rFonts w:ascii="Arial" w:hAnsi="Arial" w:hint="default"/>
      </w:rPr>
    </w:lvl>
    <w:lvl w:ilvl="4" w:tplc="DEBA0F66" w:tentative="1">
      <w:start w:val="1"/>
      <w:numFmt w:val="bullet"/>
      <w:lvlText w:val="•"/>
      <w:lvlJc w:val="left"/>
      <w:pPr>
        <w:tabs>
          <w:tab w:val="num" w:pos="3600"/>
        </w:tabs>
        <w:ind w:left="3600" w:hanging="360"/>
      </w:pPr>
      <w:rPr>
        <w:rFonts w:ascii="Arial" w:hAnsi="Arial" w:hint="default"/>
      </w:rPr>
    </w:lvl>
    <w:lvl w:ilvl="5" w:tplc="275EB48A" w:tentative="1">
      <w:start w:val="1"/>
      <w:numFmt w:val="bullet"/>
      <w:lvlText w:val="•"/>
      <w:lvlJc w:val="left"/>
      <w:pPr>
        <w:tabs>
          <w:tab w:val="num" w:pos="4320"/>
        </w:tabs>
        <w:ind w:left="4320" w:hanging="360"/>
      </w:pPr>
      <w:rPr>
        <w:rFonts w:ascii="Arial" w:hAnsi="Arial" w:hint="default"/>
      </w:rPr>
    </w:lvl>
    <w:lvl w:ilvl="6" w:tplc="B9C42A3E" w:tentative="1">
      <w:start w:val="1"/>
      <w:numFmt w:val="bullet"/>
      <w:lvlText w:val="•"/>
      <w:lvlJc w:val="left"/>
      <w:pPr>
        <w:tabs>
          <w:tab w:val="num" w:pos="5040"/>
        </w:tabs>
        <w:ind w:left="5040" w:hanging="360"/>
      </w:pPr>
      <w:rPr>
        <w:rFonts w:ascii="Arial" w:hAnsi="Arial" w:hint="default"/>
      </w:rPr>
    </w:lvl>
    <w:lvl w:ilvl="7" w:tplc="1276B954" w:tentative="1">
      <w:start w:val="1"/>
      <w:numFmt w:val="bullet"/>
      <w:lvlText w:val="•"/>
      <w:lvlJc w:val="left"/>
      <w:pPr>
        <w:tabs>
          <w:tab w:val="num" w:pos="5760"/>
        </w:tabs>
        <w:ind w:left="5760" w:hanging="360"/>
      </w:pPr>
      <w:rPr>
        <w:rFonts w:ascii="Arial" w:hAnsi="Arial" w:hint="default"/>
      </w:rPr>
    </w:lvl>
    <w:lvl w:ilvl="8" w:tplc="743815A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27C67C6"/>
    <w:multiLevelType w:val="hybridMultilevel"/>
    <w:tmpl w:val="F3FCAE5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BB2352"/>
    <w:multiLevelType w:val="hybridMultilevel"/>
    <w:tmpl w:val="4D1816AA"/>
    <w:lvl w:ilvl="0" w:tplc="DEA6144A">
      <w:start w:val="1"/>
      <w:numFmt w:val="bullet"/>
      <w:lvlText w:val="•"/>
      <w:lvlJc w:val="left"/>
      <w:pPr>
        <w:tabs>
          <w:tab w:val="num" w:pos="720"/>
        </w:tabs>
        <w:ind w:left="720" w:hanging="360"/>
      </w:pPr>
      <w:rPr>
        <w:rFonts w:ascii="Arial" w:hAnsi="Arial" w:hint="default"/>
      </w:rPr>
    </w:lvl>
    <w:lvl w:ilvl="1" w:tplc="A79E022E" w:tentative="1">
      <w:start w:val="1"/>
      <w:numFmt w:val="bullet"/>
      <w:lvlText w:val="•"/>
      <w:lvlJc w:val="left"/>
      <w:pPr>
        <w:tabs>
          <w:tab w:val="num" w:pos="1440"/>
        </w:tabs>
        <w:ind w:left="1440" w:hanging="360"/>
      </w:pPr>
      <w:rPr>
        <w:rFonts w:ascii="Arial" w:hAnsi="Arial" w:hint="default"/>
      </w:rPr>
    </w:lvl>
    <w:lvl w:ilvl="2" w:tplc="12583FEE" w:tentative="1">
      <w:start w:val="1"/>
      <w:numFmt w:val="bullet"/>
      <w:lvlText w:val="•"/>
      <w:lvlJc w:val="left"/>
      <w:pPr>
        <w:tabs>
          <w:tab w:val="num" w:pos="2160"/>
        </w:tabs>
        <w:ind w:left="2160" w:hanging="360"/>
      </w:pPr>
      <w:rPr>
        <w:rFonts w:ascii="Arial" w:hAnsi="Arial" w:hint="default"/>
      </w:rPr>
    </w:lvl>
    <w:lvl w:ilvl="3" w:tplc="F3ACCFB0" w:tentative="1">
      <w:start w:val="1"/>
      <w:numFmt w:val="bullet"/>
      <w:lvlText w:val="•"/>
      <w:lvlJc w:val="left"/>
      <w:pPr>
        <w:tabs>
          <w:tab w:val="num" w:pos="2880"/>
        </w:tabs>
        <w:ind w:left="2880" w:hanging="360"/>
      </w:pPr>
      <w:rPr>
        <w:rFonts w:ascii="Arial" w:hAnsi="Arial" w:hint="default"/>
      </w:rPr>
    </w:lvl>
    <w:lvl w:ilvl="4" w:tplc="435C91F6" w:tentative="1">
      <w:start w:val="1"/>
      <w:numFmt w:val="bullet"/>
      <w:lvlText w:val="•"/>
      <w:lvlJc w:val="left"/>
      <w:pPr>
        <w:tabs>
          <w:tab w:val="num" w:pos="3600"/>
        </w:tabs>
        <w:ind w:left="3600" w:hanging="360"/>
      </w:pPr>
      <w:rPr>
        <w:rFonts w:ascii="Arial" w:hAnsi="Arial" w:hint="default"/>
      </w:rPr>
    </w:lvl>
    <w:lvl w:ilvl="5" w:tplc="02FCF652" w:tentative="1">
      <w:start w:val="1"/>
      <w:numFmt w:val="bullet"/>
      <w:lvlText w:val="•"/>
      <w:lvlJc w:val="left"/>
      <w:pPr>
        <w:tabs>
          <w:tab w:val="num" w:pos="4320"/>
        </w:tabs>
        <w:ind w:left="4320" w:hanging="360"/>
      </w:pPr>
      <w:rPr>
        <w:rFonts w:ascii="Arial" w:hAnsi="Arial" w:hint="default"/>
      </w:rPr>
    </w:lvl>
    <w:lvl w:ilvl="6" w:tplc="3CEEE2B4" w:tentative="1">
      <w:start w:val="1"/>
      <w:numFmt w:val="bullet"/>
      <w:lvlText w:val="•"/>
      <w:lvlJc w:val="left"/>
      <w:pPr>
        <w:tabs>
          <w:tab w:val="num" w:pos="5040"/>
        </w:tabs>
        <w:ind w:left="5040" w:hanging="360"/>
      </w:pPr>
      <w:rPr>
        <w:rFonts w:ascii="Arial" w:hAnsi="Arial" w:hint="default"/>
      </w:rPr>
    </w:lvl>
    <w:lvl w:ilvl="7" w:tplc="CC743BF8" w:tentative="1">
      <w:start w:val="1"/>
      <w:numFmt w:val="bullet"/>
      <w:lvlText w:val="•"/>
      <w:lvlJc w:val="left"/>
      <w:pPr>
        <w:tabs>
          <w:tab w:val="num" w:pos="5760"/>
        </w:tabs>
        <w:ind w:left="5760" w:hanging="360"/>
      </w:pPr>
      <w:rPr>
        <w:rFonts w:ascii="Arial" w:hAnsi="Arial" w:hint="default"/>
      </w:rPr>
    </w:lvl>
    <w:lvl w:ilvl="8" w:tplc="FB4EA77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6"/>
  </w:num>
  <w:num w:numId="3">
    <w:abstractNumId w:val="17"/>
  </w:num>
  <w:num w:numId="4">
    <w:abstractNumId w:val="7"/>
  </w:num>
  <w:num w:numId="5">
    <w:abstractNumId w:val="11"/>
  </w:num>
  <w:num w:numId="6">
    <w:abstractNumId w:val="15"/>
  </w:num>
  <w:num w:numId="7">
    <w:abstractNumId w:val="1"/>
  </w:num>
  <w:num w:numId="8">
    <w:abstractNumId w:val="14"/>
  </w:num>
  <w:num w:numId="9">
    <w:abstractNumId w:val="3"/>
  </w:num>
  <w:num w:numId="10">
    <w:abstractNumId w:val="19"/>
  </w:num>
  <w:num w:numId="11">
    <w:abstractNumId w:val="8"/>
  </w:num>
  <w:num w:numId="12">
    <w:abstractNumId w:val="18"/>
  </w:num>
  <w:num w:numId="13">
    <w:abstractNumId w:val="5"/>
  </w:num>
  <w:num w:numId="14">
    <w:abstractNumId w:val="16"/>
  </w:num>
  <w:num w:numId="15">
    <w:abstractNumId w:val="12"/>
  </w:num>
  <w:num w:numId="16">
    <w:abstractNumId w:val="2"/>
  </w:num>
  <w:num w:numId="17">
    <w:abstractNumId w:val="0"/>
  </w:num>
  <w:num w:numId="18">
    <w:abstractNumId w:val="9"/>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E90"/>
    <w:rsid w:val="00005EFA"/>
    <w:rsid w:val="00006385"/>
    <w:rsid w:val="0001152C"/>
    <w:rsid w:val="00015A04"/>
    <w:rsid w:val="00015D27"/>
    <w:rsid w:val="000168F8"/>
    <w:rsid w:val="000277F3"/>
    <w:rsid w:val="0003243F"/>
    <w:rsid w:val="0003486D"/>
    <w:rsid w:val="00035ECA"/>
    <w:rsid w:val="00037D03"/>
    <w:rsid w:val="0004072D"/>
    <w:rsid w:val="00045651"/>
    <w:rsid w:val="00045D10"/>
    <w:rsid w:val="00052288"/>
    <w:rsid w:val="00053049"/>
    <w:rsid w:val="00053B14"/>
    <w:rsid w:val="0005780C"/>
    <w:rsid w:val="0006033B"/>
    <w:rsid w:val="00071DFA"/>
    <w:rsid w:val="000833DF"/>
    <w:rsid w:val="000839F5"/>
    <w:rsid w:val="000A5D08"/>
    <w:rsid w:val="000B77DF"/>
    <w:rsid w:val="000C063B"/>
    <w:rsid w:val="000C39DC"/>
    <w:rsid w:val="000E3375"/>
    <w:rsid w:val="000E70CF"/>
    <w:rsid w:val="000E7D0E"/>
    <w:rsid w:val="000F13FF"/>
    <w:rsid w:val="00114C93"/>
    <w:rsid w:val="00134538"/>
    <w:rsid w:val="00136308"/>
    <w:rsid w:val="00161D83"/>
    <w:rsid w:val="001620A2"/>
    <w:rsid w:val="00166205"/>
    <w:rsid w:val="00184D90"/>
    <w:rsid w:val="001B11E8"/>
    <w:rsid w:val="001B2949"/>
    <w:rsid w:val="001B351B"/>
    <w:rsid w:val="001B4D9B"/>
    <w:rsid w:val="001C677E"/>
    <w:rsid w:val="001D19F8"/>
    <w:rsid w:val="001D59EE"/>
    <w:rsid w:val="0021309C"/>
    <w:rsid w:val="00214B6D"/>
    <w:rsid w:val="00216F50"/>
    <w:rsid w:val="0022792E"/>
    <w:rsid w:val="00230A62"/>
    <w:rsid w:val="002310CD"/>
    <w:rsid w:val="00232F24"/>
    <w:rsid w:val="00241749"/>
    <w:rsid w:val="00243A32"/>
    <w:rsid w:val="00243AE3"/>
    <w:rsid w:val="0025167A"/>
    <w:rsid w:val="0025384A"/>
    <w:rsid w:val="00253E8A"/>
    <w:rsid w:val="002564CF"/>
    <w:rsid w:val="00256832"/>
    <w:rsid w:val="0025705E"/>
    <w:rsid w:val="00257B5E"/>
    <w:rsid w:val="00271B2D"/>
    <w:rsid w:val="00274CDF"/>
    <w:rsid w:val="002772FC"/>
    <w:rsid w:val="00295B1F"/>
    <w:rsid w:val="002B080E"/>
    <w:rsid w:val="002B2E53"/>
    <w:rsid w:val="002B4F1B"/>
    <w:rsid w:val="002C3E08"/>
    <w:rsid w:val="002C487D"/>
    <w:rsid w:val="002D6292"/>
    <w:rsid w:val="002E6E27"/>
    <w:rsid w:val="002E7338"/>
    <w:rsid w:val="002F1A58"/>
    <w:rsid w:val="002F24DD"/>
    <w:rsid w:val="002F3622"/>
    <w:rsid w:val="00306E53"/>
    <w:rsid w:val="00310225"/>
    <w:rsid w:val="00310E59"/>
    <w:rsid w:val="0031122E"/>
    <w:rsid w:val="003123A7"/>
    <w:rsid w:val="00313F08"/>
    <w:rsid w:val="00332BA2"/>
    <w:rsid w:val="0033413A"/>
    <w:rsid w:val="00337450"/>
    <w:rsid w:val="00337E01"/>
    <w:rsid w:val="0035443B"/>
    <w:rsid w:val="003549ED"/>
    <w:rsid w:val="003665F6"/>
    <w:rsid w:val="0037588B"/>
    <w:rsid w:val="00391FDE"/>
    <w:rsid w:val="00395567"/>
    <w:rsid w:val="00396BBD"/>
    <w:rsid w:val="003B15D0"/>
    <w:rsid w:val="003B4181"/>
    <w:rsid w:val="003C4A94"/>
    <w:rsid w:val="003C5735"/>
    <w:rsid w:val="003D50B2"/>
    <w:rsid w:val="003E0CF8"/>
    <w:rsid w:val="003E3E4D"/>
    <w:rsid w:val="003E669D"/>
    <w:rsid w:val="00402469"/>
    <w:rsid w:val="00405ECB"/>
    <w:rsid w:val="00412C0C"/>
    <w:rsid w:val="004245CD"/>
    <w:rsid w:val="00426635"/>
    <w:rsid w:val="00436372"/>
    <w:rsid w:val="0044019A"/>
    <w:rsid w:val="0044551E"/>
    <w:rsid w:val="004473FA"/>
    <w:rsid w:val="004510CB"/>
    <w:rsid w:val="0045220A"/>
    <w:rsid w:val="00481F9D"/>
    <w:rsid w:val="00482F12"/>
    <w:rsid w:val="00492F06"/>
    <w:rsid w:val="0049630C"/>
    <w:rsid w:val="004A24FC"/>
    <w:rsid w:val="004A7FBD"/>
    <w:rsid w:val="004B1952"/>
    <w:rsid w:val="004C009E"/>
    <w:rsid w:val="004E5B50"/>
    <w:rsid w:val="004E7FFC"/>
    <w:rsid w:val="004F37E0"/>
    <w:rsid w:val="004F776B"/>
    <w:rsid w:val="005028CB"/>
    <w:rsid w:val="00507D75"/>
    <w:rsid w:val="005243F0"/>
    <w:rsid w:val="0053143E"/>
    <w:rsid w:val="00531518"/>
    <w:rsid w:val="005342C8"/>
    <w:rsid w:val="005518A8"/>
    <w:rsid w:val="00551B0A"/>
    <w:rsid w:val="00555BC4"/>
    <w:rsid w:val="005606D7"/>
    <w:rsid w:val="00564098"/>
    <w:rsid w:val="00564722"/>
    <w:rsid w:val="005711C6"/>
    <w:rsid w:val="00572570"/>
    <w:rsid w:val="0057385C"/>
    <w:rsid w:val="00584068"/>
    <w:rsid w:val="0058582F"/>
    <w:rsid w:val="005866B3"/>
    <w:rsid w:val="00587AA3"/>
    <w:rsid w:val="00593549"/>
    <w:rsid w:val="005945B8"/>
    <w:rsid w:val="005B02E6"/>
    <w:rsid w:val="005B7592"/>
    <w:rsid w:val="005C0BC6"/>
    <w:rsid w:val="005C188D"/>
    <w:rsid w:val="005C297D"/>
    <w:rsid w:val="005C7EFA"/>
    <w:rsid w:val="005D6C30"/>
    <w:rsid w:val="005E0A81"/>
    <w:rsid w:val="005E206B"/>
    <w:rsid w:val="005E4610"/>
    <w:rsid w:val="005E501A"/>
    <w:rsid w:val="005E5745"/>
    <w:rsid w:val="005F5187"/>
    <w:rsid w:val="005F5980"/>
    <w:rsid w:val="00600B8C"/>
    <w:rsid w:val="00607BF5"/>
    <w:rsid w:val="006139A9"/>
    <w:rsid w:val="00614C5B"/>
    <w:rsid w:val="00614E29"/>
    <w:rsid w:val="006270EB"/>
    <w:rsid w:val="00637BB8"/>
    <w:rsid w:val="00643C2C"/>
    <w:rsid w:val="00643EC6"/>
    <w:rsid w:val="00644764"/>
    <w:rsid w:val="006457D8"/>
    <w:rsid w:val="00655DE1"/>
    <w:rsid w:val="00656F0F"/>
    <w:rsid w:val="006649EA"/>
    <w:rsid w:val="00667488"/>
    <w:rsid w:val="006765B2"/>
    <w:rsid w:val="00680167"/>
    <w:rsid w:val="006869B0"/>
    <w:rsid w:val="0069261E"/>
    <w:rsid w:val="00696207"/>
    <w:rsid w:val="006B3E14"/>
    <w:rsid w:val="006C0E6A"/>
    <w:rsid w:val="006C32D5"/>
    <w:rsid w:val="006C4133"/>
    <w:rsid w:val="006C6164"/>
    <w:rsid w:val="006D5418"/>
    <w:rsid w:val="006F35C1"/>
    <w:rsid w:val="006F431D"/>
    <w:rsid w:val="0070251B"/>
    <w:rsid w:val="00705475"/>
    <w:rsid w:val="007061E5"/>
    <w:rsid w:val="007124CC"/>
    <w:rsid w:val="00723164"/>
    <w:rsid w:val="0072428C"/>
    <w:rsid w:val="007252DE"/>
    <w:rsid w:val="00725859"/>
    <w:rsid w:val="00731F1C"/>
    <w:rsid w:val="00734EE7"/>
    <w:rsid w:val="007376D8"/>
    <w:rsid w:val="00741434"/>
    <w:rsid w:val="00741FD7"/>
    <w:rsid w:val="00743C19"/>
    <w:rsid w:val="00744089"/>
    <w:rsid w:val="00744EB3"/>
    <w:rsid w:val="0076179E"/>
    <w:rsid w:val="0077476B"/>
    <w:rsid w:val="00780CA7"/>
    <w:rsid w:val="0078206E"/>
    <w:rsid w:val="007935C5"/>
    <w:rsid w:val="007940C9"/>
    <w:rsid w:val="007A10D8"/>
    <w:rsid w:val="007A4DAA"/>
    <w:rsid w:val="007B00D1"/>
    <w:rsid w:val="007C3412"/>
    <w:rsid w:val="007E667C"/>
    <w:rsid w:val="007F0867"/>
    <w:rsid w:val="007F23F4"/>
    <w:rsid w:val="007F2562"/>
    <w:rsid w:val="007F4AD4"/>
    <w:rsid w:val="007F50C4"/>
    <w:rsid w:val="007F5394"/>
    <w:rsid w:val="008040F7"/>
    <w:rsid w:val="008044E7"/>
    <w:rsid w:val="00812A60"/>
    <w:rsid w:val="00817194"/>
    <w:rsid w:val="00822502"/>
    <w:rsid w:val="008326C9"/>
    <w:rsid w:val="00834941"/>
    <w:rsid w:val="00834CF6"/>
    <w:rsid w:val="008506EE"/>
    <w:rsid w:val="00850F36"/>
    <w:rsid w:val="008533BA"/>
    <w:rsid w:val="00870327"/>
    <w:rsid w:val="00870570"/>
    <w:rsid w:val="008805B3"/>
    <w:rsid w:val="00885CF3"/>
    <w:rsid w:val="008878CF"/>
    <w:rsid w:val="00892FD1"/>
    <w:rsid w:val="00896FE7"/>
    <w:rsid w:val="008A5FE2"/>
    <w:rsid w:val="008B1786"/>
    <w:rsid w:val="008B2389"/>
    <w:rsid w:val="008B4EAA"/>
    <w:rsid w:val="008C3235"/>
    <w:rsid w:val="008C3384"/>
    <w:rsid w:val="008C3C57"/>
    <w:rsid w:val="008C47BE"/>
    <w:rsid w:val="008D20A8"/>
    <w:rsid w:val="008D29F1"/>
    <w:rsid w:val="008D59DC"/>
    <w:rsid w:val="008E6428"/>
    <w:rsid w:val="008E6E0E"/>
    <w:rsid w:val="008E752B"/>
    <w:rsid w:val="008F44F1"/>
    <w:rsid w:val="009006F4"/>
    <w:rsid w:val="00907A82"/>
    <w:rsid w:val="009103BC"/>
    <w:rsid w:val="00911780"/>
    <w:rsid w:val="009134B4"/>
    <w:rsid w:val="00914F2F"/>
    <w:rsid w:val="009260D8"/>
    <w:rsid w:val="00942853"/>
    <w:rsid w:val="009508C0"/>
    <w:rsid w:val="00954970"/>
    <w:rsid w:val="009679B9"/>
    <w:rsid w:val="00973131"/>
    <w:rsid w:val="00994B4E"/>
    <w:rsid w:val="009A6C3F"/>
    <w:rsid w:val="009B65FE"/>
    <w:rsid w:val="009C1363"/>
    <w:rsid w:val="009C2ED5"/>
    <w:rsid w:val="009C3584"/>
    <w:rsid w:val="009C361E"/>
    <w:rsid w:val="009C4E17"/>
    <w:rsid w:val="009C68F8"/>
    <w:rsid w:val="009D0CAD"/>
    <w:rsid w:val="009D0F6A"/>
    <w:rsid w:val="009D3333"/>
    <w:rsid w:val="009D4CB6"/>
    <w:rsid w:val="009D52FC"/>
    <w:rsid w:val="009E0F57"/>
    <w:rsid w:val="009E314D"/>
    <w:rsid w:val="009E4DB6"/>
    <w:rsid w:val="009E6932"/>
    <w:rsid w:val="009F1696"/>
    <w:rsid w:val="009F44F3"/>
    <w:rsid w:val="00A0107D"/>
    <w:rsid w:val="00A14CCD"/>
    <w:rsid w:val="00A14FE1"/>
    <w:rsid w:val="00A23880"/>
    <w:rsid w:val="00A24337"/>
    <w:rsid w:val="00A34EC8"/>
    <w:rsid w:val="00A3527B"/>
    <w:rsid w:val="00A4449E"/>
    <w:rsid w:val="00A5324D"/>
    <w:rsid w:val="00A538B7"/>
    <w:rsid w:val="00A54595"/>
    <w:rsid w:val="00A710F7"/>
    <w:rsid w:val="00A7185C"/>
    <w:rsid w:val="00A74523"/>
    <w:rsid w:val="00A81356"/>
    <w:rsid w:val="00A85CB5"/>
    <w:rsid w:val="00A90A06"/>
    <w:rsid w:val="00A94DC8"/>
    <w:rsid w:val="00AA49FC"/>
    <w:rsid w:val="00AA76D4"/>
    <w:rsid w:val="00AB7C96"/>
    <w:rsid w:val="00AC0C21"/>
    <w:rsid w:val="00AC2662"/>
    <w:rsid w:val="00AC7A1C"/>
    <w:rsid w:val="00AD541B"/>
    <w:rsid w:val="00AE52CE"/>
    <w:rsid w:val="00AF02D7"/>
    <w:rsid w:val="00AF47CB"/>
    <w:rsid w:val="00AF6BB2"/>
    <w:rsid w:val="00B005FF"/>
    <w:rsid w:val="00B134B0"/>
    <w:rsid w:val="00B20816"/>
    <w:rsid w:val="00B301B7"/>
    <w:rsid w:val="00B42557"/>
    <w:rsid w:val="00B42C7B"/>
    <w:rsid w:val="00B51757"/>
    <w:rsid w:val="00B5256C"/>
    <w:rsid w:val="00B52E3F"/>
    <w:rsid w:val="00B87454"/>
    <w:rsid w:val="00B96181"/>
    <w:rsid w:val="00BA1351"/>
    <w:rsid w:val="00BB70D8"/>
    <w:rsid w:val="00BC4822"/>
    <w:rsid w:val="00BC544E"/>
    <w:rsid w:val="00BC651D"/>
    <w:rsid w:val="00BD40FD"/>
    <w:rsid w:val="00BD6511"/>
    <w:rsid w:val="00BE0AA6"/>
    <w:rsid w:val="00BF463F"/>
    <w:rsid w:val="00BF6C41"/>
    <w:rsid w:val="00C02524"/>
    <w:rsid w:val="00C046E9"/>
    <w:rsid w:val="00C05C32"/>
    <w:rsid w:val="00C21841"/>
    <w:rsid w:val="00C30619"/>
    <w:rsid w:val="00C34F6B"/>
    <w:rsid w:val="00C3772E"/>
    <w:rsid w:val="00C43C85"/>
    <w:rsid w:val="00C502DA"/>
    <w:rsid w:val="00C54F68"/>
    <w:rsid w:val="00C63FAB"/>
    <w:rsid w:val="00C667A5"/>
    <w:rsid w:val="00C6769A"/>
    <w:rsid w:val="00C730B6"/>
    <w:rsid w:val="00C74E40"/>
    <w:rsid w:val="00C82795"/>
    <w:rsid w:val="00C95F0A"/>
    <w:rsid w:val="00C96499"/>
    <w:rsid w:val="00C9798A"/>
    <w:rsid w:val="00CA1524"/>
    <w:rsid w:val="00CB15E3"/>
    <w:rsid w:val="00CB60A0"/>
    <w:rsid w:val="00CC0B3B"/>
    <w:rsid w:val="00CC54FD"/>
    <w:rsid w:val="00CD03F5"/>
    <w:rsid w:val="00CD28E7"/>
    <w:rsid w:val="00CD44F0"/>
    <w:rsid w:val="00CD4E0C"/>
    <w:rsid w:val="00CE7638"/>
    <w:rsid w:val="00CF2660"/>
    <w:rsid w:val="00CF7C7F"/>
    <w:rsid w:val="00D02BFF"/>
    <w:rsid w:val="00D059EC"/>
    <w:rsid w:val="00D1564F"/>
    <w:rsid w:val="00D22E7A"/>
    <w:rsid w:val="00D352F2"/>
    <w:rsid w:val="00D374BA"/>
    <w:rsid w:val="00D448F8"/>
    <w:rsid w:val="00D570DA"/>
    <w:rsid w:val="00D647DF"/>
    <w:rsid w:val="00D71A5F"/>
    <w:rsid w:val="00D73953"/>
    <w:rsid w:val="00D74F9F"/>
    <w:rsid w:val="00D769F8"/>
    <w:rsid w:val="00D820CC"/>
    <w:rsid w:val="00D8347F"/>
    <w:rsid w:val="00D9008C"/>
    <w:rsid w:val="00DA0FFE"/>
    <w:rsid w:val="00DA11D8"/>
    <w:rsid w:val="00DB0651"/>
    <w:rsid w:val="00DB129D"/>
    <w:rsid w:val="00DB4AB3"/>
    <w:rsid w:val="00DB6E77"/>
    <w:rsid w:val="00DC03D4"/>
    <w:rsid w:val="00DC5AEF"/>
    <w:rsid w:val="00DD325E"/>
    <w:rsid w:val="00DD5ECA"/>
    <w:rsid w:val="00DE1B72"/>
    <w:rsid w:val="00DE4366"/>
    <w:rsid w:val="00E04DC7"/>
    <w:rsid w:val="00E17E7C"/>
    <w:rsid w:val="00E252DD"/>
    <w:rsid w:val="00E344F2"/>
    <w:rsid w:val="00E34B11"/>
    <w:rsid w:val="00E3588A"/>
    <w:rsid w:val="00E557AD"/>
    <w:rsid w:val="00E55F1A"/>
    <w:rsid w:val="00E565A9"/>
    <w:rsid w:val="00E571E3"/>
    <w:rsid w:val="00E626A9"/>
    <w:rsid w:val="00E66A67"/>
    <w:rsid w:val="00E72DEB"/>
    <w:rsid w:val="00E734BE"/>
    <w:rsid w:val="00E81853"/>
    <w:rsid w:val="00E828D2"/>
    <w:rsid w:val="00E9073A"/>
    <w:rsid w:val="00E916B3"/>
    <w:rsid w:val="00E926EB"/>
    <w:rsid w:val="00E9283E"/>
    <w:rsid w:val="00E92F09"/>
    <w:rsid w:val="00E949D4"/>
    <w:rsid w:val="00E94F65"/>
    <w:rsid w:val="00E96455"/>
    <w:rsid w:val="00E96C81"/>
    <w:rsid w:val="00EA602B"/>
    <w:rsid w:val="00EB16CA"/>
    <w:rsid w:val="00EB1C87"/>
    <w:rsid w:val="00EB7A17"/>
    <w:rsid w:val="00EB7E90"/>
    <w:rsid w:val="00EC377C"/>
    <w:rsid w:val="00EC4DF4"/>
    <w:rsid w:val="00ED0408"/>
    <w:rsid w:val="00ED506F"/>
    <w:rsid w:val="00ED5D40"/>
    <w:rsid w:val="00ED6C3C"/>
    <w:rsid w:val="00EE0749"/>
    <w:rsid w:val="00EE12E0"/>
    <w:rsid w:val="00EE19CD"/>
    <w:rsid w:val="00EE516E"/>
    <w:rsid w:val="00EE6BCE"/>
    <w:rsid w:val="00EF152C"/>
    <w:rsid w:val="00EF2DDF"/>
    <w:rsid w:val="00EF6058"/>
    <w:rsid w:val="00EF6B98"/>
    <w:rsid w:val="00F0376E"/>
    <w:rsid w:val="00F07C31"/>
    <w:rsid w:val="00F11F40"/>
    <w:rsid w:val="00F15BDF"/>
    <w:rsid w:val="00F1657D"/>
    <w:rsid w:val="00F16F5D"/>
    <w:rsid w:val="00F274FF"/>
    <w:rsid w:val="00F2797E"/>
    <w:rsid w:val="00F3035C"/>
    <w:rsid w:val="00F3572F"/>
    <w:rsid w:val="00F36972"/>
    <w:rsid w:val="00F37F8B"/>
    <w:rsid w:val="00F4129B"/>
    <w:rsid w:val="00F42515"/>
    <w:rsid w:val="00F45042"/>
    <w:rsid w:val="00F549E5"/>
    <w:rsid w:val="00F603A2"/>
    <w:rsid w:val="00F62501"/>
    <w:rsid w:val="00F62E5F"/>
    <w:rsid w:val="00F769EC"/>
    <w:rsid w:val="00F80B54"/>
    <w:rsid w:val="00F83A35"/>
    <w:rsid w:val="00F94F0C"/>
    <w:rsid w:val="00FA0BA9"/>
    <w:rsid w:val="00FB402A"/>
    <w:rsid w:val="00FB7EB0"/>
    <w:rsid w:val="00FC2D68"/>
    <w:rsid w:val="00FC3AAB"/>
    <w:rsid w:val="00FD257C"/>
    <w:rsid w:val="00FD6553"/>
    <w:rsid w:val="00FD74BC"/>
    <w:rsid w:val="00FE4F64"/>
    <w:rsid w:val="00FE7B70"/>
    <w:rsid w:val="00FF0D87"/>
    <w:rsid w:val="00FF2647"/>
    <w:rsid w:val="00FF57D6"/>
    <w:rsid w:val="00FF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8F3F0"/>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customStyle="1" w:styleId="TableParagraph">
    <w:name w:val="Table Paragraph"/>
    <w:basedOn w:val="Normal"/>
    <w:uiPriority w:val="1"/>
    <w:qFormat/>
    <w:rsid w:val="00C502DA"/>
    <w:pPr>
      <w:widowControl w:val="0"/>
      <w:autoSpaceDE w:val="0"/>
      <w:autoSpaceDN w:val="0"/>
      <w:spacing w:after="0" w:line="240" w:lineRule="auto"/>
    </w:pPr>
    <w:rPr>
      <w:rFonts w:ascii="Arial" w:eastAsia="Arial" w:hAnsi="Arial" w:cs="Arial"/>
    </w:rPr>
  </w:style>
  <w:style w:type="paragraph" w:styleId="NormalWeb">
    <w:name w:val="Normal (Web)"/>
    <w:basedOn w:val="Normal"/>
    <w:uiPriority w:val="99"/>
    <w:semiHidden/>
    <w:unhideWhenUsed/>
    <w:rsid w:val="009D52FC"/>
    <w:pPr>
      <w:spacing w:before="100" w:beforeAutospacing="1" w:after="100" w:afterAutospacing="1" w:line="240" w:lineRule="auto"/>
    </w:pPr>
    <w:rPr>
      <w:rFonts w:ascii="Calibri" w:hAnsi="Calibri" w:cs="Times New Roman"/>
    </w:rPr>
  </w:style>
  <w:style w:type="character" w:styleId="Strong">
    <w:name w:val="Strong"/>
    <w:basedOn w:val="DefaultParagraphFont"/>
    <w:uiPriority w:val="22"/>
    <w:qFormat/>
    <w:rsid w:val="009D52FC"/>
    <w:rPr>
      <w:b/>
      <w:bCs/>
    </w:rPr>
  </w:style>
  <w:style w:type="paragraph" w:customStyle="1" w:styleId="SectionText">
    <w:name w:val="Section Text"/>
    <w:basedOn w:val="Normal"/>
    <w:link w:val="SectionTextChar"/>
    <w:qFormat/>
    <w:rsid w:val="00E734BE"/>
    <w:pPr>
      <w:keepNext/>
      <w:spacing w:after="120" w:line="260" w:lineRule="exact"/>
      <w:jc w:val="both"/>
      <w:outlineLvl w:val="0"/>
    </w:pPr>
    <w:rPr>
      <w:rFonts w:ascii="Arial" w:eastAsia="Times New Roman" w:hAnsi="Arial" w:cs="Times New Roman"/>
      <w:color w:val="5B6770"/>
      <w:sz w:val="21"/>
      <w:szCs w:val="21"/>
    </w:rPr>
  </w:style>
  <w:style w:type="character" w:customStyle="1" w:styleId="SectionTextChar">
    <w:name w:val="Section Text Char"/>
    <w:basedOn w:val="DefaultParagraphFont"/>
    <w:link w:val="SectionText"/>
    <w:rsid w:val="00E734BE"/>
    <w:rPr>
      <w:rFonts w:ascii="Arial" w:eastAsia="Times New Roman" w:hAnsi="Arial" w:cs="Times New Roman"/>
      <w:color w:val="5B6770"/>
      <w:sz w:val="21"/>
      <w:szCs w:val="21"/>
    </w:rPr>
  </w:style>
  <w:style w:type="character" w:styleId="UnresolvedMention">
    <w:name w:val="Unresolved Mention"/>
    <w:basedOn w:val="DefaultParagraphFont"/>
    <w:uiPriority w:val="99"/>
    <w:semiHidden/>
    <w:unhideWhenUsed/>
    <w:rsid w:val="008D20A8"/>
    <w:rPr>
      <w:color w:val="605E5C"/>
      <w:shd w:val="clear" w:color="auto" w:fill="E1DFDD"/>
    </w:rPr>
  </w:style>
  <w:style w:type="character" w:styleId="FollowedHyperlink">
    <w:name w:val="FollowedHyperlink"/>
    <w:basedOn w:val="DefaultParagraphFont"/>
    <w:uiPriority w:val="99"/>
    <w:semiHidden/>
    <w:unhideWhenUsed/>
    <w:rsid w:val="00C377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6357">
      <w:bodyDiv w:val="1"/>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547"/>
          <w:marRight w:val="0"/>
          <w:marTop w:val="125"/>
          <w:marBottom w:val="0"/>
          <w:divBdr>
            <w:top w:val="none" w:sz="0" w:space="0" w:color="auto"/>
            <w:left w:val="none" w:sz="0" w:space="0" w:color="auto"/>
            <w:bottom w:val="none" w:sz="0" w:space="0" w:color="auto"/>
            <w:right w:val="none" w:sz="0" w:space="0" w:color="auto"/>
          </w:divBdr>
        </w:div>
      </w:divsChild>
    </w:div>
    <w:div w:id="45876728">
      <w:bodyDiv w:val="1"/>
      <w:marLeft w:val="0"/>
      <w:marRight w:val="0"/>
      <w:marTop w:val="0"/>
      <w:marBottom w:val="0"/>
      <w:divBdr>
        <w:top w:val="none" w:sz="0" w:space="0" w:color="auto"/>
        <w:left w:val="none" w:sz="0" w:space="0" w:color="auto"/>
        <w:bottom w:val="none" w:sz="0" w:space="0" w:color="auto"/>
        <w:right w:val="none" w:sz="0" w:space="0" w:color="auto"/>
      </w:divBdr>
      <w:divsChild>
        <w:div w:id="176043842">
          <w:marLeft w:val="547"/>
          <w:marRight w:val="0"/>
          <w:marTop w:val="96"/>
          <w:marBottom w:val="0"/>
          <w:divBdr>
            <w:top w:val="none" w:sz="0" w:space="0" w:color="auto"/>
            <w:left w:val="none" w:sz="0" w:space="0" w:color="auto"/>
            <w:bottom w:val="none" w:sz="0" w:space="0" w:color="auto"/>
            <w:right w:val="none" w:sz="0" w:space="0" w:color="auto"/>
          </w:divBdr>
        </w:div>
      </w:divsChild>
    </w:div>
    <w:div w:id="103769155">
      <w:bodyDiv w:val="1"/>
      <w:marLeft w:val="0"/>
      <w:marRight w:val="0"/>
      <w:marTop w:val="0"/>
      <w:marBottom w:val="0"/>
      <w:divBdr>
        <w:top w:val="none" w:sz="0" w:space="0" w:color="auto"/>
        <w:left w:val="none" w:sz="0" w:space="0" w:color="auto"/>
        <w:bottom w:val="none" w:sz="0" w:space="0" w:color="auto"/>
        <w:right w:val="none" w:sz="0" w:space="0" w:color="auto"/>
      </w:divBdr>
      <w:divsChild>
        <w:div w:id="1441145118">
          <w:marLeft w:val="547"/>
          <w:marRight w:val="0"/>
          <w:marTop w:val="96"/>
          <w:marBottom w:val="0"/>
          <w:divBdr>
            <w:top w:val="none" w:sz="0" w:space="0" w:color="auto"/>
            <w:left w:val="none" w:sz="0" w:space="0" w:color="auto"/>
            <w:bottom w:val="none" w:sz="0" w:space="0" w:color="auto"/>
            <w:right w:val="none" w:sz="0" w:space="0" w:color="auto"/>
          </w:divBdr>
        </w:div>
      </w:divsChild>
    </w:div>
    <w:div w:id="262350105">
      <w:bodyDiv w:val="1"/>
      <w:marLeft w:val="0"/>
      <w:marRight w:val="0"/>
      <w:marTop w:val="0"/>
      <w:marBottom w:val="0"/>
      <w:divBdr>
        <w:top w:val="none" w:sz="0" w:space="0" w:color="auto"/>
        <w:left w:val="none" w:sz="0" w:space="0" w:color="auto"/>
        <w:bottom w:val="none" w:sz="0" w:space="0" w:color="auto"/>
        <w:right w:val="none" w:sz="0" w:space="0" w:color="auto"/>
      </w:divBdr>
      <w:divsChild>
        <w:div w:id="1971545763">
          <w:marLeft w:val="878"/>
          <w:marRight w:val="0"/>
          <w:marTop w:val="86"/>
          <w:marBottom w:val="0"/>
          <w:divBdr>
            <w:top w:val="none" w:sz="0" w:space="0" w:color="auto"/>
            <w:left w:val="none" w:sz="0" w:space="0" w:color="auto"/>
            <w:bottom w:val="none" w:sz="0" w:space="0" w:color="auto"/>
            <w:right w:val="none" w:sz="0" w:space="0" w:color="auto"/>
          </w:divBdr>
        </w:div>
      </w:divsChild>
    </w:div>
    <w:div w:id="298149116">
      <w:bodyDiv w:val="1"/>
      <w:marLeft w:val="0"/>
      <w:marRight w:val="0"/>
      <w:marTop w:val="0"/>
      <w:marBottom w:val="0"/>
      <w:divBdr>
        <w:top w:val="none" w:sz="0" w:space="0" w:color="auto"/>
        <w:left w:val="none" w:sz="0" w:space="0" w:color="auto"/>
        <w:bottom w:val="none" w:sz="0" w:space="0" w:color="auto"/>
        <w:right w:val="none" w:sz="0" w:space="0" w:color="auto"/>
      </w:divBdr>
      <w:divsChild>
        <w:div w:id="900290523">
          <w:marLeft w:val="547"/>
          <w:marRight w:val="0"/>
          <w:marTop w:val="96"/>
          <w:marBottom w:val="0"/>
          <w:divBdr>
            <w:top w:val="none" w:sz="0" w:space="0" w:color="auto"/>
            <w:left w:val="none" w:sz="0" w:space="0" w:color="auto"/>
            <w:bottom w:val="none" w:sz="0" w:space="0" w:color="auto"/>
            <w:right w:val="none" w:sz="0" w:space="0" w:color="auto"/>
          </w:divBdr>
        </w:div>
      </w:divsChild>
    </w:div>
    <w:div w:id="324549631">
      <w:bodyDiv w:val="1"/>
      <w:marLeft w:val="0"/>
      <w:marRight w:val="0"/>
      <w:marTop w:val="0"/>
      <w:marBottom w:val="0"/>
      <w:divBdr>
        <w:top w:val="none" w:sz="0" w:space="0" w:color="auto"/>
        <w:left w:val="none" w:sz="0" w:space="0" w:color="auto"/>
        <w:bottom w:val="none" w:sz="0" w:space="0" w:color="auto"/>
        <w:right w:val="none" w:sz="0" w:space="0" w:color="auto"/>
      </w:divBdr>
      <w:divsChild>
        <w:div w:id="1527448216">
          <w:marLeft w:val="1354"/>
          <w:marRight w:val="0"/>
          <w:marTop w:val="67"/>
          <w:marBottom w:val="0"/>
          <w:divBdr>
            <w:top w:val="none" w:sz="0" w:space="0" w:color="auto"/>
            <w:left w:val="none" w:sz="0" w:space="0" w:color="auto"/>
            <w:bottom w:val="none" w:sz="0" w:space="0" w:color="auto"/>
            <w:right w:val="none" w:sz="0" w:space="0" w:color="auto"/>
          </w:divBdr>
        </w:div>
      </w:divsChild>
    </w:div>
    <w:div w:id="366493014">
      <w:bodyDiv w:val="1"/>
      <w:marLeft w:val="0"/>
      <w:marRight w:val="0"/>
      <w:marTop w:val="0"/>
      <w:marBottom w:val="0"/>
      <w:divBdr>
        <w:top w:val="none" w:sz="0" w:space="0" w:color="auto"/>
        <w:left w:val="none" w:sz="0" w:space="0" w:color="auto"/>
        <w:bottom w:val="none" w:sz="0" w:space="0" w:color="auto"/>
        <w:right w:val="none" w:sz="0" w:space="0" w:color="auto"/>
      </w:divBdr>
    </w:div>
    <w:div w:id="409498748">
      <w:bodyDiv w:val="1"/>
      <w:marLeft w:val="0"/>
      <w:marRight w:val="0"/>
      <w:marTop w:val="0"/>
      <w:marBottom w:val="0"/>
      <w:divBdr>
        <w:top w:val="none" w:sz="0" w:space="0" w:color="auto"/>
        <w:left w:val="none" w:sz="0" w:space="0" w:color="auto"/>
        <w:bottom w:val="none" w:sz="0" w:space="0" w:color="auto"/>
        <w:right w:val="none" w:sz="0" w:space="0" w:color="auto"/>
      </w:divBdr>
      <w:divsChild>
        <w:div w:id="518783700">
          <w:marLeft w:val="547"/>
          <w:marRight w:val="0"/>
          <w:marTop w:val="77"/>
          <w:marBottom w:val="0"/>
          <w:divBdr>
            <w:top w:val="none" w:sz="0" w:space="0" w:color="auto"/>
            <w:left w:val="none" w:sz="0" w:space="0" w:color="auto"/>
            <w:bottom w:val="none" w:sz="0" w:space="0" w:color="auto"/>
            <w:right w:val="none" w:sz="0" w:space="0" w:color="auto"/>
          </w:divBdr>
        </w:div>
      </w:divsChild>
    </w:div>
    <w:div w:id="439842952">
      <w:bodyDiv w:val="1"/>
      <w:marLeft w:val="0"/>
      <w:marRight w:val="0"/>
      <w:marTop w:val="0"/>
      <w:marBottom w:val="0"/>
      <w:divBdr>
        <w:top w:val="none" w:sz="0" w:space="0" w:color="auto"/>
        <w:left w:val="none" w:sz="0" w:space="0" w:color="auto"/>
        <w:bottom w:val="none" w:sz="0" w:space="0" w:color="auto"/>
        <w:right w:val="none" w:sz="0" w:space="0" w:color="auto"/>
      </w:divBdr>
      <w:divsChild>
        <w:div w:id="272708038">
          <w:marLeft w:val="878"/>
          <w:marRight w:val="0"/>
          <w:marTop w:val="86"/>
          <w:marBottom w:val="0"/>
          <w:divBdr>
            <w:top w:val="none" w:sz="0" w:space="0" w:color="auto"/>
            <w:left w:val="none" w:sz="0" w:space="0" w:color="auto"/>
            <w:bottom w:val="none" w:sz="0" w:space="0" w:color="auto"/>
            <w:right w:val="none" w:sz="0" w:space="0" w:color="auto"/>
          </w:divBdr>
        </w:div>
      </w:divsChild>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674190859">
      <w:bodyDiv w:val="1"/>
      <w:marLeft w:val="0"/>
      <w:marRight w:val="0"/>
      <w:marTop w:val="0"/>
      <w:marBottom w:val="0"/>
      <w:divBdr>
        <w:top w:val="none" w:sz="0" w:space="0" w:color="auto"/>
        <w:left w:val="none" w:sz="0" w:space="0" w:color="auto"/>
        <w:bottom w:val="none" w:sz="0" w:space="0" w:color="auto"/>
        <w:right w:val="none" w:sz="0" w:space="0" w:color="auto"/>
      </w:divBdr>
      <w:divsChild>
        <w:div w:id="822509454">
          <w:marLeft w:val="878"/>
          <w:marRight w:val="0"/>
          <w:marTop w:val="86"/>
          <w:marBottom w:val="0"/>
          <w:divBdr>
            <w:top w:val="none" w:sz="0" w:space="0" w:color="auto"/>
            <w:left w:val="none" w:sz="0" w:space="0" w:color="auto"/>
            <w:bottom w:val="none" w:sz="0" w:space="0" w:color="auto"/>
            <w:right w:val="none" w:sz="0" w:space="0" w:color="auto"/>
          </w:divBdr>
        </w:div>
      </w:divsChild>
    </w:div>
    <w:div w:id="826166743">
      <w:bodyDiv w:val="1"/>
      <w:marLeft w:val="0"/>
      <w:marRight w:val="0"/>
      <w:marTop w:val="0"/>
      <w:marBottom w:val="0"/>
      <w:divBdr>
        <w:top w:val="none" w:sz="0" w:space="0" w:color="auto"/>
        <w:left w:val="none" w:sz="0" w:space="0" w:color="auto"/>
        <w:bottom w:val="none" w:sz="0" w:space="0" w:color="auto"/>
        <w:right w:val="none" w:sz="0" w:space="0" w:color="auto"/>
      </w:divBdr>
      <w:divsChild>
        <w:div w:id="1204294829">
          <w:marLeft w:val="547"/>
          <w:marRight w:val="0"/>
          <w:marTop w:val="77"/>
          <w:marBottom w:val="0"/>
          <w:divBdr>
            <w:top w:val="none" w:sz="0" w:space="0" w:color="auto"/>
            <w:left w:val="none" w:sz="0" w:space="0" w:color="auto"/>
            <w:bottom w:val="none" w:sz="0" w:space="0" w:color="auto"/>
            <w:right w:val="none" w:sz="0" w:space="0" w:color="auto"/>
          </w:divBdr>
        </w:div>
      </w:divsChild>
    </w:div>
    <w:div w:id="898596652">
      <w:bodyDiv w:val="1"/>
      <w:marLeft w:val="0"/>
      <w:marRight w:val="0"/>
      <w:marTop w:val="0"/>
      <w:marBottom w:val="0"/>
      <w:divBdr>
        <w:top w:val="none" w:sz="0" w:space="0" w:color="auto"/>
        <w:left w:val="none" w:sz="0" w:space="0" w:color="auto"/>
        <w:bottom w:val="none" w:sz="0" w:space="0" w:color="auto"/>
        <w:right w:val="none" w:sz="0" w:space="0" w:color="auto"/>
      </w:divBdr>
      <w:divsChild>
        <w:div w:id="652298019">
          <w:marLeft w:val="403"/>
          <w:marRight w:val="0"/>
          <w:marTop w:val="77"/>
          <w:marBottom w:val="0"/>
          <w:divBdr>
            <w:top w:val="none" w:sz="0" w:space="0" w:color="auto"/>
            <w:left w:val="none" w:sz="0" w:space="0" w:color="auto"/>
            <w:bottom w:val="none" w:sz="0" w:space="0" w:color="auto"/>
            <w:right w:val="none" w:sz="0" w:space="0" w:color="auto"/>
          </w:divBdr>
        </w:div>
      </w:divsChild>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1243179290">
      <w:bodyDiv w:val="1"/>
      <w:marLeft w:val="0"/>
      <w:marRight w:val="0"/>
      <w:marTop w:val="0"/>
      <w:marBottom w:val="0"/>
      <w:divBdr>
        <w:top w:val="none" w:sz="0" w:space="0" w:color="auto"/>
        <w:left w:val="none" w:sz="0" w:space="0" w:color="auto"/>
        <w:bottom w:val="none" w:sz="0" w:space="0" w:color="auto"/>
        <w:right w:val="none" w:sz="0" w:space="0" w:color="auto"/>
      </w:divBdr>
      <w:divsChild>
        <w:div w:id="989941283">
          <w:marLeft w:val="547"/>
          <w:marRight w:val="0"/>
          <w:marTop w:val="77"/>
          <w:marBottom w:val="0"/>
          <w:divBdr>
            <w:top w:val="none" w:sz="0" w:space="0" w:color="auto"/>
            <w:left w:val="none" w:sz="0" w:space="0" w:color="auto"/>
            <w:bottom w:val="none" w:sz="0" w:space="0" w:color="auto"/>
            <w:right w:val="none" w:sz="0" w:space="0" w:color="auto"/>
          </w:divBdr>
        </w:div>
        <w:div w:id="435176866">
          <w:marLeft w:val="547"/>
          <w:marRight w:val="0"/>
          <w:marTop w:val="77"/>
          <w:marBottom w:val="0"/>
          <w:divBdr>
            <w:top w:val="none" w:sz="0" w:space="0" w:color="auto"/>
            <w:left w:val="none" w:sz="0" w:space="0" w:color="auto"/>
            <w:bottom w:val="none" w:sz="0" w:space="0" w:color="auto"/>
            <w:right w:val="none" w:sz="0" w:space="0" w:color="auto"/>
          </w:divBdr>
        </w:div>
        <w:div w:id="713889485">
          <w:marLeft w:val="547"/>
          <w:marRight w:val="0"/>
          <w:marTop w:val="77"/>
          <w:marBottom w:val="0"/>
          <w:divBdr>
            <w:top w:val="none" w:sz="0" w:space="0" w:color="auto"/>
            <w:left w:val="none" w:sz="0" w:space="0" w:color="auto"/>
            <w:bottom w:val="none" w:sz="0" w:space="0" w:color="auto"/>
            <w:right w:val="none" w:sz="0" w:space="0" w:color="auto"/>
          </w:divBdr>
        </w:div>
      </w:divsChild>
    </w:div>
    <w:div w:id="1313875541">
      <w:bodyDiv w:val="1"/>
      <w:marLeft w:val="0"/>
      <w:marRight w:val="0"/>
      <w:marTop w:val="0"/>
      <w:marBottom w:val="0"/>
      <w:divBdr>
        <w:top w:val="none" w:sz="0" w:space="0" w:color="auto"/>
        <w:left w:val="none" w:sz="0" w:space="0" w:color="auto"/>
        <w:bottom w:val="none" w:sz="0" w:space="0" w:color="auto"/>
        <w:right w:val="none" w:sz="0" w:space="0" w:color="auto"/>
      </w:divBdr>
      <w:divsChild>
        <w:div w:id="1762334373">
          <w:marLeft w:val="878"/>
          <w:marRight w:val="0"/>
          <w:marTop w:val="86"/>
          <w:marBottom w:val="0"/>
          <w:divBdr>
            <w:top w:val="none" w:sz="0" w:space="0" w:color="auto"/>
            <w:left w:val="none" w:sz="0" w:space="0" w:color="auto"/>
            <w:bottom w:val="none" w:sz="0" w:space="0" w:color="auto"/>
            <w:right w:val="none" w:sz="0" w:space="0" w:color="auto"/>
          </w:divBdr>
        </w:div>
      </w:divsChild>
    </w:div>
    <w:div w:id="1349671209">
      <w:bodyDiv w:val="1"/>
      <w:marLeft w:val="0"/>
      <w:marRight w:val="0"/>
      <w:marTop w:val="0"/>
      <w:marBottom w:val="0"/>
      <w:divBdr>
        <w:top w:val="none" w:sz="0" w:space="0" w:color="auto"/>
        <w:left w:val="none" w:sz="0" w:space="0" w:color="auto"/>
        <w:bottom w:val="none" w:sz="0" w:space="0" w:color="auto"/>
        <w:right w:val="none" w:sz="0" w:space="0" w:color="auto"/>
      </w:divBdr>
      <w:divsChild>
        <w:div w:id="288898878">
          <w:marLeft w:val="547"/>
          <w:marRight w:val="0"/>
          <w:marTop w:val="125"/>
          <w:marBottom w:val="0"/>
          <w:divBdr>
            <w:top w:val="none" w:sz="0" w:space="0" w:color="auto"/>
            <w:left w:val="none" w:sz="0" w:space="0" w:color="auto"/>
            <w:bottom w:val="none" w:sz="0" w:space="0" w:color="auto"/>
            <w:right w:val="none" w:sz="0" w:space="0" w:color="auto"/>
          </w:divBdr>
        </w:div>
        <w:div w:id="2124957938">
          <w:marLeft w:val="547"/>
          <w:marRight w:val="0"/>
          <w:marTop w:val="125"/>
          <w:marBottom w:val="0"/>
          <w:divBdr>
            <w:top w:val="none" w:sz="0" w:space="0" w:color="auto"/>
            <w:left w:val="none" w:sz="0" w:space="0" w:color="auto"/>
            <w:bottom w:val="none" w:sz="0" w:space="0" w:color="auto"/>
            <w:right w:val="none" w:sz="0" w:space="0" w:color="auto"/>
          </w:divBdr>
        </w:div>
        <w:div w:id="1183126148">
          <w:marLeft w:val="547"/>
          <w:marRight w:val="0"/>
          <w:marTop w:val="125"/>
          <w:marBottom w:val="0"/>
          <w:divBdr>
            <w:top w:val="none" w:sz="0" w:space="0" w:color="auto"/>
            <w:left w:val="none" w:sz="0" w:space="0" w:color="auto"/>
            <w:bottom w:val="none" w:sz="0" w:space="0" w:color="auto"/>
            <w:right w:val="none" w:sz="0" w:space="0" w:color="auto"/>
          </w:divBdr>
        </w:div>
        <w:div w:id="1063678236">
          <w:marLeft w:val="1166"/>
          <w:marRight w:val="0"/>
          <w:marTop w:val="115"/>
          <w:marBottom w:val="0"/>
          <w:divBdr>
            <w:top w:val="none" w:sz="0" w:space="0" w:color="auto"/>
            <w:left w:val="none" w:sz="0" w:space="0" w:color="auto"/>
            <w:bottom w:val="none" w:sz="0" w:space="0" w:color="auto"/>
            <w:right w:val="none" w:sz="0" w:space="0" w:color="auto"/>
          </w:divBdr>
        </w:div>
        <w:div w:id="306132177">
          <w:marLeft w:val="1166"/>
          <w:marRight w:val="0"/>
          <w:marTop w:val="115"/>
          <w:marBottom w:val="0"/>
          <w:divBdr>
            <w:top w:val="none" w:sz="0" w:space="0" w:color="auto"/>
            <w:left w:val="none" w:sz="0" w:space="0" w:color="auto"/>
            <w:bottom w:val="none" w:sz="0" w:space="0" w:color="auto"/>
            <w:right w:val="none" w:sz="0" w:space="0" w:color="auto"/>
          </w:divBdr>
        </w:div>
      </w:divsChild>
    </w:div>
    <w:div w:id="1403406906">
      <w:bodyDiv w:val="1"/>
      <w:marLeft w:val="0"/>
      <w:marRight w:val="0"/>
      <w:marTop w:val="0"/>
      <w:marBottom w:val="0"/>
      <w:divBdr>
        <w:top w:val="none" w:sz="0" w:space="0" w:color="auto"/>
        <w:left w:val="none" w:sz="0" w:space="0" w:color="auto"/>
        <w:bottom w:val="none" w:sz="0" w:space="0" w:color="auto"/>
        <w:right w:val="none" w:sz="0" w:space="0" w:color="auto"/>
      </w:divBdr>
      <w:divsChild>
        <w:div w:id="289559023">
          <w:marLeft w:val="403"/>
          <w:marRight w:val="0"/>
          <w:marTop w:val="86"/>
          <w:marBottom w:val="0"/>
          <w:divBdr>
            <w:top w:val="none" w:sz="0" w:space="0" w:color="auto"/>
            <w:left w:val="none" w:sz="0" w:space="0" w:color="auto"/>
            <w:bottom w:val="none" w:sz="0" w:space="0" w:color="auto"/>
            <w:right w:val="none" w:sz="0" w:space="0" w:color="auto"/>
          </w:divBdr>
        </w:div>
      </w:divsChild>
    </w:div>
    <w:div w:id="1588535516">
      <w:bodyDiv w:val="1"/>
      <w:marLeft w:val="0"/>
      <w:marRight w:val="0"/>
      <w:marTop w:val="0"/>
      <w:marBottom w:val="0"/>
      <w:divBdr>
        <w:top w:val="none" w:sz="0" w:space="0" w:color="auto"/>
        <w:left w:val="none" w:sz="0" w:space="0" w:color="auto"/>
        <w:bottom w:val="none" w:sz="0" w:space="0" w:color="auto"/>
        <w:right w:val="none" w:sz="0" w:space="0" w:color="auto"/>
      </w:divBdr>
      <w:divsChild>
        <w:div w:id="652028012">
          <w:marLeft w:val="547"/>
          <w:marRight w:val="0"/>
          <w:marTop w:val="96"/>
          <w:marBottom w:val="0"/>
          <w:divBdr>
            <w:top w:val="none" w:sz="0" w:space="0" w:color="auto"/>
            <w:left w:val="none" w:sz="0" w:space="0" w:color="auto"/>
            <w:bottom w:val="none" w:sz="0" w:space="0" w:color="auto"/>
            <w:right w:val="none" w:sz="0" w:space="0" w:color="auto"/>
          </w:divBdr>
        </w:div>
        <w:div w:id="28409610">
          <w:marLeft w:val="1166"/>
          <w:marRight w:val="0"/>
          <w:marTop w:val="96"/>
          <w:marBottom w:val="0"/>
          <w:divBdr>
            <w:top w:val="none" w:sz="0" w:space="0" w:color="auto"/>
            <w:left w:val="none" w:sz="0" w:space="0" w:color="auto"/>
            <w:bottom w:val="none" w:sz="0" w:space="0" w:color="auto"/>
            <w:right w:val="none" w:sz="0" w:space="0" w:color="auto"/>
          </w:divBdr>
        </w:div>
        <w:div w:id="739206862">
          <w:marLeft w:val="547"/>
          <w:marRight w:val="0"/>
          <w:marTop w:val="96"/>
          <w:marBottom w:val="0"/>
          <w:divBdr>
            <w:top w:val="none" w:sz="0" w:space="0" w:color="auto"/>
            <w:left w:val="none" w:sz="0" w:space="0" w:color="auto"/>
            <w:bottom w:val="none" w:sz="0" w:space="0" w:color="auto"/>
            <w:right w:val="none" w:sz="0" w:space="0" w:color="auto"/>
          </w:divBdr>
        </w:div>
        <w:div w:id="574516647">
          <w:marLeft w:val="547"/>
          <w:marRight w:val="0"/>
          <w:marTop w:val="96"/>
          <w:marBottom w:val="0"/>
          <w:divBdr>
            <w:top w:val="none" w:sz="0" w:space="0" w:color="auto"/>
            <w:left w:val="none" w:sz="0" w:space="0" w:color="auto"/>
            <w:bottom w:val="none" w:sz="0" w:space="0" w:color="auto"/>
            <w:right w:val="none" w:sz="0" w:space="0" w:color="auto"/>
          </w:divBdr>
        </w:div>
        <w:div w:id="1255631465">
          <w:marLeft w:val="547"/>
          <w:marRight w:val="0"/>
          <w:marTop w:val="96"/>
          <w:marBottom w:val="0"/>
          <w:divBdr>
            <w:top w:val="none" w:sz="0" w:space="0" w:color="auto"/>
            <w:left w:val="none" w:sz="0" w:space="0" w:color="auto"/>
            <w:bottom w:val="none" w:sz="0" w:space="0" w:color="auto"/>
            <w:right w:val="none" w:sz="0" w:space="0" w:color="auto"/>
          </w:divBdr>
        </w:div>
      </w:divsChild>
    </w:div>
    <w:div w:id="1777141527">
      <w:bodyDiv w:val="1"/>
      <w:marLeft w:val="0"/>
      <w:marRight w:val="0"/>
      <w:marTop w:val="0"/>
      <w:marBottom w:val="0"/>
      <w:divBdr>
        <w:top w:val="none" w:sz="0" w:space="0" w:color="auto"/>
        <w:left w:val="none" w:sz="0" w:space="0" w:color="auto"/>
        <w:bottom w:val="none" w:sz="0" w:space="0" w:color="auto"/>
        <w:right w:val="none" w:sz="0" w:space="0" w:color="auto"/>
      </w:divBdr>
    </w:div>
    <w:div w:id="2092237894">
      <w:bodyDiv w:val="1"/>
      <w:marLeft w:val="0"/>
      <w:marRight w:val="0"/>
      <w:marTop w:val="0"/>
      <w:marBottom w:val="0"/>
      <w:divBdr>
        <w:top w:val="none" w:sz="0" w:space="0" w:color="auto"/>
        <w:left w:val="none" w:sz="0" w:space="0" w:color="auto"/>
        <w:bottom w:val="none" w:sz="0" w:space="0" w:color="auto"/>
        <w:right w:val="none" w:sz="0" w:space="0" w:color="auto"/>
      </w:divBdr>
      <w:divsChild>
        <w:div w:id="1042904869">
          <w:marLeft w:val="403"/>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87998-FA24-4DE3-9E1E-50898A3BA988}">
  <ds:schemaRefs>
    <ds:schemaRef ds:uri="http://schemas.microsoft.com/sharepoint/v3/contenttype/forms"/>
  </ds:schemaRefs>
</ds:datastoreItem>
</file>

<file path=customXml/itemProps2.xml><?xml version="1.0" encoding="utf-8"?>
<ds:datastoreItem xmlns:ds="http://schemas.openxmlformats.org/officeDocument/2006/customXml" ds:itemID="{635827DA-DF5E-4159-B2B6-B2AF209F9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C18025-7D0E-4E06-A4FE-A61EA13FF7D7}">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CED23AED-649E-4781-9BEC-038E9F23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Ayson, Janice</cp:lastModifiedBy>
  <cp:revision>4</cp:revision>
  <dcterms:created xsi:type="dcterms:W3CDTF">2022-04-13T17:52:00Z</dcterms:created>
  <dcterms:modified xsi:type="dcterms:W3CDTF">2022-04-13T17:53:00Z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