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83" w:type="dxa"/>
        <w:tblInd w:w="-3" w:type="dxa"/>
        <w:tblCellMar>
          <w:left w:w="0" w:type="dxa"/>
          <w:right w:w="0" w:type="dxa"/>
        </w:tblCellMar>
        <w:tblLook w:val="04A0" w:firstRow="1" w:lastRow="0" w:firstColumn="1" w:lastColumn="0" w:noHBand="0" w:noVBand="1"/>
      </w:tblPr>
      <w:tblGrid>
        <w:gridCol w:w="1303"/>
        <w:gridCol w:w="5527"/>
        <w:gridCol w:w="916"/>
        <w:gridCol w:w="2120"/>
        <w:gridCol w:w="4617"/>
      </w:tblGrid>
      <w:tr w:rsidR="00ED0C37" w14:paraId="2FE9C163" w14:textId="77777777" w:rsidTr="00ED0C37">
        <w:trPr>
          <w:trHeight w:val="520"/>
        </w:trPr>
        <w:tc>
          <w:tcPr>
            <w:tcW w:w="0" w:type="auto"/>
            <w:tcBorders>
              <w:top w:val="single" w:sz="8" w:space="0" w:color="auto"/>
              <w:left w:val="single" w:sz="8" w:space="0" w:color="auto"/>
              <w:bottom w:val="single" w:sz="4" w:space="0" w:color="auto"/>
              <w:right w:val="single" w:sz="8" w:space="0" w:color="auto"/>
            </w:tcBorders>
            <w:shd w:val="clear" w:color="auto" w:fill="366092"/>
            <w:tcMar>
              <w:top w:w="0" w:type="dxa"/>
              <w:left w:w="108" w:type="dxa"/>
              <w:bottom w:w="0" w:type="dxa"/>
              <w:right w:w="108" w:type="dxa"/>
            </w:tcMar>
            <w:hideMark/>
          </w:tcPr>
          <w:p w14:paraId="2E6E2AC6" w14:textId="77777777" w:rsidR="00ED0C37" w:rsidRDefault="00ED0C37">
            <w:pPr>
              <w:rPr>
                <w:b/>
                <w:bCs/>
                <w:color w:val="FFFFFF"/>
                <w:sz w:val="20"/>
                <w:szCs w:val="20"/>
              </w:rPr>
            </w:pPr>
            <w:bookmarkStart w:id="0" w:name="_Hlk100646472"/>
            <w:r>
              <w:rPr>
                <w:b/>
                <w:bCs/>
                <w:color w:val="FFFFFF"/>
                <w:sz w:val="20"/>
                <w:szCs w:val="20"/>
              </w:rPr>
              <w:t>REV REQ NO.</w:t>
            </w:r>
          </w:p>
        </w:tc>
        <w:tc>
          <w:tcPr>
            <w:tcW w:w="5527" w:type="dxa"/>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14:paraId="536BB38A" w14:textId="77777777" w:rsidR="00ED0C37" w:rsidRDefault="00ED0C37">
            <w:pPr>
              <w:rPr>
                <w:b/>
                <w:bCs/>
                <w:color w:val="FFFFFF"/>
                <w:sz w:val="20"/>
                <w:szCs w:val="20"/>
              </w:rPr>
            </w:pPr>
            <w:r>
              <w:rPr>
                <w:b/>
                <w:bCs/>
                <w:color w:val="FFFFFF"/>
                <w:sz w:val="20"/>
                <w:szCs w:val="20"/>
              </w:rPr>
              <w:t>DESCRIPTION</w:t>
            </w:r>
          </w:p>
        </w:tc>
        <w:tc>
          <w:tcPr>
            <w:tcW w:w="916" w:type="dxa"/>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14:paraId="65D38527" w14:textId="77777777" w:rsidR="00ED0C37" w:rsidRDefault="00ED0C37">
            <w:pPr>
              <w:jc w:val="center"/>
              <w:rPr>
                <w:b/>
                <w:bCs/>
                <w:color w:val="FFFFFF"/>
                <w:sz w:val="20"/>
                <w:szCs w:val="20"/>
              </w:rPr>
            </w:pPr>
            <w:r>
              <w:rPr>
                <w:b/>
                <w:bCs/>
                <w:color w:val="FFFFFF"/>
                <w:sz w:val="20"/>
                <w:szCs w:val="20"/>
              </w:rPr>
              <w:t>URGENT</w:t>
            </w:r>
          </w:p>
        </w:tc>
        <w:tc>
          <w:tcPr>
            <w:tcW w:w="2120" w:type="dxa"/>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14:paraId="143C73B4" w14:textId="77777777" w:rsidR="00ED0C37" w:rsidRDefault="00ED0C37">
            <w:pPr>
              <w:rPr>
                <w:b/>
                <w:bCs/>
                <w:color w:val="FFFFFF"/>
                <w:sz w:val="20"/>
                <w:szCs w:val="20"/>
              </w:rPr>
            </w:pPr>
            <w:r>
              <w:rPr>
                <w:b/>
                <w:bCs/>
                <w:color w:val="FFFFFF"/>
                <w:sz w:val="20"/>
                <w:szCs w:val="20"/>
              </w:rPr>
              <w:t>ERCOT Opinion</w:t>
            </w:r>
          </w:p>
        </w:tc>
        <w:tc>
          <w:tcPr>
            <w:tcW w:w="4617" w:type="dxa"/>
            <w:tcBorders>
              <w:top w:val="single" w:sz="8" w:space="0" w:color="auto"/>
              <w:left w:val="nil"/>
              <w:bottom w:val="single" w:sz="4" w:space="0" w:color="auto"/>
              <w:right w:val="single" w:sz="8" w:space="0" w:color="auto"/>
            </w:tcBorders>
            <w:shd w:val="clear" w:color="auto" w:fill="366092"/>
            <w:hideMark/>
          </w:tcPr>
          <w:p w14:paraId="6E2F840C" w14:textId="77777777" w:rsidR="00ED0C37" w:rsidRDefault="00ED0C37">
            <w:pPr>
              <w:rPr>
                <w:b/>
                <w:bCs/>
                <w:color w:val="FFFFFF"/>
                <w:sz w:val="20"/>
                <w:szCs w:val="20"/>
              </w:rPr>
            </w:pPr>
            <w:r>
              <w:rPr>
                <w:b/>
                <w:bCs/>
                <w:color w:val="FFFFFF"/>
                <w:sz w:val="20"/>
                <w:szCs w:val="20"/>
              </w:rPr>
              <w:t>ERCOT Market Impact Statement</w:t>
            </w:r>
          </w:p>
        </w:tc>
      </w:tr>
      <w:tr w:rsidR="00ED0C37" w14:paraId="726237A0" w14:textId="77777777" w:rsidTr="00ED0C3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CC4B6" w14:textId="7E147B0C" w:rsidR="00ED0C37" w:rsidRDefault="00ED0C37" w:rsidP="00D54ED3">
            <w:pPr>
              <w:rPr>
                <w:b/>
                <w:bCs/>
                <w:color w:val="000000"/>
                <w:sz w:val="20"/>
                <w:szCs w:val="20"/>
              </w:rPr>
            </w:pPr>
            <w:r>
              <w:rPr>
                <w:rFonts w:cs="Calibri"/>
                <w:b/>
                <w:bCs/>
                <w:color w:val="000000"/>
                <w:sz w:val="20"/>
                <w:szCs w:val="20"/>
              </w:rPr>
              <w:t>096PGRR</w:t>
            </w:r>
          </w:p>
        </w:tc>
        <w:tc>
          <w:tcPr>
            <w:tcW w:w="5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35A7A" w14:textId="72C185C0" w:rsidR="00ED0C37" w:rsidRDefault="00ED0C37" w:rsidP="00D54ED3">
            <w:pPr>
              <w:rPr>
                <w:b/>
                <w:bCs/>
                <w:color w:val="000000"/>
                <w:sz w:val="20"/>
                <w:szCs w:val="20"/>
              </w:rPr>
            </w:pPr>
            <w:r>
              <w:rPr>
                <w:rFonts w:cs="Calibri"/>
                <w:b/>
                <w:bCs/>
                <w:color w:val="000000"/>
                <w:sz w:val="20"/>
                <w:szCs w:val="20"/>
              </w:rPr>
              <w:t xml:space="preserve">Achieve Consistent Representation of Distributed Generation in Steady-State Models.  </w:t>
            </w:r>
            <w:r>
              <w:rPr>
                <w:rFonts w:cs="Calibri"/>
                <w:color w:val="000000"/>
                <w:sz w:val="20"/>
                <w:szCs w:val="20"/>
              </w:rPr>
              <w:t>This Planning Guide Revision Request (PGRR) establishes requirements for the consistent representation of Distribution Generation Resources (DGRs), Distribution Energy Storage Resources (DESRs), Settlement Only Distribution Generators (SODGs), and unregistered Distributed Generation (DG) in steady-state base cases.  [ERCOT]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2C46C" w14:textId="0535037A" w:rsidR="00ED0C37" w:rsidRDefault="00ED0C37" w:rsidP="00D54ED3">
            <w:pPr>
              <w:jc w:val="center"/>
              <w:rPr>
                <w:color w:val="000000"/>
                <w:sz w:val="20"/>
                <w:szCs w:val="20"/>
              </w:rPr>
            </w:pPr>
            <w:r>
              <w:rPr>
                <w:rFonts w:cs="Calibri"/>
                <w:color w:val="000000"/>
                <w:sz w:val="20"/>
                <w:szCs w:val="20"/>
              </w:rPr>
              <w:t>N</w:t>
            </w:r>
          </w:p>
        </w:tc>
        <w:tc>
          <w:tcPr>
            <w:tcW w:w="2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B38906" w14:textId="50CC983E" w:rsidR="00ED0C37" w:rsidRDefault="00ED0C37" w:rsidP="00D54ED3">
            <w:pPr>
              <w:rPr>
                <w:sz w:val="20"/>
                <w:szCs w:val="20"/>
              </w:rPr>
            </w:pPr>
            <w:r>
              <w:rPr>
                <w:sz w:val="20"/>
                <w:szCs w:val="20"/>
              </w:rPr>
              <w:t>ERCOT supports approval of PGRR096</w:t>
            </w:r>
          </w:p>
        </w:tc>
        <w:tc>
          <w:tcPr>
            <w:tcW w:w="4617" w:type="dxa"/>
            <w:tcBorders>
              <w:top w:val="single" w:sz="4" w:space="0" w:color="auto"/>
              <w:left w:val="single" w:sz="4" w:space="0" w:color="auto"/>
              <w:bottom w:val="single" w:sz="4" w:space="0" w:color="auto"/>
              <w:right w:val="single" w:sz="4" w:space="0" w:color="auto"/>
            </w:tcBorders>
          </w:tcPr>
          <w:p w14:paraId="6B9C9DE4" w14:textId="1F515C43" w:rsidR="00ED0C37" w:rsidRDefault="00ED0C37" w:rsidP="00D54ED3">
            <w:pPr>
              <w:rPr>
                <w:sz w:val="20"/>
                <w:szCs w:val="20"/>
              </w:rPr>
            </w:pPr>
            <w:r w:rsidRPr="00210A3C">
              <w:rPr>
                <w:sz w:val="20"/>
                <w:szCs w:val="20"/>
              </w:rPr>
              <w:t>ERCOT Staff has reviewed PGRR096 and believes the market impact for PGRR096 facilitates a consistent methodology for the representation of distributed energy resources in planning assessments for the maintenance and improvement of system reliability.</w:t>
            </w:r>
          </w:p>
        </w:tc>
      </w:tr>
      <w:tr w:rsidR="00ED0C37" w14:paraId="2C78596F" w14:textId="77777777" w:rsidTr="00ED0C3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CE272" w14:textId="5DD30203" w:rsidR="00ED0C37" w:rsidRDefault="00ED0C37" w:rsidP="00D54ED3">
            <w:pPr>
              <w:rPr>
                <w:b/>
                <w:bCs/>
                <w:color w:val="000000"/>
                <w:sz w:val="20"/>
                <w:szCs w:val="20"/>
              </w:rPr>
            </w:pPr>
            <w:r>
              <w:rPr>
                <w:rFonts w:cs="Calibri"/>
                <w:b/>
                <w:bCs/>
                <w:color w:val="000000"/>
                <w:sz w:val="20"/>
                <w:szCs w:val="20"/>
              </w:rPr>
              <w:t>098PGRR</w:t>
            </w:r>
          </w:p>
        </w:tc>
        <w:tc>
          <w:tcPr>
            <w:tcW w:w="5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809DA" w14:textId="03010AC1" w:rsidR="00ED0C37" w:rsidRDefault="00ED0C37" w:rsidP="00D54ED3">
            <w:pPr>
              <w:rPr>
                <w:b/>
                <w:bCs/>
                <w:color w:val="000000"/>
                <w:sz w:val="20"/>
                <w:szCs w:val="20"/>
              </w:rPr>
            </w:pPr>
            <w:r>
              <w:rPr>
                <w:rFonts w:cs="Calibri"/>
                <w:b/>
                <w:bCs/>
                <w:color w:val="000000"/>
                <w:sz w:val="20"/>
                <w:szCs w:val="20"/>
              </w:rPr>
              <w:t xml:space="preserve">Consideration of Load Shed in Transmission Planning Criteria. </w:t>
            </w:r>
            <w:r>
              <w:rPr>
                <w:rFonts w:cs="Calibri"/>
                <w:color w:val="000000"/>
                <w:sz w:val="20"/>
                <w:szCs w:val="20"/>
              </w:rPr>
              <w:t xml:space="preserve"> This Planning Guide Revision Request (PGRR) adds language to the existing reliability performance criteria that allows a corrective action plan to be developed under certain outage scenarios.  [LCRA]</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ED341" w14:textId="5A064389" w:rsidR="00ED0C37" w:rsidRDefault="00ED0C37" w:rsidP="00D54ED3">
            <w:pPr>
              <w:jc w:val="center"/>
              <w:rPr>
                <w:color w:val="000000"/>
                <w:sz w:val="20"/>
                <w:szCs w:val="20"/>
              </w:rPr>
            </w:pPr>
            <w:r>
              <w:rPr>
                <w:rFonts w:cs="Calibri"/>
                <w:color w:val="000000"/>
                <w:sz w:val="20"/>
                <w:szCs w:val="20"/>
              </w:rPr>
              <w:t>N</w:t>
            </w:r>
          </w:p>
        </w:tc>
        <w:tc>
          <w:tcPr>
            <w:tcW w:w="2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05B37D" w14:textId="210E4550" w:rsidR="00ED0C37" w:rsidRDefault="00ED0C37" w:rsidP="00D54ED3">
            <w:pPr>
              <w:rPr>
                <w:sz w:val="20"/>
                <w:szCs w:val="20"/>
              </w:rPr>
            </w:pPr>
            <w:r>
              <w:rPr>
                <w:sz w:val="20"/>
                <w:szCs w:val="20"/>
              </w:rPr>
              <w:t>ERCOT supports approval of PGRR098</w:t>
            </w:r>
          </w:p>
        </w:tc>
        <w:tc>
          <w:tcPr>
            <w:tcW w:w="4617" w:type="dxa"/>
            <w:tcBorders>
              <w:top w:val="single" w:sz="4" w:space="0" w:color="auto"/>
              <w:left w:val="single" w:sz="4" w:space="0" w:color="auto"/>
              <w:bottom w:val="single" w:sz="4" w:space="0" w:color="auto"/>
              <w:right w:val="single" w:sz="4" w:space="0" w:color="auto"/>
            </w:tcBorders>
          </w:tcPr>
          <w:p w14:paraId="6CC3BEB7" w14:textId="77CC55C8" w:rsidR="00ED0C37" w:rsidRDefault="00ED0C37" w:rsidP="00D54ED3">
            <w:pPr>
              <w:rPr>
                <w:sz w:val="20"/>
                <w:szCs w:val="20"/>
              </w:rPr>
            </w:pPr>
            <w:r w:rsidRPr="003524E8">
              <w:rPr>
                <w:sz w:val="20"/>
                <w:szCs w:val="20"/>
              </w:rPr>
              <w:t>ERCOT Staff has reviewed PGRR098 and believes the market impact for PGRR098 permits TSPs to develop corrective action plans to facilitate the scheduling of maintenance outages during off-peak system conditions without additional risk of non-consequential load loss.</w:t>
            </w:r>
          </w:p>
        </w:tc>
      </w:tr>
      <w:tr w:rsidR="00ED0C37" w14:paraId="5ACE5F13" w14:textId="77777777" w:rsidTr="00ED0C3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B3BD5" w14:textId="3E65241B" w:rsidR="00ED0C37" w:rsidRDefault="00ED0C37" w:rsidP="005D278C">
            <w:pPr>
              <w:rPr>
                <w:b/>
                <w:bCs/>
                <w:color w:val="000000"/>
                <w:sz w:val="20"/>
                <w:szCs w:val="20"/>
              </w:rPr>
            </w:pPr>
            <w:r>
              <w:rPr>
                <w:rFonts w:cs="Calibri"/>
                <w:b/>
                <w:bCs/>
                <w:color w:val="000000"/>
                <w:sz w:val="20"/>
                <w:szCs w:val="20"/>
              </w:rPr>
              <w:t>025SMOGRR</w:t>
            </w:r>
          </w:p>
        </w:tc>
        <w:tc>
          <w:tcPr>
            <w:tcW w:w="5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31E6B" w14:textId="4926E976" w:rsidR="00ED0C37" w:rsidRDefault="00ED0C37" w:rsidP="005D278C">
            <w:pPr>
              <w:rPr>
                <w:b/>
                <w:bCs/>
                <w:color w:val="000000"/>
                <w:sz w:val="20"/>
                <w:szCs w:val="20"/>
              </w:rPr>
            </w:pPr>
            <w:r>
              <w:rPr>
                <w:rFonts w:cs="Calibri"/>
                <w:b/>
                <w:bCs/>
                <w:color w:val="000000"/>
                <w:sz w:val="20"/>
                <w:szCs w:val="20"/>
              </w:rPr>
              <w:t xml:space="preserve">Modifications to Line Loss Compensation Requirement for EPS Metering.  </w:t>
            </w:r>
            <w:r>
              <w:rPr>
                <w:rFonts w:cs="Calibri"/>
                <w:color w:val="000000"/>
                <w:sz w:val="20"/>
                <w:szCs w:val="20"/>
              </w:rPr>
              <w:t>This Settlement Metering Operating Guide Revision Request (SMOGRR) allows for losses in short runs of connecting lines to be disregarded in instances where the ERCOT-Polled Settlement (EPS) Meter is not physically placed at the Point of Interconnection (POI).   This SMOGRR requires calculation to verify that the watts copper losses are below 0.001%.  [ERCOT]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29FA6" w14:textId="74D742E8" w:rsidR="00ED0C37" w:rsidRDefault="00ED0C37" w:rsidP="005D278C">
            <w:pPr>
              <w:jc w:val="center"/>
              <w:rPr>
                <w:color w:val="000000"/>
                <w:sz w:val="20"/>
                <w:szCs w:val="20"/>
              </w:rPr>
            </w:pPr>
            <w:r>
              <w:rPr>
                <w:rFonts w:cs="Calibri"/>
                <w:color w:val="000000"/>
                <w:sz w:val="20"/>
                <w:szCs w:val="20"/>
              </w:rPr>
              <w:t>N</w:t>
            </w:r>
          </w:p>
        </w:tc>
        <w:tc>
          <w:tcPr>
            <w:tcW w:w="2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D5B1" w14:textId="5AAD12DC" w:rsidR="00ED0C37" w:rsidRDefault="00ED0C37" w:rsidP="005D278C">
            <w:pPr>
              <w:rPr>
                <w:sz w:val="20"/>
                <w:szCs w:val="20"/>
              </w:rPr>
            </w:pPr>
            <w:r>
              <w:rPr>
                <w:sz w:val="20"/>
                <w:szCs w:val="20"/>
              </w:rPr>
              <w:t>ERCOT supports approval of SMOGRR025</w:t>
            </w:r>
          </w:p>
        </w:tc>
        <w:tc>
          <w:tcPr>
            <w:tcW w:w="4617" w:type="dxa"/>
            <w:tcBorders>
              <w:top w:val="single" w:sz="4" w:space="0" w:color="auto"/>
              <w:left w:val="single" w:sz="4" w:space="0" w:color="auto"/>
              <w:bottom w:val="single" w:sz="4" w:space="0" w:color="auto"/>
              <w:right w:val="single" w:sz="4" w:space="0" w:color="auto"/>
            </w:tcBorders>
          </w:tcPr>
          <w:p w14:paraId="51AFA80A" w14:textId="239BF391" w:rsidR="00ED0C37" w:rsidRDefault="00ED0C37" w:rsidP="005D278C">
            <w:pPr>
              <w:rPr>
                <w:sz w:val="20"/>
                <w:szCs w:val="20"/>
              </w:rPr>
            </w:pPr>
            <w:r w:rsidRPr="00210A3C">
              <w:rPr>
                <w:sz w:val="20"/>
                <w:szCs w:val="20"/>
              </w:rPr>
              <w:t xml:space="preserve">ERCOT Staff has reviewed </w:t>
            </w:r>
            <w:r>
              <w:rPr>
                <w:sz w:val="20"/>
                <w:szCs w:val="20"/>
              </w:rPr>
              <w:t>SMOGRR025</w:t>
            </w:r>
            <w:r w:rsidRPr="00210A3C">
              <w:rPr>
                <w:sz w:val="20"/>
                <w:szCs w:val="20"/>
              </w:rPr>
              <w:t xml:space="preserve"> and believes the market impact for SMOGRR025, in conjunction with </w:t>
            </w:r>
            <w:r>
              <w:rPr>
                <w:sz w:val="20"/>
                <w:szCs w:val="20"/>
              </w:rPr>
              <w:t>NPRR1117</w:t>
            </w:r>
            <w:r w:rsidRPr="00210A3C">
              <w:rPr>
                <w:sz w:val="20"/>
                <w:szCs w:val="20"/>
              </w:rPr>
              <w:t>, will facilitate calculations to determine whether to require the EPS Meter to be programmed to account for line losses.</w:t>
            </w:r>
          </w:p>
        </w:tc>
      </w:tr>
      <w:tr w:rsidR="00ED0C37" w14:paraId="26C34FAF" w14:textId="77777777" w:rsidTr="00ED0C3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34C5" w14:textId="2A7BB7ED" w:rsidR="00ED0C37" w:rsidRDefault="00ED0C37" w:rsidP="00D54ED3">
            <w:pPr>
              <w:rPr>
                <w:b/>
                <w:bCs/>
                <w:color w:val="000000"/>
                <w:sz w:val="20"/>
                <w:szCs w:val="20"/>
              </w:rPr>
            </w:pPr>
            <w:r>
              <w:rPr>
                <w:rFonts w:cs="Calibri"/>
                <w:b/>
                <w:bCs/>
                <w:color w:val="000000"/>
                <w:sz w:val="20"/>
                <w:szCs w:val="20"/>
              </w:rPr>
              <w:t>1117NPRR</w:t>
            </w:r>
          </w:p>
        </w:tc>
        <w:tc>
          <w:tcPr>
            <w:tcW w:w="5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2D60" w14:textId="674BB9C4" w:rsidR="00ED0C37" w:rsidRDefault="00ED0C37" w:rsidP="00D54ED3">
            <w:pPr>
              <w:rPr>
                <w:b/>
                <w:bCs/>
                <w:color w:val="000000"/>
                <w:sz w:val="20"/>
                <w:szCs w:val="20"/>
              </w:rPr>
            </w:pPr>
            <w:r>
              <w:rPr>
                <w:rFonts w:cs="Calibri"/>
                <w:b/>
                <w:bCs/>
                <w:color w:val="000000"/>
                <w:sz w:val="20"/>
                <w:szCs w:val="20"/>
              </w:rPr>
              <w:t xml:space="preserve">Related to SMOGRR025, Modifications to Line Loss Compensation Requirement for EPS Metering.  </w:t>
            </w:r>
            <w:r>
              <w:rPr>
                <w:rFonts w:cs="Calibri"/>
                <w:color w:val="000000"/>
                <w:sz w:val="20"/>
                <w:szCs w:val="20"/>
              </w:rPr>
              <w:t>This Nodal Protocol Revision Request (NPRR) aligns the Protocols with Settlement Meter Operating Guide (SMOG) revisions allowing for losses in short runs of connecting lines to be disregarded in instances where the ERCOT-Polled Settlement (EPS) Meter is not physically placed at the Point of Interconnection (POI).  [ERCOT]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CA479" w14:textId="482EFECC" w:rsidR="00ED0C37" w:rsidRDefault="00ED0C37" w:rsidP="00D54ED3">
            <w:pPr>
              <w:jc w:val="center"/>
              <w:rPr>
                <w:color w:val="000000"/>
                <w:sz w:val="20"/>
                <w:szCs w:val="20"/>
              </w:rPr>
            </w:pPr>
            <w:r>
              <w:rPr>
                <w:color w:val="000000"/>
                <w:sz w:val="20"/>
                <w:szCs w:val="20"/>
              </w:rPr>
              <w:t>N</w:t>
            </w:r>
          </w:p>
        </w:tc>
        <w:tc>
          <w:tcPr>
            <w:tcW w:w="2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6B117" w14:textId="783ED177" w:rsidR="00ED0C37" w:rsidRDefault="00ED0C37" w:rsidP="00D54ED3">
            <w:pPr>
              <w:rPr>
                <w:sz w:val="20"/>
                <w:szCs w:val="20"/>
              </w:rPr>
            </w:pPr>
            <w:r>
              <w:rPr>
                <w:sz w:val="20"/>
                <w:szCs w:val="20"/>
              </w:rPr>
              <w:t>ERCOT supports approval of NPRR1117</w:t>
            </w:r>
          </w:p>
        </w:tc>
        <w:tc>
          <w:tcPr>
            <w:tcW w:w="4617" w:type="dxa"/>
            <w:tcBorders>
              <w:top w:val="single" w:sz="4" w:space="0" w:color="auto"/>
              <w:left w:val="single" w:sz="4" w:space="0" w:color="auto"/>
              <w:bottom w:val="single" w:sz="4" w:space="0" w:color="auto"/>
              <w:right w:val="single" w:sz="4" w:space="0" w:color="auto"/>
            </w:tcBorders>
          </w:tcPr>
          <w:p w14:paraId="6674B7FD" w14:textId="00350A57" w:rsidR="00ED0C37" w:rsidRDefault="00ED0C37" w:rsidP="00D54ED3">
            <w:pPr>
              <w:rPr>
                <w:sz w:val="20"/>
                <w:szCs w:val="20"/>
              </w:rPr>
            </w:pPr>
            <w:r w:rsidRPr="00210A3C">
              <w:rPr>
                <w:sz w:val="20"/>
                <w:szCs w:val="20"/>
              </w:rPr>
              <w:t>ERCOT Staff has reviewed NPRR1117 and believes the market impact for NPRR1117, in conjunction with SMOGRR025, will facilitate calculations to determine whether to require the EPS Meter to be programmed to account for line losses.</w:t>
            </w:r>
          </w:p>
        </w:tc>
      </w:tr>
      <w:tr w:rsidR="00ED0C37" w14:paraId="23FA8B3C" w14:textId="77777777" w:rsidTr="00ED0C3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C391E" w14:textId="7932BD6D" w:rsidR="00ED0C37" w:rsidRDefault="00ED0C37" w:rsidP="008E2215">
            <w:pPr>
              <w:rPr>
                <w:rFonts w:cs="Calibri"/>
                <w:b/>
                <w:bCs/>
                <w:color w:val="000000"/>
                <w:sz w:val="20"/>
                <w:szCs w:val="20"/>
              </w:rPr>
            </w:pPr>
            <w:r>
              <w:rPr>
                <w:rFonts w:cs="Calibri"/>
                <w:b/>
                <w:bCs/>
                <w:color w:val="000000"/>
                <w:sz w:val="20"/>
                <w:szCs w:val="20"/>
              </w:rPr>
              <w:t>1112NPRR</w:t>
            </w:r>
          </w:p>
        </w:tc>
        <w:tc>
          <w:tcPr>
            <w:tcW w:w="5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7F71D" w14:textId="1216C160" w:rsidR="00ED0C37" w:rsidRDefault="00ED0C37" w:rsidP="008E2215">
            <w:pPr>
              <w:rPr>
                <w:rFonts w:cs="Calibri"/>
                <w:b/>
                <w:bCs/>
                <w:color w:val="000000"/>
                <w:sz w:val="20"/>
                <w:szCs w:val="20"/>
              </w:rPr>
            </w:pPr>
            <w:r>
              <w:rPr>
                <w:rFonts w:cs="Calibri"/>
                <w:b/>
                <w:bCs/>
                <w:color w:val="000000"/>
                <w:sz w:val="20"/>
                <w:szCs w:val="20"/>
              </w:rPr>
              <w:t xml:space="preserve">Reduction of Unsecured Credit Limits.  </w:t>
            </w:r>
            <w:r>
              <w:rPr>
                <w:rFonts w:cs="Calibri"/>
                <w:color w:val="000000"/>
                <w:sz w:val="20"/>
                <w:szCs w:val="20"/>
              </w:rPr>
              <w:t>This Nodal Protocol Revision Request (NPRR) reduces Unsecured Credit Limits from $50M to $30M within paragraph (2) of Section 16.11.2.  [DME, GSEC, STEC, CPS Energy, GEUS, LCRA, Garland, Southern Power Company, Austin Energy (Joint Sponsors)]</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FC463" w14:textId="0E053288" w:rsidR="00ED0C37" w:rsidRDefault="00ED0C37" w:rsidP="008E2215">
            <w:pPr>
              <w:jc w:val="center"/>
              <w:rPr>
                <w:color w:val="000000"/>
                <w:sz w:val="20"/>
                <w:szCs w:val="20"/>
              </w:rPr>
            </w:pPr>
            <w:r>
              <w:rPr>
                <w:rFonts w:cs="Calibri"/>
                <w:color w:val="000000"/>
                <w:sz w:val="20"/>
                <w:szCs w:val="20"/>
              </w:rPr>
              <w:t>Y</w:t>
            </w:r>
          </w:p>
        </w:tc>
        <w:tc>
          <w:tcPr>
            <w:tcW w:w="2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18B0F" w14:textId="2BEAC4E5" w:rsidR="00ED0C37" w:rsidRDefault="00ED0C37" w:rsidP="008E2215">
            <w:pPr>
              <w:rPr>
                <w:sz w:val="20"/>
                <w:szCs w:val="20"/>
              </w:rPr>
            </w:pPr>
            <w:r>
              <w:rPr>
                <w:sz w:val="20"/>
                <w:szCs w:val="20"/>
              </w:rPr>
              <w:t xml:space="preserve">ERCOT does not support approval of the PRS-recommended version of NPRR1112 </w:t>
            </w:r>
          </w:p>
        </w:tc>
        <w:tc>
          <w:tcPr>
            <w:tcW w:w="4617" w:type="dxa"/>
            <w:tcBorders>
              <w:top w:val="single" w:sz="4" w:space="0" w:color="auto"/>
              <w:left w:val="single" w:sz="4" w:space="0" w:color="auto"/>
              <w:bottom w:val="single" w:sz="4" w:space="0" w:color="auto"/>
              <w:right w:val="single" w:sz="4" w:space="0" w:color="auto"/>
            </w:tcBorders>
          </w:tcPr>
          <w:p w14:paraId="50107F90" w14:textId="14413371" w:rsidR="00ED0C37" w:rsidRPr="00321F9E" w:rsidRDefault="00ED0C37" w:rsidP="008E2215">
            <w:pPr>
              <w:rPr>
                <w:color w:val="FF0000"/>
              </w:rPr>
            </w:pPr>
            <w:r w:rsidRPr="00321F9E">
              <w:rPr>
                <w:sz w:val="20"/>
                <w:szCs w:val="20"/>
              </w:rPr>
              <w:t xml:space="preserve">ERCOT Staff has reviewed NPRR1112 and believes the market impact for NPRR1112 as </w:t>
            </w:r>
            <w:r>
              <w:rPr>
                <w:sz w:val="20"/>
                <w:szCs w:val="20"/>
              </w:rPr>
              <w:t>recommended</w:t>
            </w:r>
            <w:r w:rsidRPr="00321F9E">
              <w:rPr>
                <w:sz w:val="20"/>
                <w:szCs w:val="20"/>
              </w:rPr>
              <w:t xml:space="preserve"> by PRS will lead to little to no improvement to ERCOT’s credit risk profile and will maintain the subsidization of credit for eligible Entities by ineligible Entities</w:t>
            </w:r>
          </w:p>
        </w:tc>
      </w:tr>
      <w:tr w:rsidR="00ED0C37" w14:paraId="1513053A" w14:textId="77777777" w:rsidTr="00ED0C3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CF38E" w14:textId="25A7CC62" w:rsidR="00ED0C37" w:rsidRDefault="00ED0C37" w:rsidP="008E2215">
            <w:pPr>
              <w:rPr>
                <w:rFonts w:cs="Calibri"/>
                <w:b/>
                <w:bCs/>
                <w:color w:val="000000"/>
                <w:sz w:val="20"/>
                <w:szCs w:val="20"/>
              </w:rPr>
            </w:pPr>
            <w:r>
              <w:rPr>
                <w:rFonts w:cs="Calibri"/>
                <w:b/>
                <w:bCs/>
                <w:color w:val="000000"/>
                <w:sz w:val="20"/>
                <w:szCs w:val="20"/>
              </w:rPr>
              <w:t>1124NPRR</w:t>
            </w:r>
          </w:p>
        </w:tc>
        <w:tc>
          <w:tcPr>
            <w:tcW w:w="5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86761" w14:textId="3D555653" w:rsidR="00ED0C37" w:rsidRDefault="00ED0C37" w:rsidP="008E2215">
            <w:pPr>
              <w:rPr>
                <w:rFonts w:cs="Calibri"/>
                <w:b/>
                <w:bCs/>
                <w:color w:val="000000"/>
                <w:sz w:val="20"/>
                <w:szCs w:val="20"/>
              </w:rPr>
            </w:pPr>
            <w:r>
              <w:rPr>
                <w:rFonts w:cs="Calibri"/>
                <w:b/>
                <w:bCs/>
                <w:color w:val="000000"/>
                <w:sz w:val="20"/>
                <w:szCs w:val="20"/>
              </w:rPr>
              <w:t xml:space="preserve">Recovering Actual Fuel Costs through RUC Guarantee. </w:t>
            </w:r>
            <w:r>
              <w:rPr>
                <w:rFonts w:cs="Calibri"/>
                <w:color w:val="000000"/>
                <w:sz w:val="20"/>
                <w:szCs w:val="20"/>
              </w:rPr>
              <w:t xml:space="preserve"> This Nodal Protocol Revision Request (NPRR) proposes a change to ensure Generation Resources recover their actual fuel costs when instructed to start due to a RUC.  Specifically, this NPRR recommends that the Startup Price per start (SUPR) and the Minimum-Energy Price (MEPR), as defined in paragraph (6) of Section 5.7.1.1, RUC Guarantee, will be set to the Startup Cap </w:t>
            </w:r>
            <w:r>
              <w:rPr>
                <w:rFonts w:cs="Calibri"/>
                <w:color w:val="000000"/>
                <w:sz w:val="20"/>
                <w:szCs w:val="20"/>
              </w:rPr>
              <w:lastRenderedPageBreak/>
              <w:t>(SUCAP) and the Minimum-Energy Cap (MECAP), respectively, utilizing the actual approved fuel price paid.  [ERCOT]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B115" w14:textId="0DDD8AC4" w:rsidR="00ED0C37" w:rsidRDefault="00ED0C37" w:rsidP="008E2215">
            <w:pPr>
              <w:jc w:val="center"/>
              <w:rPr>
                <w:color w:val="000000"/>
                <w:sz w:val="20"/>
                <w:szCs w:val="20"/>
              </w:rPr>
            </w:pPr>
            <w:r>
              <w:rPr>
                <w:rFonts w:cs="Calibri"/>
                <w:color w:val="000000"/>
                <w:sz w:val="20"/>
                <w:szCs w:val="20"/>
              </w:rPr>
              <w:lastRenderedPageBreak/>
              <w:t>Y</w:t>
            </w:r>
          </w:p>
        </w:tc>
        <w:tc>
          <w:tcPr>
            <w:tcW w:w="2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0AE5" w14:textId="19EDEE64" w:rsidR="00ED0C37" w:rsidRDefault="00ED0C37" w:rsidP="008E2215">
            <w:pPr>
              <w:rPr>
                <w:sz w:val="20"/>
                <w:szCs w:val="20"/>
              </w:rPr>
            </w:pPr>
            <w:r>
              <w:rPr>
                <w:sz w:val="20"/>
                <w:szCs w:val="20"/>
              </w:rPr>
              <w:t>ERCOT supports approval of NPRR1124</w:t>
            </w:r>
          </w:p>
        </w:tc>
        <w:tc>
          <w:tcPr>
            <w:tcW w:w="4617" w:type="dxa"/>
            <w:tcBorders>
              <w:top w:val="single" w:sz="4" w:space="0" w:color="auto"/>
              <w:left w:val="single" w:sz="4" w:space="0" w:color="auto"/>
              <w:bottom w:val="single" w:sz="4" w:space="0" w:color="auto"/>
              <w:right w:val="single" w:sz="4" w:space="0" w:color="auto"/>
            </w:tcBorders>
          </w:tcPr>
          <w:p w14:paraId="2549A386" w14:textId="71F9484C" w:rsidR="00ED0C37" w:rsidRDefault="00ED0C37" w:rsidP="008E2215">
            <w:pPr>
              <w:rPr>
                <w:sz w:val="20"/>
                <w:szCs w:val="20"/>
              </w:rPr>
            </w:pPr>
            <w:r w:rsidRPr="007A3FD4">
              <w:rPr>
                <w:sz w:val="20"/>
                <w:szCs w:val="20"/>
              </w:rPr>
              <w:t>ERCOT Staff has reviewed NPRR1124 and believes the market impact for NPRR1124 will be to allow Generation Resources to recover fuel costs to Start and operate the Resource at the minimum energy level by setting the SUPR and MEPR to the SUCAP and MECAP, respectively, utilizing actual approved fuel prices.</w:t>
            </w:r>
          </w:p>
        </w:tc>
      </w:tr>
      <w:tr w:rsidR="00ED0C37" w14:paraId="35D537A6" w14:textId="77777777" w:rsidTr="00ED0C3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C1AE" w14:textId="4BB14E9D" w:rsidR="00ED0C37" w:rsidRDefault="00ED0C37" w:rsidP="008E2215">
            <w:pPr>
              <w:rPr>
                <w:rFonts w:cs="Calibri"/>
                <w:b/>
                <w:bCs/>
                <w:color w:val="000000"/>
                <w:sz w:val="20"/>
                <w:szCs w:val="20"/>
              </w:rPr>
            </w:pPr>
            <w:r>
              <w:rPr>
                <w:rFonts w:cs="Calibri"/>
                <w:b/>
                <w:bCs/>
                <w:color w:val="000000"/>
                <w:sz w:val="20"/>
                <w:szCs w:val="20"/>
              </w:rPr>
              <w:t>1125NPRR</w:t>
            </w:r>
          </w:p>
        </w:tc>
        <w:tc>
          <w:tcPr>
            <w:tcW w:w="5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D0BED" w14:textId="0721482A" w:rsidR="00ED0C37" w:rsidRDefault="00ED0C37" w:rsidP="008E2215">
            <w:pPr>
              <w:rPr>
                <w:rFonts w:cs="Calibri"/>
                <w:b/>
                <w:bCs/>
                <w:color w:val="000000"/>
                <w:sz w:val="20"/>
                <w:szCs w:val="20"/>
              </w:rPr>
            </w:pPr>
            <w:r>
              <w:rPr>
                <w:rFonts w:cs="Calibri"/>
                <w:b/>
                <w:bCs/>
                <w:color w:val="000000"/>
                <w:sz w:val="20"/>
                <w:szCs w:val="20"/>
              </w:rPr>
              <w:t xml:space="preserve">Use of Financial Security for Securitization Default Charge and Securitization Uplift Charge Invoices and Escrow Deposit Requests.  </w:t>
            </w:r>
            <w:r>
              <w:rPr>
                <w:rFonts w:cs="Calibri"/>
                <w:color w:val="000000"/>
                <w:sz w:val="20"/>
                <w:szCs w:val="20"/>
              </w:rPr>
              <w:t>This Nodal Protocol Revision Request (NPRR) clarifies that in the event of a Payment Default with respect to either PURA Subchapter M Securitization Default Charges, or PURA Subchapter N Securitization Uplift Charges, ERCOT may utilize available Financial Security held with respect to other ERCOT market activities. In the event of concurrent Payment Defaults for either Invoices or escrow deposit requests, this NPRR also specifies the prioritization for the application of Financial Security to these defaults.  [ERCOT]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F4329" w14:textId="22DA2743" w:rsidR="00ED0C37" w:rsidRDefault="00ED0C37" w:rsidP="008E2215">
            <w:pPr>
              <w:jc w:val="center"/>
              <w:rPr>
                <w:color w:val="000000"/>
                <w:sz w:val="20"/>
                <w:szCs w:val="20"/>
              </w:rPr>
            </w:pPr>
            <w:r>
              <w:rPr>
                <w:rFonts w:cs="Calibri"/>
                <w:color w:val="000000"/>
                <w:sz w:val="20"/>
                <w:szCs w:val="20"/>
              </w:rPr>
              <w:t>Y</w:t>
            </w:r>
          </w:p>
        </w:tc>
        <w:tc>
          <w:tcPr>
            <w:tcW w:w="2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36AEC" w14:textId="7B361355" w:rsidR="00ED0C37" w:rsidRDefault="00ED0C37" w:rsidP="008E2215">
            <w:pPr>
              <w:rPr>
                <w:sz w:val="20"/>
                <w:szCs w:val="20"/>
              </w:rPr>
            </w:pPr>
            <w:r>
              <w:rPr>
                <w:sz w:val="20"/>
                <w:szCs w:val="20"/>
              </w:rPr>
              <w:t>ERCOT supports approval of NPRR1125</w:t>
            </w:r>
          </w:p>
        </w:tc>
        <w:tc>
          <w:tcPr>
            <w:tcW w:w="4617" w:type="dxa"/>
            <w:tcBorders>
              <w:top w:val="single" w:sz="4" w:space="0" w:color="auto"/>
              <w:left w:val="single" w:sz="4" w:space="0" w:color="auto"/>
              <w:bottom w:val="single" w:sz="4" w:space="0" w:color="auto"/>
              <w:right w:val="single" w:sz="4" w:space="0" w:color="auto"/>
            </w:tcBorders>
          </w:tcPr>
          <w:p w14:paraId="76C9C69C" w14:textId="3AFF9D67" w:rsidR="00ED0C37" w:rsidRDefault="00ED0C37" w:rsidP="008E2215">
            <w:pPr>
              <w:rPr>
                <w:sz w:val="20"/>
                <w:szCs w:val="20"/>
              </w:rPr>
            </w:pPr>
            <w:r w:rsidRPr="00321F9E">
              <w:rPr>
                <w:sz w:val="20"/>
                <w:szCs w:val="20"/>
              </w:rPr>
              <w:t xml:space="preserve">ERCOT Staff has reviewed NPRR1125 and believes the market impact for NPRR1125 clarifies how ERCOT, as </w:t>
            </w:r>
            <w:r>
              <w:rPr>
                <w:sz w:val="20"/>
                <w:szCs w:val="20"/>
              </w:rPr>
              <w:t>s</w:t>
            </w:r>
            <w:r w:rsidRPr="00321F9E">
              <w:rPr>
                <w:sz w:val="20"/>
                <w:szCs w:val="20"/>
              </w:rPr>
              <w:t>ervicer for securitization debt, may utilize Financial Security in the event of securitization Payment Defaults.</w:t>
            </w:r>
          </w:p>
        </w:tc>
      </w:tr>
      <w:tr w:rsidR="00ED0C37" w14:paraId="7AF1D825" w14:textId="77777777" w:rsidTr="00ED0C3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39B07" w14:textId="64E39FF9" w:rsidR="00ED0C37" w:rsidRPr="00ED0C37" w:rsidRDefault="00ED0C37" w:rsidP="008E2215">
            <w:pPr>
              <w:rPr>
                <w:rFonts w:asciiTheme="minorHAnsi" w:hAnsiTheme="minorHAnsi" w:cstheme="minorHAnsi"/>
                <w:b/>
                <w:bCs/>
                <w:color w:val="000000"/>
                <w:sz w:val="20"/>
                <w:szCs w:val="20"/>
              </w:rPr>
            </w:pPr>
            <w:r w:rsidRPr="00ED0C37">
              <w:rPr>
                <w:rFonts w:asciiTheme="minorHAnsi" w:hAnsiTheme="minorHAnsi" w:cstheme="minorHAnsi"/>
                <w:b/>
                <w:bCs/>
                <w:color w:val="000000"/>
                <w:sz w:val="20"/>
                <w:szCs w:val="20"/>
              </w:rPr>
              <w:t>239NOGRR</w:t>
            </w:r>
          </w:p>
        </w:tc>
        <w:tc>
          <w:tcPr>
            <w:tcW w:w="5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F45DE" w14:textId="7CF0C36E" w:rsidR="00ED0C37" w:rsidRPr="00ED0C37" w:rsidRDefault="00ED0C37" w:rsidP="008E2215">
            <w:pPr>
              <w:rPr>
                <w:rFonts w:asciiTheme="minorHAnsi" w:hAnsiTheme="minorHAnsi" w:cstheme="minorHAnsi"/>
                <w:b/>
                <w:bCs/>
                <w:color w:val="000000"/>
                <w:sz w:val="20"/>
                <w:szCs w:val="20"/>
              </w:rPr>
            </w:pPr>
            <w:r w:rsidRPr="00ED0C37">
              <w:rPr>
                <w:rFonts w:asciiTheme="minorHAnsi" w:hAnsiTheme="minorHAnsi" w:cstheme="minorHAnsi"/>
                <w:b/>
                <w:bCs/>
                <w:color w:val="000000"/>
                <w:sz w:val="20"/>
                <w:szCs w:val="20"/>
              </w:rPr>
              <w:t xml:space="preserve">WAN Data Protection Responsibilities.  </w:t>
            </w:r>
            <w:r w:rsidRPr="00ED0C37">
              <w:rPr>
                <w:rFonts w:asciiTheme="minorHAnsi" w:hAnsiTheme="minorHAnsi" w:cstheme="minorHAnsi"/>
                <w:color w:val="000000"/>
                <w:sz w:val="20"/>
                <w:szCs w:val="20"/>
              </w:rPr>
              <w:t>This Nodal Operating Guide Revision Request (NOGRR) adds language to Section 7.1 to delineate the responsibilities of providing security for data transmitted between ERCOT, Qualified Scheduling Entities (QSEs), and Transmission Operators (TOs) as follows: Establishes the “handoff” of data transmitted between ERCOT and QSEs/TOs to be at the ERCOT-managed router located at each WAN Participant’s WAN demarcation point; Establishes that ERCOT will manage data encryption keys for data transmitted between ERCOT and the ERCOT-managed router located at each WAN Participant’s WAN demarcation point; and Establishes that QSEs and TOs are responsible for any data protection downstream of the ERCOT-managed router located at each WAN Participant’s WAN demarcation point.  [ERCOT]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825D3" w14:textId="77777777" w:rsidR="00ED0C37" w:rsidRPr="00ED0C37" w:rsidRDefault="00ED0C37" w:rsidP="008E2215">
            <w:pPr>
              <w:jc w:val="center"/>
              <w:rPr>
                <w:rFonts w:asciiTheme="minorHAnsi" w:hAnsiTheme="minorHAnsi" w:cstheme="minorHAnsi"/>
                <w:color w:val="000000"/>
                <w:sz w:val="20"/>
                <w:szCs w:val="20"/>
              </w:rPr>
            </w:pPr>
          </w:p>
        </w:tc>
        <w:tc>
          <w:tcPr>
            <w:tcW w:w="2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A795" w14:textId="4811C1DE" w:rsidR="00ED0C37" w:rsidRPr="00ED0C37" w:rsidRDefault="00ED0C37" w:rsidP="0060557A">
            <w:pPr>
              <w:rPr>
                <w:sz w:val="20"/>
                <w:szCs w:val="20"/>
              </w:rPr>
            </w:pPr>
            <w:r w:rsidRPr="00ED0C37">
              <w:rPr>
                <w:sz w:val="20"/>
                <w:szCs w:val="20"/>
              </w:rPr>
              <w:t>ERCOT supports approval of NOGRR239</w:t>
            </w:r>
          </w:p>
          <w:p w14:paraId="40D8C320" w14:textId="671370E7" w:rsidR="00ED0C37" w:rsidRPr="00ED0C37" w:rsidRDefault="00ED0C37" w:rsidP="008E2215">
            <w:pPr>
              <w:rPr>
                <w:sz w:val="20"/>
                <w:szCs w:val="20"/>
              </w:rPr>
            </w:pPr>
          </w:p>
        </w:tc>
        <w:tc>
          <w:tcPr>
            <w:tcW w:w="4617" w:type="dxa"/>
            <w:tcBorders>
              <w:top w:val="single" w:sz="4" w:space="0" w:color="auto"/>
              <w:left w:val="single" w:sz="4" w:space="0" w:color="auto"/>
              <w:bottom w:val="single" w:sz="4" w:space="0" w:color="auto"/>
              <w:right w:val="single" w:sz="4" w:space="0" w:color="auto"/>
            </w:tcBorders>
          </w:tcPr>
          <w:p w14:paraId="04D9BAD3" w14:textId="77777777" w:rsidR="00ED0C37" w:rsidRPr="0060557A" w:rsidRDefault="00ED0C37" w:rsidP="0060557A">
            <w:pPr>
              <w:pStyle w:val="NormalArial"/>
              <w:spacing w:before="120" w:after="120"/>
              <w:rPr>
                <w:rFonts w:ascii="Calibri" w:hAnsi="Calibri" w:cs="Times New Roman"/>
                <w:sz w:val="20"/>
                <w:szCs w:val="20"/>
              </w:rPr>
            </w:pPr>
            <w:r w:rsidRPr="00ED0C37">
              <w:rPr>
                <w:rFonts w:ascii="Calibri" w:hAnsi="Calibri" w:cs="Times New Roman"/>
                <w:sz w:val="20"/>
                <w:szCs w:val="20"/>
              </w:rPr>
              <w:t>ERCOT Staff has reviewed NOGRR239 and believes the market impact for NOGRR239 will assist certain entities in developing their plans required by NERC Reliability Standard CIP-012-1, Cyber Security – Communications between Control Centers by defining responsibilities for data transmitted between ERCOT and NERC-registered Generator Operators/Transmission Operators.</w:t>
            </w:r>
          </w:p>
          <w:p w14:paraId="56C266E2" w14:textId="77777777" w:rsidR="00ED0C37" w:rsidRPr="0060557A" w:rsidRDefault="00ED0C37" w:rsidP="0060557A">
            <w:pPr>
              <w:rPr>
                <w:sz w:val="20"/>
                <w:szCs w:val="20"/>
              </w:rPr>
            </w:pPr>
          </w:p>
        </w:tc>
      </w:tr>
      <w:bookmarkEnd w:id="0"/>
    </w:tbl>
    <w:p w14:paraId="10BCEE7F" w14:textId="77777777" w:rsidR="00554C6B" w:rsidRPr="0001521E" w:rsidRDefault="00554C6B" w:rsidP="0001521E"/>
    <w:sectPr w:rsidR="00554C6B" w:rsidRPr="0001521E" w:rsidSect="00557905">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FA35" w14:textId="77777777" w:rsidR="00703FFE" w:rsidRDefault="00703FFE" w:rsidP="00985FF4">
      <w:r>
        <w:separator/>
      </w:r>
    </w:p>
  </w:endnote>
  <w:endnote w:type="continuationSeparator" w:id="0">
    <w:p w14:paraId="148A239E" w14:textId="77777777" w:rsidR="00703FFE" w:rsidRDefault="00703FFE"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7311" w14:textId="77777777" w:rsidR="00703FFE" w:rsidRDefault="00703FFE" w:rsidP="00985FF4">
      <w:r>
        <w:separator/>
      </w:r>
    </w:p>
  </w:footnote>
  <w:footnote w:type="continuationSeparator" w:id="0">
    <w:p w14:paraId="2A291A1D" w14:textId="77777777" w:rsidR="00703FFE" w:rsidRDefault="00703FFE" w:rsidP="0098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B47F" w14:textId="746CC933" w:rsidR="00985FF4" w:rsidRDefault="00985FF4" w:rsidP="00985FF4">
    <w:pPr>
      <w:pStyle w:val="Header"/>
      <w:jc w:val="center"/>
    </w:pPr>
    <w:r>
      <w:t xml:space="preserve">ERCOT Opinions </w:t>
    </w:r>
    <w:r w:rsidR="00557905">
      <w:t xml:space="preserve">and ERCOT Market Impact Statements </w:t>
    </w:r>
    <w:r>
      <w:t xml:space="preserve">for the </w:t>
    </w:r>
    <w:r w:rsidR="003D6A28">
      <w:t>0</w:t>
    </w:r>
    <w:r w:rsidR="005D278C">
      <w:t>4/13</w:t>
    </w:r>
    <w:r w:rsidR="0001521E">
      <w:t>/22</w:t>
    </w:r>
    <w:r w:rsidR="00032EC2">
      <w:t xml:space="preserve"> TAC Meeting</w:t>
    </w:r>
  </w:p>
  <w:p w14:paraId="2F5544A1" w14:textId="77777777"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FF4"/>
    <w:rsid w:val="000073FB"/>
    <w:rsid w:val="00014426"/>
    <w:rsid w:val="0001521E"/>
    <w:rsid w:val="00032EC2"/>
    <w:rsid w:val="000A7FEC"/>
    <w:rsid w:val="000B5B40"/>
    <w:rsid w:val="000D0F28"/>
    <w:rsid w:val="000F22EA"/>
    <w:rsid w:val="00101E68"/>
    <w:rsid w:val="0011791D"/>
    <w:rsid w:val="00124255"/>
    <w:rsid w:val="0012461F"/>
    <w:rsid w:val="00131AD8"/>
    <w:rsid w:val="001A11D5"/>
    <w:rsid w:val="001A2D79"/>
    <w:rsid w:val="001B13CF"/>
    <w:rsid w:val="001D2296"/>
    <w:rsid w:val="001F4319"/>
    <w:rsid w:val="00210A3C"/>
    <w:rsid w:val="0023113D"/>
    <w:rsid w:val="00231C14"/>
    <w:rsid w:val="002378E5"/>
    <w:rsid w:val="00293347"/>
    <w:rsid w:val="00320296"/>
    <w:rsid w:val="00320D47"/>
    <w:rsid w:val="003215C0"/>
    <w:rsid w:val="00321F9E"/>
    <w:rsid w:val="003504F7"/>
    <w:rsid w:val="003524E8"/>
    <w:rsid w:val="003A2191"/>
    <w:rsid w:val="003B12BD"/>
    <w:rsid w:val="003D6A28"/>
    <w:rsid w:val="003F25EE"/>
    <w:rsid w:val="0044443B"/>
    <w:rsid w:val="004447B8"/>
    <w:rsid w:val="004A5D45"/>
    <w:rsid w:val="004E1095"/>
    <w:rsid w:val="004F2E07"/>
    <w:rsid w:val="00502C7D"/>
    <w:rsid w:val="00536692"/>
    <w:rsid w:val="0054089F"/>
    <w:rsid w:val="00554C6B"/>
    <w:rsid w:val="00557905"/>
    <w:rsid w:val="00566AFF"/>
    <w:rsid w:val="0057069B"/>
    <w:rsid w:val="005A278D"/>
    <w:rsid w:val="005D278C"/>
    <w:rsid w:val="005E147E"/>
    <w:rsid w:val="0060557A"/>
    <w:rsid w:val="006256A5"/>
    <w:rsid w:val="0063436F"/>
    <w:rsid w:val="006679D2"/>
    <w:rsid w:val="00672B98"/>
    <w:rsid w:val="006B09E3"/>
    <w:rsid w:val="006B11F5"/>
    <w:rsid w:val="006F1E45"/>
    <w:rsid w:val="00703FFE"/>
    <w:rsid w:val="00715A89"/>
    <w:rsid w:val="00723A40"/>
    <w:rsid w:val="00734E3F"/>
    <w:rsid w:val="007A3FD4"/>
    <w:rsid w:val="007D6858"/>
    <w:rsid w:val="007F3DD6"/>
    <w:rsid w:val="00805A86"/>
    <w:rsid w:val="00813BAC"/>
    <w:rsid w:val="00825E43"/>
    <w:rsid w:val="008874B6"/>
    <w:rsid w:val="008B23B9"/>
    <w:rsid w:val="008E2215"/>
    <w:rsid w:val="008E5BDD"/>
    <w:rsid w:val="008F1FF2"/>
    <w:rsid w:val="00903D39"/>
    <w:rsid w:val="0091176A"/>
    <w:rsid w:val="0096024F"/>
    <w:rsid w:val="00981A1E"/>
    <w:rsid w:val="00985FF4"/>
    <w:rsid w:val="00991077"/>
    <w:rsid w:val="00993006"/>
    <w:rsid w:val="009B27B4"/>
    <w:rsid w:val="009B474D"/>
    <w:rsid w:val="009C5427"/>
    <w:rsid w:val="00A715C7"/>
    <w:rsid w:val="00A94986"/>
    <w:rsid w:val="00AA0971"/>
    <w:rsid w:val="00AA5D58"/>
    <w:rsid w:val="00AC0725"/>
    <w:rsid w:val="00AD50EB"/>
    <w:rsid w:val="00B61A42"/>
    <w:rsid w:val="00B87C79"/>
    <w:rsid w:val="00BD2E29"/>
    <w:rsid w:val="00BD6400"/>
    <w:rsid w:val="00BE7782"/>
    <w:rsid w:val="00BF2584"/>
    <w:rsid w:val="00C174FF"/>
    <w:rsid w:val="00C232E6"/>
    <w:rsid w:val="00C2433B"/>
    <w:rsid w:val="00C44799"/>
    <w:rsid w:val="00C67F93"/>
    <w:rsid w:val="00C80DBA"/>
    <w:rsid w:val="00C846DE"/>
    <w:rsid w:val="00C94AFF"/>
    <w:rsid w:val="00CC25B3"/>
    <w:rsid w:val="00D26039"/>
    <w:rsid w:val="00D436A5"/>
    <w:rsid w:val="00D54ED3"/>
    <w:rsid w:val="00D807DF"/>
    <w:rsid w:val="00DA2A46"/>
    <w:rsid w:val="00DE3961"/>
    <w:rsid w:val="00DF1748"/>
    <w:rsid w:val="00E238B8"/>
    <w:rsid w:val="00E53E2D"/>
    <w:rsid w:val="00E60BF8"/>
    <w:rsid w:val="00E666FF"/>
    <w:rsid w:val="00E71BAA"/>
    <w:rsid w:val="00E76DAD"/>
    <w:rsid w:val="00E950DB"/>
    <w:rsid w:val="00EA187D"/>
    <w:rsid w:val="00ED0C37"/>
    <w:rsid w:val="00F66BDC"/>
    <w:rsid w:val="00F72A15"/>
    <w:rsid w:val="00F73D35"/>
    <w:rsid w:val="00FA2B06"/>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C107"/>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 w:type="character" w:customStyle="1" w:styleId="NormalArialChar">
    <w:name w:val="Normal+Arial Char"/>
    <w:basedOn w:val="DefaultParagraphFont"/>
    <w:link w:val="NormalArial"/>
    <w:locked/>
    <w:rsid w:val="0060557A"/>
    <w:rPr>
      <w:rFonts w:ascii="Arial" w:hAnsi="Arial" w:cs="Arial"/>
    </w:rPr>
  </w:style>
  <w:style w:type="paragraph" w:customStyle="1" w:styleId="NormalArial">
    <w:name w:val="Normal+Arial"/>
    <w:basedOn w:val="Normal"/>
    <w:link w:val="NormalArialChar"/>
    <w:rsid w:val="0060557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797">
      <w:bodyDiv w:val="1"/>
      <w:marLeft w:val="0"/>
      <w:marRight w:val="0"/>
      <w:marTop w:val="0"/>
      <w:marBottom w:val="0"/>
      <w:divBdr>
        <w:top w:val="none" w:sz="0" w:space="0" w:color="auto"/>
        <w:left w:val="none" w:sz="0" w:space="0" w:color="auto"/>
        <w:bottom w:val="none" w:sz="0" w:space="0" w:color="auto"/>
        <w:right w:val="none" w:sz="0" w:space="0" w:color="auto"/>
      </w:divBdr>
    </w:div>
    <w:div w:id="20672275">
      <w:bodyDiv w:val="1"/>
      <w:marLeft w:val="0"/>
      <w:marRight w:val="0"/>
      <w:marTop w:val="0"/>
      <w:marBottom w:val="0"/>
      <w:divBdr>
        <w:top w:val="none" w:sz="0" w:space="0" w:color="auto"/>
        <w:left w:val="none" w:sz="0" w:space="0" w:color="auto"/>
        <w:bottom w:val="none" w:sz="0" w:space="0" w:color="auto"/>
        <w:right w:val="none" w:sz="0" w:space="0" w:color="auto"/>
      </w:divBdr>
    </w:div>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117261542">
      <w:bodyDiv w:val="1"/>
      <w:marLeft w:val="0"/>
      <w:marRight w:val="0"/>
      <w:marTop w:val="0"/>
      <w:marBottom w:val="0"/>
      <w:divBdr>
        <w:top w:val="none" w:sz="0" w:space="0" w:color="auto"/>
        <w:left w:val="none" w:sz="0" w:space="0" w:color="auto"/>
        <w:bottom w:val="none" w:sz="0" w:space="0" w:color="auto"/>
        <w:right w:val="none" w:sz="0" w:space="0" w:color="auto"/>
      </w:divBdr>
    </w:div>
    <w:div w:id="128789716">
      <w:bodyDiv w:val="1"/>
      <w:marLeft w:val="0"/>
      <w:marRight w:val="0"/>
      <w:marTop w:val="0"/>
      <w:marBottom w:val="0"/>
      <w:divBdr>
        <w:top w:val="none" w:sz="0" w:space="0" w:color="auto"/>
        <w:left w:val="none" w:sz="0" w:space="0" w:color="auto"/>
        <w:bottom w:val="none" w:sz="0" w:space="0" w:color="auto"/>
        <w:right w:val="none" w:sz="0" w:space="0" w:color="auto"/>
      </w:divBdr>
    </w:div>
    <w:div w:id="201597525">
      <w:bodyDiv w:val="1"/>
      <w:marLeft w:val="0"/>
      <w:marRight w:val="0"/>
      <w:marTop w:val="0"/>
      <w:marBottom w:val="0"/>
      <w:divBdr>
        <w:top w:val="none" w:sz="0" w:space="0" w:color="auto"/>
        <w:left w:val="none" w:sz="0" w:space="0" w:color="auto"/>
        <w:bottom w:val="none" w:sz="0" w:space="0" w:color="auto"/>
        <w:right w:val="none" w:sz="0" w:space="0" w:color="auto"/>
      </w:divBdr>
    </w:div>
    <w:div w:id="252594840">
      <w:bodyDiv w:val="1"/>
      <w:marLeft w:val="0"/>
      <w:marRight w:val="0"/>
      <w:marTop w:val="0"/>
      <w:marBottom w:val="0"/>
      <w:divBdr>
        <w:top w:val="none" w:sz="0" w:space="0" w:color="auto"/>
        <w:left w:val="none" w:sz="0" w:space="0" w:color="auto"/>
        <w:bottom w:val="none" w:sz="0" w:space="0" w:color="auto"/>
        <w:right w:val="none" w:sz="0" w:space="0" w:color="auto"/>
      </w:divBdr>
    </w:div>
    <w:div w:id="277222086">
      <w:bodyDiv w:val="1"/>
      <w:marLeft w:val="0"/>
      <w:marRight w:val="0"/>
      <w:marTop w:val="0"/>
      <w:marBottom w:val="0"/>
      <w:divBdr>
        <w:top w:val="none" w:sz="0" w:space="0" w:color="auto"/>
        <w:left w:val="none" w:sz="0" w:space="0" w:color="auto"/>
        <w:bottom w:val="none" w:sz="0" w:space="0" w:color="auto"/>
        <w:right w:val="none" w:sz="0" w:space="0" w:color="auto"/>
      </w:divBdr>
    </w:div>
    <w:div w:id="299460016">
      <w:bodyDiv w:val="1"/>
      <w:marLeft w:val="0"/>
      <w:marRight w:val="0"/>
      <w:marTop w:val="0"/>
      <w:marBottom w:val="0"/>
      <w:divBdr>
        <w:top w:val="none" w:sz="0" w:space="0" w:color="auto"/>
        <w:left w:val="none" w:sz="0" w:space="0" w:color="auto"/>
        <w:bottom w:val="none" w:sz="0" w:space="0" w:color="auto"/>
        <w:right w:val="none" w:sz="0" w:space="0" w:color="auto"/>
      </w:divBdr>
    </w:div>
    <w:div w:id="309361485">
      <w:bodyDiv w:val="1"/>
      <w:marLeft w:val="0"/>
      <w:marRight w:val="0"/>
      <w:marTop w:val="0"/>
      <w:marBottom w:val="0"/>
      <w:divBdr>
        <w:top w:val="none" w:sz="0" w:space="0" w:color="auto"/>
        <w:left w:val="none" w:sz="0" w:space="0" w:color="auto"/>
        <w:bottom w:val="none" w:sz="0" w:space="0" w:color="auto"/>
        <w:right w:val="none" w:sz="0" w:space="0" w:color="auto"/>
      </w:divBdr>
    </w:div>
    <w:div w:id="320355680">
      <w:bodyDiv w:val="1"/>
      <w:marLeft w:val="0"/>
      <w:marRight w:val="0"/>
      <w:marTop w:val="0"/>
      <w:marBottom w:val="0"/>
      <w:divBdr>
        <w:top w:val="none" w:sz="0" w:space="0" w:color="auto"/>
        <w:left w:val="none" w:sz="0" w:space="0" w:color="auto"/>
        <w:bottom w:val="none" w:sz="0" w:space="0" w:color="auto"/>
        <w:right w:val="none" w:sz="0" w:space="0" w:color="auto"/>
      </w:divBdr>
    </w:div>
    <w:div w:id="374476658">
      <w:bodyDiv w:val="1"/>
      <w:marLeft w:val="0"/>
      <w:marRight w:val="0"/>
      <w:marTop w:val="0"/>
      <w:marBottom w:val="0"/>
      <w:divBdr>
        <w:top w:val="none" w:sz="0" w:space="0" w:color="auto"/>
        <w:left w:val="none" w:sz="0" w:space="0" w:color="auto"/>
        <w:bottom w:val="none" w:sz="0" w:space="0" w:color="auto"/>
        <w:right w:val="none" w:sz="0" w:space="0" w:color="auto"/>
      </w:divBdr>
    </w:div>
    <w:div w:id="387534336">
      <w:bodyDiv w:val="1"/>
      <w:marLeft w:val="0"/>
      <w:marRight w:val="0"/>
      <w:marTop w:val="0"/>
      <w:marBottom w:val="0"/>
      <w:divBdr>
        <w:top w:val="none" w:sz="0" w:space="0" w:color="auto"/>
        <w:left w:val="none" w:sz="0" w:space="0" w:color="auto"/>
        <w:bottom w:val="none" w:sz="0" w:space="0" w:color="auto"/>
        <w:right w:val="none" w:sz="0" w:space="0" w:color="auto"/>
      </w:divBdr>
    </w:div>
    <w:div w:id="399668657">
      <w:bodyDiv w:val="1"/>
      <w:marLeft w:val="0"/>
      <w:marRight w:val="0"/>
      <w:marTop w:val="0"/>
      <w:marBottom w:val="0"/>
      <w:divBdr>
        <w:top w:val="none" w:sz="0" w:space="0" w:color="auto"/>
        <w:left w:val="none" w:sz="0" w:space="0" w:color="auto"/>
        <w:bottom w:val="none" w:sz="0" w:space="0" w:color="auto"/>
        <w:right w:val="none" w:sz="0" w:space="0" w:color="auto"/>
      </w:divBdr>
    </w:div>
    <w:div w:id="400564386">
      <w:bodyDiv w:val="1"/>
      <w:marLeft w:val="0"/>
      <w:marRight w:val="0"/>
      <w:marTop w:val="0"/>
      <w:marBottom w:val="0"/>
      <w:divBdr>
        <w:top w:val="none" w:sz="0" w:space="0" w:color="auto"/>
        <w:left w:val="none" w:sz="0" w:space="0" w:color="auto"/>
        <w:bottom w:val="none" w:sz="0" w:space="0" w:color="auto"/>
        <w:right w:val="none" w:sz="0" w:space="0" w:color="auto"/>
      </w:divBdr>
    </w:div>
    <w:div w:id="486745387">
      <w:bodyDiv w:val="1"/>
      <w:marLeft w:val="0"/>
      <w:marRight w:val="0"/>
      <w:marTop w:val="0"/>
      <w:marBottom w:val="0"/>
      <w:divBdr>
        <w:top w:val="none" w:sz="0" w:space="0" w:color="auto"/>
        <w:left w:val="none" w:sz="0" w:space="0" w:color="auto"/>
        <w:bottom w:val="none" w:sz="0" w:space="0" w:color="auto"/>
        <w:right w:val="none" w:sz="0" w:space="0" w:color="auto"/>
      </w:divBdr>
    </w:div>
    <w:div w:id="569391016">
      <w:bodyDiv w:val="1"/>
      <w:marLeft w:val="0"/>
      <w:marRight w:val="0"/>
      <w:marTop w:val="0"/>
      <w:marBottom w:val="0"/>
      <w:divBdr>
        <w:top w:val="none" w:sz="0" w:space="0" w:color="auto"/>
        <w:left w:val="none" w:sz="0" w:space="0" w:color="auto"/>
        <w:bottom w:val="none" w:sz="0" w:space="0" w:color="auto"/>
        <w:right w:val="none" w:sz="0" w:space="0" w:color="auto"/>
      </w:divBdr>
    </w:div>
    <w:div w:id="575475117">
      <w:bodyDiv w:val="1"/>
      <w:marLeft w:val="0"/>
      <w:marRight w:val="0"/>
      <w:marTop w:val="0"/>
      <w:marBottom w:val="0"/>
      <w:divBdr>
        <w:top w:val="none" w:sz="0" w:space="0" w:color="auto"/>
        <w:left w:val="none" w:sz="0" w:space="0" w:color="auto"/>
        <w:bottom w:val="none" w:sz="0" w:space="0" w:color="auto"/>
        <w:right w:val="none" w:sz="0" w:space="0" w:color="auto"/>
      </w:divBdr>
    </w:div>
    <w:div w:id="586500506">
      <w:bodyDiv w:val="1"/>
      <w:marLeft w:val="0"/>
      <w:marRight w:val="0"/>
      <w:marTop w:val="0"/>
      <w:marBottom w:val="0"/>
      <w:divBdr>
        <w:top w:val="none" w:sz="0" w:space="0" w:color="auto"/>
        <w:left w:val="none" w:sz="0" w:space="0" w:color="auto"/>
        <w:bottom w:val="none" w:sz="0" w:space="0" w:color="auto"/>
        <w:right w:val="none" w:sz="0" w:space="0" w:color="auto"/>
      </w:divBdr>
    </w:div>
    <w:div w:id="634944373">
      <w:bodyDiv w:val="1"/>
      <w:marLeft w:val="0"/>
      <w:marRight w:val="0"/>
      <w:marTop w:val="0"/>
      <w:marBottom w:val="0"/>
      <w:divBdr>
        <w:top w:val="none" w:sz="0" w:space="0" w:color="auto"/>
        <w:left w:val="none" w:sz="0" w:space="0" w:color="auto"/>
        <w:bottom w:val="none" w:sz="0" w:space="0" w:color="auto"/>
        <w:right w:val="none" w:sz="0" w:space="0" w:color="auto"/>
      </w:divBdr>
    </w:div>
    <w:div w:id="640234435">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799686778">
      <w:bodyDiv w:val="1"/>
      <w:marLeft w:val="0"/>
      <w:marRight w:val="0"/>
      <w:marTop w:val="0"/>
      <w:marBottom w:val="0"/>
      <w:divBdr>
        <w:top w:val="none" w:sz="0" w:space="0" w:color="auto"/>
        <w:left w:val="none" w:sz="0" w:space="0" w:color="auto"/>
        <w:bottom w:val="none" w:sz="0" w:space="0" w:color="auto"/>
        <w:right w:val="none" w:sz="0" w:space="0" w:color="auto"/>
      </w:divBdr>
    </w:div>
    <w:div w:id="866137790">
      <w:bodyDiv w:val="1"/>
      <w:marLeft w:val="0"/>
      <w:marRight w:val="0"/>
      <w:marTop w:val="0"/>
      <w:marBottom w:val="0"/>
      <w:divBdr>
        <w:top w:val="none" w:sz="0" w:space="0" w:color="auto"/>
        <w:left w:val="none" w:sz="0" w:space="0" w:color="auto"/>
        <w:bottom w:val="none" w:sz="0" w:space="0" w:color="auto"/>
        <w:right w:val="none" w:sz="0" w:space="0" w:color="auto"/>
      </w:divBdr>
    </w:div>
    <w:div w:id="881475590">
      <w:bodyDiv w:val="1"/>
      <w:marLeft w:val="0"/>
      <w:marRight w:val="0"/>
      <w:marTop w:val="0"/>
      <w:marBottom w:val="0"/>
      <w:divBdr>
        <w:top w:val="none" w:sz="0" w:space="0" w:color="auto"/>
        <w:left w:val="none" w:sz="0" w:space="0" w:color="auto"/>
        <w:bottom w:val="none" w:sz="0" w:space="0" w:color="auto"/>
        <w:right w:val="none" w:sz="0" w:space="0" w:color="auto"/>
      </w:divBdr>
    </w:div>
    <w:div w:id="886452624">
      <w:bodyDiv w:val="1"/>
      <w:marLeft w:val="0"/>
      <w:marRight w:val="0"/>
      <w:marTop w:val="0"/>
      <w:marBottom w:val="0"/>
      <w:divBdr>
        <w:top w:val="none" w:sz="0" w:space="0" w:color="auto"/>
        <w:left w:val="none" w:sz="0" w:space="0" w:color="auto"/>
        <w:bottom w:val="none" w:sz="0" w:space="0" w:color="auto"/>
        <w:right w:val="none" w:sz="0" w:space="0" w:color="auto"/>
      </w:divBdr>
    </w:div>
    <w:div w:id="888421375">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938179406">
      <w:bodyDiv w:val="1"/>
      <w:marLeft w:val="0"/>
      <w:marRight w:val="0"/>
      <w:marTop w:val="0"/>
      <w:marBottom w:val="0"/>
      <w:divBdr>
        <w:top w:val="none" w:sz="0" w:space="0" w:color="auto"/>
        <w:left w:val="none" w:sz="0" w:space="0" w:color="auto"/>
        <w:bottom w:val="none" w:sz="0" w:space="0" w:color="auto"/>
        <w:right w:val="none" w:sz="0" w:space="0" w:color="auto"/>
      </w:divBdr>
    </w:div>
    <w:div w:id="975255690">
      <w:bodyDiv w:val="1"/>
      <w:marLeft w:val="0"/>
      <w:marRight w:val="0"/>
      <w:marTop w:val="0"/>
      <w:marBottom w:val="0"/>
      <w:divBdr>
        <w:top w:val="none" w:sz="0" w:space="0" w:color="auto"/>
        <w:left w:val="none" w:sz="0" w:space="0" w:color="auto"/>
        <w:bottom w:val="none" w:sz="0" w:space="0" w:color="auto"/>
        <w:right w:val="none" w:sz="0" w:space="0" w:color="auto"/>
      </w:divBdr>
    </w:div>
    <w:div w:id="987436892">
      <w:bodyDiv w:val="1"/>
      <w:marLeft w:val="0"/>
      <w:marRight w:val="0"/>
      <w:marTop w:val="0"/>
      <w:marBottom w:val="0"/>
      <w:divBdr>
        <w:top w:val="none" w:sz="0" w:space="0" w:color="auto"/>
        <w:left w:val="none" w:sz="0" w:space="0" w:color="auto"/>
        <w:bottom w:val="none" w:sz="0" w:space="0" w:color="auto"/>
        <w:right w:val="none" w:sz="0" w:space="0" w:color="auto"/>
      </w:divBdr>
    </w:div>
    <w:div w:id="1044254074">
      <w:bodyDiv w:val="1"/>
      <w:marLeft w:val="0"/>
      <w:marRight w:val="0"/>
      <w:marTop w:val="0"/>
      <w:marBottom w:val="0"/>
      <w:divBdr>
        <w:top w:val="none" w:sz="0" w:space="0" w:color="auto"/>
        <w:left w:val="none" w:sz="0" w:space="0" w:color="auto"/>
        <w:bottom w:val="none" w:sz="0" w:space="0" w:color="auto"/>
        <w:right w:val="none" w:sz="0" w:space="0" w:color="auto"/>
      </w:divBdr>
    </w:div>
    <w:div w:id="1076709242">
      <w:bodyDiv w:val="1"/>
      <w:marLeft w:val="0"/>
      <w:marRight w:val="0"/>
      <w:marTop w:val="0"/>
      <w:marBottom w:val="0"/>
      <w:divBdr>
        <w:top w:val="none" w:sz="0" w:space="0" w:color="auto"/>
        <w:left w:val="none" w:sz="0" w:space="0" w:color="auto"/>
        <w:bottom w:val="none" w:sz="0" w:space="0" w:color="auto"/>
        <w:right w:val="none" w:sz="0" w:space="0" w:color="auto"/>
      </w:divBdr>
    </w:div>
    <w:div w:id="1081294511">
      <w:bodyDiv w:val="1"/>
      <w:marLeft w:val="0"/>
      <w:marRight w:val="0"/>
      <w:marTop w:val="0"/>
      <w:marBottom w:val="0"/>
      <w:divBdr>
        <w:top w:val="none" w:sz="0" w:space="0" w:color="auto"/>
        <w:left w:val="none" w:sz="0" w:space="0" w:color="auto"/>
        <w:bottom w:val="none" w:sz="0" w:space="0" w:color="auto"/>
        <w:right w:val="none" w:sz="0" w:space="0" w:color="auto"/>
      </w:divBdr>
    </w:div>
    <w:div w:id="1137064366">
      <w:bodyDiv w:val="1"/>
      <w:marLeft w:val="0"/>
      <w:marRight w:val="0"/>
      <w:marTop w:val="0"/>
      <w:marBottom w:val="0"/>
      <w:divBdr>
        <w:top w:val="none" w:sz="0" w:space="0" w:color="auto"/>
        <w:left w:val="none" w:sz="0" w:space="0" w:color="auto"/>
        <w:bottom w:val="none" w:sz="0" w:space="0" w:color="auto"/>
        <w:right w:val="none" w:sz="0" w:space="0" w:color="auto"/>
      </w:divBdr>
    </w:div>
    <w:div w:id="1175799821">
      <w:bodyDiv w:val="1"/>
      <w:marLeft w:val="0"/>
      <w:marRight w:val="0"/>
      <w:marTop w:val="0"/>
      <w:marBottom w:val="0"/>
      <w:divBdr>
        <w:top w:val="none" w:sz="0" w:space="0" w:color="auto"/>
        <w:left w:val="none" w:sz="0" w:space="0" w:color="auto"/>
        <w:bottom w:val="none" w:sz="0" w:space="0" w:color="auto"/>
        <w:right w:val="none" w:sz="0" w:space="0" w:color="auto"/>
      </w:divBdr>
    </w:div>
    <w:div w:id="1225720700">
      <w:bodyDiv w:val="1"/>
      <w:marLeft w:val="0"/>
      <w:marRight w:val="0"/>
      <w:marTop w:val="0"/>
      <w:marBottom w:val="0"/>
      <w:divBdr>
        <w:top w:val="none" w:sz="0" w:space="0" w:color="auto"/>
        <w:left w:val="none" w:sz="0" w:space="0" w:color="auto"/>
        <w:bottom w:val="none" w:sz="0" w:space="0" w:color="auto"/>
        <w:right w:val="none" w:sz="0" w:space="0" w:color="auto"/>
      </w:divBdr>
    </w:div>
    <w:div w:id="1229805086">
      <w:bodyDiv w:val="1"/>
      <w:marLeft w:val="0"/>
      <w:marRight w:val="0"/>
      <w:marTop w:val="0"/>
      <w:marBottom w:val="0"/>
      <w:divBdr>
        <w:top w:val="none" w:sz="0" w:space="0" w:color="auto"/>
        <w:left w:val="none" w:sz="0" w:space="0" w:color="auto"/>
        <w:bottom w:val="none" w:sz="0" w:space="0" w:color="auto"/>
        <w:right w:val="none" w:sz="0" w:space="0" w:color="auto"/>
      </w:divBdr>
    </w:div>
    <w:div w:id="1283027657">
      <w:bodyDiv w:val="1"/>
      <w:marLeft w:val="0"/>
      <w:marRight w:val="0"/>
      <w:marTop w:val="0"/>
      <w:marBottom w:val="0"/>
      <w:divBdr>
        <w:top w:val="none" w:sz="0" w:space="0" w:color="auto"/>
        <w:left w:val="none" w:sz="0" w:space="0" w:color="auto"/>
        <w:bottom w:val="none" w:sz="0" w:space="0" w:color="auto"/>
        <w:right w:val="none" w:sz="0" w:space="0" w:color="auto"/>
      </w:divBdr>
    </w:div>
    <w:div w:id="1356153769">
      <w:bodyDiv w:val="1"/>
      <w:marLeft w:val="0"/>
      <w:marRight w:val="0"/>
      <w:marTop w:val="0"/>
      <w:marBottom w:val="0"/>
      <w:divBdr>
        <w:top w:val="none" w:sz="0" w:space="0" w:color="auto"/>
        <w:left w:val="none" w:sz="0" w:space="0" w:color="auto"/>
        <w:bottom w:val="none" w:sz="0" w:space="0" w:color="auto"/>
        <w:right w:val="none" w:sz="0" w:space="0" w:color="auto"/>
      </w:divBdr>
    </w:div>
    <w:div w:id="1400716356">
      <w:bodyDiv w:val="1"/>
      <w:marLeft w:val="0"/>
      <w:marRight w:val="0"/>
      <w:marTop w:val="0"/>
      <w:marBottom w:val="0"/>
      <w:divBdr>
        <w:top w:val="none" w:sz="0" w:space="0" w:color="auto"/>
        <w:left w:val="none" w:sz="0" w:space="0" w:color="auto"/>
        <w:bottom w:val="none" w:sz="0" w:space="0" w:color="auto"/>
        <w:right w:val="none" w:sz="0" w:space="0" w:color="auto"/>
      </w:divBdr>
    </w:div>
    <w:div w:id="1402563351">
      <w:bodyDiv w:val="1"/>
      <w:marLeft w:val="0"/>
      <w:marRight w:val="0"/>
      <w:marTop w:val="0"/>
      <w:marBottom w:val="0"/>
      <w:divBdr>
        <w:top w:val="none" w:sz="0" w:space="0" w:color="auto"/>
        <w:left w:val="none" w:sz="0" w:space="0" w:color="auto"/>
        <w:bottom w:val="none" w:sz="0" w:space="0" w:color="auto"/>
        <w:right w:val="none" w:sz="0" w:space="0" w:color="auto"/>
      </w:divBdr>
    </w:div>
    <w:div w:id="1443721862">
      <w:bodyDiv w:val="1"/>
      <w:marLeft w:val="0"/>
      <w:marRight w:val="0"/>
      <w:marTop w:val="0"/>
      <w:marBottom w:val="0"/>
      <w:divBdr>
        <w:top w:val="none" w:sz="0" w:space="0" w:color="auto"/>
        <w:left w:val="none" w:sz="0" w:space="0" w:color="auto"/>
        <w:bottom w:val="none" w:sz="0" w:space="0" w:color="auto"/>
        <w:right w:val="none" w:sz="0" w:space="0" w:color="auto"/>
      </w:divBdr>
    </w:div>
    <w:div w:id="1456291586">
      <w:bodyDiv w:val="1"/>
      <w:marLeft w:val="0"/>
      <w:marRight w:val="0"/>
      <w:marTop w:val="0"/>
      <w:marBottom w:val="0"/>
      <w:divBdr>
        <w:top w:val="none" w:sz="0" w:space="0" w:color="auto"/>
        <w:left w:val="none" w:sz="0" w:space="0" w:color="auto"/>
        <w:bottom w:val="none" w:sz="0" w:space="0" w:color="auto"/>
        <w:right w:val="none" w:sz="0" w:space="0" w:color="auto"/>
      </w:divBdr>
    </w:div>
    <w:div w:id="1511720965">
      <w:bodyDiv w:val="1"/>
      <w:marLeft w:val="0"/>
      <w:marRight w:val="0"/>
      <w:marTop w:val="0"/>
      <w:marBottom w:val="0"/>
      <w:divBdr>
        <w:top w:val="none" w:sz="0" w:space="0" w:color="auto"/>
        <w:left w:val="none" w:sz="0" w:space="0" w:color="auto"/>
        <w:bottom w:val="none" w:sz="0" w:space="0" w:color="auto"/>
        <w:right w:val="none" w:sz="0" w:space="0" w:color="auto"/>
      </w:divBdr>
    </w:div>
    <w:div w:id="1563639872">
      <w:bodyDiv w:val="1"/>
      <w:marLeft w:val="0"/>
      <w:marRight w:val="0"/>
      <w:marTop w:val="0"/>
      <w:marBottom w:val="0"/>
      <w:divBdr>
        <w:top w:val="none" w:sz="0" w:space="0" w:color="auto"/>
        <w:left w:val="none" w:sz="0" w:space="0" w:color="auto"/>
        <w:bottom w:val="none" w:sz="0" w:space="0" w:color="auto"/>
        <w:right w:val="none" w:sz="0" w:space="0" w:color="auto"/>
      </w:divBdr>
    </w:div>
    <w:div w:id="1586107156">
      <w:bodyDiv w:val="1"/>
      <w:marLeft w:val="0"/>
      <w:marRight w:val="0"/>
      <w:marTop w:val="0"/>
      <w:marBottom w:val="0"/>
      <w:divBdr>
        <w:top w:val="none" w:sz="0" w:space="0" w:color="auto"/>
        <w:left w:val="none" w:sz="0" w:space="0" w:color="auto"/>
        <w:bottom w:val="none" w:sz="0" w:space="0" w:color="auto"/>
        <w:right w:val="none" w:sz="0" w:space="0" w:color="auto"/>
      </w:divBdr>
    </w:div>
    <w:div w:id="1601722405">
      <w:bodyDiv w:val="1"/>
      <w:marLeft w:val="0"/>
      <w:marRight w:val="0"/>
      <w:marTop w:val="0"/>
      <w:marBottom w:val="0"/>
      <w:divBdr>
        <w:top w:val="none" w:sz="0" w:space="0" w:color="auto"/>
        <w:left w:val="none" w:sz="0" w:space="0" w:color="auto"/>
        <w:bottom w:val="none" w:sz="0" w:space="0" w:color="auto"/>
        <w:right w:val="none" w:sz="0" w:space="0" w:color="auto"/>
      </w:divBdr>
    </w:div>
    <w:div w:id="1646355838">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55206703">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792288186">
      <w:bodyDiv w:val="1"/>
      <w:marLeft w:val="0"/>
      <w:marRight w:val="0"/>
      <w:marTop w:val="0"/>
      <w:marBottom w:val="0"/>
      <w:divBdr>
        <w:top w:val="none" w:sz="0" w:space="0" w:color="auto"/>
        <w:left w:val="none" w:sz="0" w:space="0" w:color="auto"/>
        <w:bottom w:val="none" w:sz="0" w:space="0" w:color="auto"/>
        <w:right w:val="none" w:sz="0" w:space="0" w:color="auto"/>
      </w:divBdr>
    </w:div>
    <w:div w:id="1929121916">
      <w:bodyDiv w:val="1"/>
      <w:marLeft w:val="0"/>
      <w:marRight w:val="0"/>
      <w:marTop w:val="0"/>
      <w:marBottom w:val="0"/>
      <w:divBdr>
        <w:top w:val="none" w:sz="0" w:space="0" w:color="auto"/>
        <w:left w:val="none" w:sz="0" w:space="0" w:color="auto"/>
        <w:bottom w:val="none" w:sz="0" w:space="0" w:color="auto"/>
        <w:right w:val="none" w:sz="0" w:space="0" w:color="auto"/>
      </w:divBdr>
    </w:div>
    <w:div w:id="1931542595">
      <w:bodyDiv w:val="1"/>
      <w:marLeft w:val="0"/>
      <w:marRight w:val="0"/>
      <w:marTop w:val="0"/>
      <w:marBottom w:val="0"/>
      <w:divBdr>
        <w:top w:val="none" w:sz="0" w:space="0" w:color="auto"/>
        <w:left w:val="none" w:sz="0" w:space="0" w:color="auto"/>
        <w:bottom w:val="none" w:sz="0" w:space="0" w:color="auto"/>
        <w:right w:val="none" w:sz="0" w:space="0" w:color="auto"/>
      </w:divBdr>
    </w:div>
    <w:div w:id="1937984053">
      <w:bodyDiv w:val="1"/>
      <w:marLeft w:val="0"/>
      <w:marRight w:val="0"/>
      <w:marTop w:val="0"/>
      <w:marBottom w:val="0"/>
      <w:divBdr>
        <w:top w:val="none" w:sz="0" w:space="0" w:color="auto"/>
        <w:left w:val="none" w:sz="0" w:space="0" w:color="auto"/>
        <w:bottom w:val="none" w:sz="0" w:space="0" w:color="auto"/>
        <w:right w:val="none" w:sz="0" w:space="0" w:color="auto"/>
      </w:divBdr>
    </w:div>
    <w:div w:id="1947342344">
      <w:bodyDiv w:val="1"/>
      <w:marLeft w:val="0"/>
      <w:marRight w:val="0"/>
      <w:marTop w:val="0"/>
      <w:marBottom w:val="0"/>
      <w:divBdr>
        <w:top w:val="none" w:sz="0" w:space="0" w:color="auto"/>
        <w:left w:val="none" w:sz="0" w:space="0" w:color="auto"/>
        <w:bottom w:val="none" w:sz="0" w:space="0" w:color="auto"/>
        <w:right w:val="none" w:sz="0" w:space="0" w:color="auto"/>
      </w:divBdr>
    </w:div>
    <w:div w:id="1956671107">
      <w:bodyDiv w:val="1"/>
      <w:marLeft w:val="0"/>
      <w:marRight w:val="0"/>
      <w:marTop w:val="0"/>
      <w:marBottom w:val="0"/>
      <w:divBdr>
        <w:top w:val="none" w:sz="0" w:space="0" w:color="auto"/>
        <w:left w:val="none" w:sz="0" w:space="0" w:color="auto"/>
        <w:bottom w:val="none" w:sz="0" w:space="0" w:color="auto"/>
        <w:right w:val="none" w:sz="0" w:space="0" w:color="auto"/>
      </w:divBdr>
    </w:div>
    <w:div w:id="1987054326">
      <w:bodyDiv w:val="1"/>
      <w:marLeft w:val="0"/>
      <w:marRight w:val="0"/>
      <w:marTop w:val="0"/>
      <w:marBottom w:val="0"/>
      <w:divBdr>
        <w:top w:val="none" w:sz="0" w:space="0" w:color="auto"/>
        <w:left w:val="none" w:sz="0" w:space="0" w:color="auto"/>
        <w:bottom w:val="none" w:sz="0" w:space="0" w:color="auto"/>
        <w:right w:val="none" w:sz="0" w:space="0" w:color="auto"/>
      </w:divBdr>
    </w:div>
    <w:div w:id="1987589995">
      <w:bodyDiv w:val="1"/>
      <w:marLeft w:val="0"/>
      <w:marRight w:val="0"/>
      <w:marTop w:val="0"/>
      <w:marBottom w:val="0"/>
      <w:divBdr>
        <w:top w:val="none" w:sz="0" w:space="0" w:color="auto"/>
        <w:left w:val="none" w:sz="0" w:space="0" w:color="auto"/>
        <w:bottom w:val="none" w:sz="0" w:space="0" w:color="auto"/>
        <w:right w:val="none" w:sz="0" w:space="0" w:color="auto"/>
      </w:divBdr>
    </w:div>
    <w:div w:id="2014186863">
      <w:bodyDiv w:val="1"/>
      <w:marLeft w:val="0"/>
      <w:marRight w:val="0"/>
      <w:marTop w:val="0"/>
      <w:marBottom w:val="0"/>
      <w:divBdr>
        <w:top w:val="none" w:sz="0" w:space="0" w:color="auto"/>
        <w:left w:val="none" w:sz="0" w:space="0" w:color="auto"/>
        <w:bottom w:val="none" w:sz="0" w:space="0" w:color="auto"/>
        <w:right w:val="none" w:sz="0" w:space="0" w:color="auto"/>
      </w:divBdr>
    </w:div>
    <w:div w:id="2026251718">
      <w:bodyDiv w:val="1"/>
      <w:marLeft w:val="0"/>
      <w:marRight w:val="0"/>
      <w:marTop w:val="0"/>
      <w:marBottom w:val="0"/>
      <w:divBdr>
        <w:top w:val="none" w:sz="0" w:space="0" w:color="auto"/>
        <w:left w:val="none" w:sz="0" w:space="0" w:color="auto"/>
        <w:bottom w:val="none" w:sz="0" w:space="0" w:color="auto"/>
        <w:right w:val="none" w:sz="0" w:space="0" w:color="auto"/>
      </w:divBdr>
    </w:div>
    <w:div w:id="2054500067">
      <w:bodyDiv w:val="1"/>
      <w:marLeft w:val="0"/>
      <w:marRight w:val="0"/>
      <w:marTop w:val="0"/>
      <w:marBottom w:val="0"/>
      <w:divBdr>
        <w:top w:val="none" w:sz="0" w:space="0" w:color="auto"/>
        <w:left w:val="none" w:sz="0" w:space="0" w:color="auto"/>
        <w:bottom w:val="none" w:sz="0" w:space="0" w:color="auto"/>
        <w:right w:val="none" w:sz="0" w:space="0" w:color="auto"/>
      </w:divBdr>
    </w:div>
    <w:div w:id="2059626889">
      <w:bodyDiv w:val="1"/>
      <w:marLeft w:val="0"/>
      <w:marRight w:val="0"/>
      <w:marTop w:val="0"/>
      <w:marBottom w:val="0"/>
      <w:divBdr>
        <w:top w:val="none" w:sz="0" w:space="0" w:color="auto"/>
        <w:left w:val="none" w:sz="0" w:space="0" w:color="auto"/>
        <w:bottom w:val="none" w:sz="0" w:space="0" w:color="auto"/>
        <w:right w:val="none" w:sz="0" w:space="0" w:color="auto"/>
      </w:divBdr>
    </w:div>
    <w:div w:id="2071882014">
      <w:bodyDiv w:val="1"/>
      <w:marLeft w:val="0"/>
      <w:marRight w:val="0"/>
      <w:marTop w:val="0"/>
      <w:marBottom w:val="0"/>
      <w:divBdr>
        <w:top w:val="none" w:sz="0" w:space="0" w:color="auto"/>
        <w:left w:val="none" w:sz="0" w:space="0" w:color="auto"/>
        <w:bottom w:val="none" w:sz="0" w:space="0" w:color="auto"/>
        <w:right w:val="none" w:sz="0" w:space="0" w:color="auto"/>
      </w:divBdr>
    </w:div>
    <w:div w:id="21259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15409-B643-4708-A043-48F4F4A7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Boren, Ann</cp:lastModifiedBy>
  <cp:revision>2</cp:revision>
  <dcterms:created xsi:type="dcterms:W3CDTF">2022-04-12T14:04:00Z</dcterms:created>
  <dcterms:modified xsi:type="dcterms:W3CDTF">2022-04-12T14:04:00Z</dcterms:modified>
</cp:coreProperties>
</file>