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7902A5" w14:paraId="707F39A5" w14:textId="77777777">
        <w:tc>
          <w:tcPr>
            <w:tcW w:w="1620" w:type="dxa"/>
            <w:tcBorders>
              <w:bottom w:val="single" w:sz="4" w:space="0" w:color="auto"/>
            </w:tcBorders>
            <w:shd w:val="clear" w:color="auto" w:fill="FFFFFF"/>
            <w:vAlign w:val="center"/>
          </w:tcPr>
          <w:p w14:paraId="40BACB37" w14:textId="77777777" w:rsidR="00152993" w:rsidRDefault="000626FB">
            <w:pPr>
              <w:pStyle w:val="Header"/>
              <w:rPr>
                <w:rFonts w:ascii="Verdana" w:hAnsi="Verdana"/>
                <w:sz w:val="22"/>
              </w:rPr>
            </w:pPr>
            <w:r>
              <w:t>NPRR Number</w:t>
            </w:r>
          </w:p>
        </w:tc>
        <w:tc>
          <w:tcPr>
            <w:tcW w:w="1260" w:type="dxa"/>
            <w:tcBorders>
              <w:bottom w:val="single" w:sz="4" w:space="0" w:color="auto"/>
            </w:tcBorders>
            <w:vAlign w:val="center"/>
          </w:tcPr>
          <w:p w14:paraId="5912D552" w14:textId="001659F8" w:rsidR="00152993" w:rsidRDefault="00C7260F">
            <w:pPr>
              <w:pStyle w:val="Header"/>
            </w:pPr>
            <w:hyperlink r:id="rId8" w:history="1">
              <w:r w:rsidRPr="00980A57">
                <w:rPr>
                  <w:rStyle w:val="Hyperlink"/>
                </w:rPr>
                <w:t>1112</w:t>
              </w:r>
            </w:hyperlink>
          </w:p>
        </w:tc>
        <w:tc>
          <w:tcPr>
            <w:tcW w:w="900" w:type="dxa"/>
            <w:tcBorders>
              <w:bottom w:val="single" w:sz="4" w:space="0" w:color="auto"/>
            </w:tcBorders>
            <w:shd w:val="clear" w:color="auto" w:fill="FFFFFF"/>
            <w:vAlign w:val="center"/>
          </w:tcPr>
          <w:p w14:paraId="428E8A8C" w14:textId="77777777" w:rsidR="00152993" w:rsidRDefault="000626FB">
            <w:pPr>
              <w:pStyle w:val="Header"/>
            </w:pPr>
            <w:r>
              <w:t>NPRR Title</w:t>
            </w:r>
          </w:p>
        </w:tc>
        <w:tc>
          <w:tcPr>
            <w:tcW w:w="6660" w:type="dxa"/>
            <w:tcBorders>
              <w:bottom w:val="single" w:sz="4" w:space="0" w:color="auto"/>
            </w:tcBorders>
            <w:vAlign w:val="center"/>
          </w:tcPr>
          <w:p w14:paraId="7165FBF1" w14:textId="4A022FF0" w:rsidR="00152993" w:rsidRDefault="00C7260F">
            <w:pPr>
              <w:pStyle w:val="Header"/>
            </w:pPr>
            <w:r w:rsidRPr="00C7260F">
              <w:t>Reduction of Unsecured Credit Limits</w:t>
            </w:r>
          </w:p>
        </w:tc>
      </w:tr>
      <w:tr w:rsidR="007902A5" w14:paraId="02B27F8A" w14:textId="77777777">
        <w:trPr>
          <w:trHeight w:val="413"/>
        </w:trPr>
        <w:tc>
          <w:tcPr>
            <w:tcW w:w="2880" w:type="dxa"/>
            <w:gridSpan w:val="2"/>
            <w:tcBorders>
              <w:top w:val="nil"/>
              <w:left w:val="nil"/>
              <w:bottom w:val="single" w:sz="4" w:space="0" w:color="auto"/>
              <w:right w:val="nil"/>
            </w:tcBorders>
            <w:vAlign w:val="center"/>
          </w:tcPr>
          <w:p w14:paraId="5BD35AC3"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564DD35D" w14:textId="77777777" w:rsidR="00152993" w:rsidRDefault="00152993">
            <w:pPr>
              <w:pStyle w:val="NormalArial"/>
            </w:pPr>
          </w:p>
        </w:tc>
      </w:tr>
      <w:tr w:rsidR="007902A5" w14:paraId="2FD8DE14"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14D38210" w14:textId="77777777" w:rsidR="00152993" w:rsidRDefault="000626FB">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1316ABF" w14:textId="77777777" w:rsidR="00152993" w:rsidRDefault="000626FB">
            <w:pPr>
              <w:pStyle w:val="NormalArial"/>
            </w:pPr>
            <w:r>
              <w:t>April</w:t>
            </w:r>
            <w:r w:rsidR="009460AC">
              <w:t xml:space="preserve"> </w:t>
            </w:r>
            <w:r>
              <w:t>4</w:t>
            </w:r>
            <w:r w:rsidR="009460AC">
              <w:t>, 2022</w:t>
            </w:r>
          </w:p>
        </w:tc>
      </w:tr>
      <w:tr w:rsidR="007902A5" w14:paraId="0F8794DC" w14:textId="77777777">
        <w:trPr>
          <w:trHeight w:val="467"/>
        </w:trPr>
        <w:tc>
          <w:tcPr>
            <w:tcW w:w="2880" w:type="dxa"/>
            <w:gridSpan w:val="2"/>
            <w:tcBorders>
              <w:top w:val="single" w:sz="4" w:space="0" w:color="auto"/>
              <w:left w:val="nil"/>
              <w:bottom w:val="nil"/>
              <w:right w:val="nil"/>
            </w:tcBorders>
            <w:shd w:val="clear" w:color="auto" w:fill="FFFFFF"/>
            <w:vAlign w:val="center"/>
          </w:tcPr>
          <w:p w14:paraId="2DCC840D" w14:textId="77777777" w:rsidR="00152993" w:rsidRDefault="00152993">
            <w:pPr>
              <w:pStyle w:val="NormalArial"/>
            </w:pPr>
          </w:p>
        </w:tc>
        <w:tc>
          <w:tcPr>
            <w:tcW w:w="7560" w:type="dxa"/>
            <w:gridSpan w:val="2"/>
            <w:tcBorders>
              <w:top w:val="nil"/>
              <w:left w:val="nil"/>
              <w:bottom w:val="nil"/>
              <w:right w:val="nil"/>
            </w:tcBorders>
            <w:vAlign w:val="center"/>
          </w:tcPr>
          <w:p w14:paraId="19F2B7F3" w14:textId="77777777" w:rsidR="00152993" w:rsidRDefault="00152993">
            <w:pPr>
              <w:pStyle w:val="NormalArial"/>
            </w:pPr>
          </w:p>
        </w:tc>
      </w:tr>
      <w:tr w:rsidR="007902A5" w14:paraId="79C37717" w14:textId="77777777">
        <w:trPr>
          <w:trHeight w:val="440"/>
        </w:trPr>
        <w:tc>
          <w:tcPr>
            <w:tcW w:w="10440" w:type="dxa"/>
            <w:gridSpan w:val="4"/>
            <w:tcBorders>
              <w:top w:val="single" w:sz="4" w:space="0" w:color="auto"/>
            </w:tcBorders>
            <w:shd w:val="clear" w:color="auto" w:fill="FFFFFF"/>
            <w:vAlign w:val="center"/>
          </w:tcPr>
          <w:p w14:paraId="5F667C82" w14:textId="77777777" w:rsidR="00152993" w:rsidRDefault="000626FB">
            <w:pPr>
              <w:pStyle w:val="Header"/>
              <w:jc w:val="center"/>
            </w:pPr>
            <w:r>
              <w:t>Submitter’s Information</w:t>
            </w:r>
          </w:p>
        </w:tc>
      </w:tr>
      <w:tr w:rsidR="007902A5" w14:paraId="717A848B" w14:textId="77777777">
        <w:trPr>
          <w:trHeight w:val="350"/>
        </w:trPr>
        <w:tc>
          <w:tcPr>
            <w:tcW w:w="2880" w:type="dxa"/>
            <w:gridSpan w:val="2"/>
            <w:shd w:val="clear" w:color="auto" w:fill="FFFFFF"/>
            <w:vAlign w:val="center"/>
          </w:tcPr>
          <w:p w14:paraId="5ABCB4D3" w14:textId="77777777" w:rsidR="00152993" w:rsidRPr="00EC55B3" w:rsidRDefault="000626FB" w:rsidP="00EC55B3">
            <w:pPr>
              <w:pStyle w:val="Header"/>
            </w:pPr>
            <w:r w:rsidRPr="00EC55B3">
              <w:t>Name</w:t>
            </w:r>
          </w:p>
        </w:tc>
        <w:tc>
          <w:tcPr>
            <w:tcW w:w="7560" w:type="dxa"/>
            <w:gridSpan w:val="2"/>
            <w:vAlign w:val="center"/>
          </w:tcPr>
          <w:p w14:paraId="1471EC14" w14:textId="36788615" w:rsidR="00152993" w:rsidRDefault="00CC1761">
            <w:pPr>
              <w:pStyle w:val="NormalArial"/>
            </w:pPr>
            <w:r>
              <w:t>Terry Naulty, Alicia Loving, Alicia Hooks, Dan Baily, Katie Rich, Clif Lange, Bob Wittmeyer</w:t>
            </w:r>
            <w:r w:rsidR="0057666A">
              <w:t xml:space="preserve"> (on behalf of DME).</w:t>
            </w:r>
          </w:p>
        </w:tc>
      </w:tr>
      <w:tr w:rsidR="007902A5" w14:paraId="2271E030" w14:textId="77777777">
        <w:trPr>
          <w:trHeight w:val="350"/>
        </w:trPr>
        <w:tc>
          <w:tcPr>
            <w:tcW w:w="2880" w:type="dxa"/>
            <w:gridSpan w:val="2"/>
            <w:shd w:val="clear" w:color="auto" w:fill="FFFFFF"/>
            <w:vAlign w:val="center"/>
          </w:tcPr>
          <w:p w14:paraId="043BBB11" w14:textId="77777777" w:rsidR="00152993" w:rsidRPr="00EC55B3" w:rsidRDefault="000626FB" w:rsidP="00EC55B3">
            <w:pPr>
              <w:pStyle w:val="Header"/>
            </w:pPr>
            <w:r w:rsidRPr="00EC55B3">
              <w:t>E-mail Address</w:t>
            </w:r>
          </w:p>
        </w:tc>
        <w:tc>
          <w:tcPr>
            <w:tcW w:w="7560" w:type="dxa"/>
            <w:gridSpan w:val="2"/>
            <w:vAlign w:val="center"/>
          </w:tcPr>
          <w:p w14:paraId="02842451" w14:textId="74CAEAA3" w:rsidR="00152993" w:rsidRDefault="00397245">
            <w:pPr>
              <w:pStyle w:val="NormalArial"/>
            </w:pPr>
            <w:hyperlink r:id="rId9" w:history="1">
              <w:r w:rsidR="0057666A" w:rsidRPr="00A57435">
                <w:rPr>
                  <w:rStyle w:val="Hyperlink"/>
                </w:rPr>
                <w:t>Terrance.Naulty@cityofdenton.com</w:t>
              </w:r>
            </w:hyperlink>
            <w:r w:rsidR="008C3932">
              <w:t xml:space="preserve">; </w:t>
            </w:r>
            <w:hyperlink r:id="rId10" w:history="1">
              <w:r w:rsidR="008C3932" w:rsidRPr="008C3932">
                <w:rPr>
                  <w:rStyle w:val="Hyperlink"/>
                </w:rPr>
                <w:t>Alicia.Loving@austinenergy.com</w:t>
              </w:r>
            </w:hyperlink>
            <w:r w:rsidR="00CC1761">
              <w:t xml:space="preserve">; </w:t>
            </w:r>
            <w:hyperlink r:id="rId11" w:history="1">
              <w:r w:rsidR="008C3932" w:rsidRPr="00A57435">
                <w:rPr>
                  <w:rStyle w:val="Hyperlink"/>
                </w:rPr>
                <w:t>ahooks@geus.org</w:t>
              </w:r>
            </w:hyperlink>
            <w:r w:rsidR="008C3932">
              <w:t xml:space="preserve">; </w:t>
            </w:r>
            <w:hyperlink r:id="rId12" w:history="1">
              <w:r w:rsidR="0057666A" w:rsidRPr="00A57435">
                <w:rPr>
                  <w:rStyle w:val="Hyperlink"/>
                </w:rPr>
                <w:t>DBailey@gpltexas.org</w:t>
              </w:r>
            </w:hyperlink>
            <w:r w:rsidR="008C3932">
              <w:t>;</w:t>
            </w:r>
            <w:r w:rsidR="00CC1761">
              <w:t xml:space="preserve"> </w:t>
            </w:r>
            <w:hyperlink r:id="rId13" w:history="1">
              <w:r w:rsidR="0057666A" w:rsidRPr="00A57435">
                <w:rPr>
                  <w:rStyle w:val="Hyperlink"/>
                </w:rPr>
                <w:t>KRich@gsec.coop</w:t>
              </w:r>
            </w:hyperlink>
            <w:r w:rsidR="008C3932">
              <w:t xml:space="preserve">; </w:t>
            </w:r>
            <w:hyperlink r:id="rId14" w:history="1">
              <w:r w:rsidR="008C3932" w:rsidRPr="00A57435">
                <w:rPr>
                  <w:rStyle w:val="Hyperlink"/>
                </w:rPr>
                <w:t>clif@stec.org</w:t>
              </w:r>
            </w:hyperlink>
            <w:r w:rsidR="008C3932">
              <w:t xml:space="preserve">; </w:t>
            </w:r>
            <w:hyperlink r:id="rId15" w:history="1">
              <w:r w:rsidR="009460AC" w:rsidRPr="00365DBB">
                <w:rPr>
                  <w:rStyle w:val="Hyperlink"/>
                </w:rPr>
                <w:t>bob@longhornpwr.com</w:t>
              </w:r>
            </w:hyperlink>
          </w:p>
        </w:tc>
      </w:tr>
      <w:tr w:rsidR="007902A5" w14:paraId="1E21F56A" w14:textId="77777777">
        <w:trPr>
          <w:trHeight w:val="350"/>
        </w:trPr>
        <w:tc>
          <w:tcPr>
            <w:tcW w:w="2880" w:type="dxa"/>
            <w:gridSpan w:val="2"/>
            <w:shd w:val="clear" w:color="auto" w:fill="FFFFFF"/>
            <w:vAlign w:val="center"/>
          </w:tcPr>
          <w:p w14:paraId="05B26417" w14:textId="77777777" w:rsidR="00152993" w:rsidRPr="00EC55B3" w:rsidRDefault="000626FB" w:rsidP="00EC55B3">
            <w:pPr>
              <w:pStyle w:val="Header"/>
            </w:pPr>
            <w:r w:rsidRPr="00EC55B3">
              <w:t>Company</w:t>
            </w:r>
          </w:p>
        </w:tc>
        <w:tc>
          <w:tcPr>
            <w:tcW w:w="7560" w:type="dxa"/>
            <w:gridSpan w:val="2"/>
            <w:vAlign w:val="center"/>
          </w:tcPr>
          <w:p w14:paraId="27B677E3" w14:textId="35C37273" w:rsidR="00152993" w:rsidRDefault="00CC1761">
            <w:pPr>
              <w:pStyle w:val="NormalArial"/>
            </w:pPr>
            <w:r>
              <w:t>Denton Municipal Electric, Austin Energy, Greenville Electric Utility System, Garland Power and Light, Golden Spread Electric Coop.</w:t>
            </w:r>
            <w:r w:rsidR="00397245">
              <w:t>,</w:t>
            </w:r>
            <w:r>
              <w:t xml:space="preserve"> South Texas Electric Coop</w:t>
            </w:r>
            <w:r w:rsidR="00C7260F">
              <w:t xml:space="preserve"> (Joint Commenters)</w:t>
            </w:r>
          </w:p>
        </w:tc>
      </w:tr>
      <w:tr w:rsidR="007902A5" w14:paraId="681C98FF" w14:textId="77777777">
        <w:trPr>
          <w:trHeight w:val="350"/>
        </w:trPr>
        <w:tc>
          <w:tcPr>
            <w:tcW w:w="2880" w:type="dxa"/>
            <w:gridSpan w:val="2"/>
            <w:tcBorders>
              <w:bottom w:val="single" w:sz="4" w:space="0" w:color="auto"/>
            </w:tcBorders>
            <w:shd w:val="clear" w:color="auto" w:fill="FFFFFF"/>
            <w:vAlign w:val="center"/>
          </w:tcPr>
          <w:p w14:paraId="17D0B4F5" w14:textId="77777777" w:rsidR="00152993" w:rsidRPr="00EC55B3" w:rsidRDefault="000626FB" w:rsidP="00EC55B3">
            <w:pPr>
              <w:pStyle w:val="Header"/>
            </w:pPr>
            <w:r w:rsidRPr="00EC55B3">
              <w:t>Phone Number</w:t>
            </w:r>
          </w:p>
        </w:tc>
        <w:tc>
          <w:tcPr>
            <w:tcW w:w="7560" w:type="dxa"/>
            <w:gridSpan w:val="2"/>
            <w:tcBorders>
              <w:bottom w:val="single" w:sz="4" w:space="0" w:color="auto"/>
            </w:tcBorders>
            <w:vAlign w:val="center"/>
          </w:tcPr>
          <w:p w14:paraId="3CBADF7D" w14:textId="710A4EB4" w:rsidR="00152993" w:rsidRDefault="00152993">
            <w:pPr>
              <w:pStyle w:val="NormalArial"/>
            </w:pPr>
          </w:p>
        </w:tc>
      </w:tr>
      <w:tr w:rsidR="007902A5" w14:paraId="536956E0" w14:textId="77777777">
        <w:trPr>
          <w:trHeight w:val="350"/>
        </w:trPr>
        <w:tc>
          <w:tcPr>
            <w:tcW w:w="2880" w:type="dxa"/>
            <w:gridSpan w:val="2"/>
            <w:shd w:val="clear" w:color="auto" w:fill="FFFFFF"/>
            <w:vAlign w:val="center"/>
          </w:tcPr>
          <w:p w14:paraId="2C265FA1" w14:textId="77777777" w:rsidR="00152993" w:rsidRPr="00EC55B3" w:rsidRDefault="000626FB" w:rsidP="00EC55B3">
            <w:pPr>
              <w:pStyle w:val="Header"/>
            </w:pPr>
            <w:r>
              <w:t>Cell</w:t>
            </w:r>
            <w:r w:rsidRPr="00EC55B3">
              <w:t xml:space="preserve"> Number</w:t>
            </w:r>
          </w:p>
        </w:tc>
        <w:tc>
          <w:tcPr>
            <w:tcW w:w="7560" w:type="dxa"/>
            <w:gridSpan w:val="2"/>
            <w:vAlign w:val="center"/>
          </w:tcPr>
          <w:p w14:paraId="572F7A08" w14:textId="5FC764F0" w:rsidR="00152993" w:rsidRDefault="008C3932">
            <w:pPr>
              <w:pStyle w:val="NormalArial"/>
            </w:pPr>
            <w:r>
              <w:t>512 762 8895</w:t>
            </w:r>
          </w:p>
        </w:tc>
      </w:tr>
      <w:tr w:rsidR="007902A5" w14:paraId="7A616809" w14:textId="77777777">
        <w:trPr>
          <w:trHeight w:val="350"/>
        </w:trPr>
        <w:tc>
          <w:tcPr>
            <w:tcW w:w="2880" w:type="dxa"/>
            <w:gridSpan w:val="2"/>
            <w:tcBorders>
              <w:bottom w:val="single" w:sz="4" w:space="0" w:color="auto"/>
            </w:tcBorders>
            <w:shd w:val="clear" w:color="auto" w:fill="FFFFFF"/>
            <w:vAlign w:val="center"/>
          </w:tcPr>
          <w:p w14:paraId="0B36C4A4" w14:textId="77777777" w:rsidR="00075A94" w:rsidRPr="00EC55B3" w:rsidRDefault="000626FB" w:rsidP="00EC55B3">
            <w:pPr>
              <w:pStyle w:val="Header"/>
            </w:pPr>
            <w:r>
              <w:t>Market Segment</w:t>
            </w:r>
          </w:p>
        </w:tc>
        <w:tc>
          <w:tcPr>
            <w:tcW w:w="7560" w:type="dxa"/>
            <w:gridSpan w:val="2"/>
            <w:tcBorders>
              <w:bottom w:val="single" w:sz="4" w:space="0" w:color="auto"/>
            </w:tcBorders>
            <w:vAlign w:val="center"/>
          </w:tcPr>
          <w:p w14:paraId="4F228552" w14:textId="5CEC6E9C" w:rsidR="00075A94" w:rsidRDefault="000626FB">
            <w:pPr>
              <w:pStyle w:val="NormalArial"/>
            </w:pPr>
            <w:r>
              <w:t>Municipal</w:t>
            </w:r>
            <w:r w:rsidR="00E72EC5">
              <w:t xml:space="preserve"> &amp; Cooperative</w:t>
            </w:r>
          </w:p>
        </w:tc>
      </w:tr>
    </w:tbl>
    <w:p w14:paraId="2A5D7ECE" w14:textId="05A8FB5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63622D" w14:paraId="0D0F8D31" w14:textId="77777777" w:rsidTr="009C2598">
        <w:trPr>
          <w:trHeight w:val="350"/>
        </w:trPr>
        <w:tc>
          <w:tcPr>
            <w:tcW w:w="10440" w:type="dxa"/>
            <w:tcBorders>
              <w:bottom w:val="single" w:sz="4" w:space="0" w:color="auto"/>
            </w:tcBorders>
            <w:shd w:val="clear" w:color="auto" w:fill="FFFFFF"/>
            <w:vAlign w:val="center"/>
          </w:tcPr>
          <w:p w14:paraId="029AF0AB" w14:textId="482BB9D4" w:rsidR="0063622D" w:rsidRDefault="0063622D" w:rsidP="009C2598">
            <w:pPr>
              <w:pStyle w:val="Header"/>
              <w:jc w:val="center"/>
            </w:pPr>
            <w:r>
              <w:t>Comments</w:t>
            </w:r>
          </w:p>
        </w:tc>
      </w:tr>
    </w:tbl>
    <w:p w14:paraId="7962D0C1" w14:textId="4889EC40" w:rsidR="007459C3" w:rsidRPr="0063622D" w:rsidRDefault="000626FB" w:rsidP="0063622D">
      <w:pPr>
        <w:pStyle w:val="NormalArial"/>
        <w:spacing w:before="120" w:after="120"/>
        <w:rPr>
          <w:rFonts w:cs="Arial"/>
        </w:rPr>
      </w:pPr>
      <w:r w:rsidRPr="0063622D">
        <w:rPr>
          <w:rFonts w:cs="Arial"/>
        </w:rPr>
        <w:t xml:space="preserve">Joint </w:t>
      </w:r>
      <w:r w:rsidR="002323E0" w:rsidRPr="0063622D">
        <w:rPr>
          <w:rFonts w:cs="Arial"/>
        </w:rPr>
        <w:t xml:space="preserve">Commenters </w:t>
      </w:r>
      <w:r w:rsidR="009460AC" w:rsidRPr="0063622D">
        <w:rPr>
          <w:rFonts w:cs="Arial"/>
        </w:rPr>
        <w:t>appreciate</w:t>
      </w:r>
      <w:r w:rsidRPr="0063622D">
        <w:rPr>
          <w:rFonts w:cs="Arial"/>
        </w:rPr>
        <w:t xml:space="preserve"> </w:t>
      </w:r>
      <w:r w:rsidR="009460AC" w:rsidRPr="0063622D">
        <w:rPr>
          <w:rFonts w:cs="Arial"/>
        </w:rPr>
        <w:t xml:space="preserve">the efforts </w:t>
      </w:r>
      <w:r w:rsidR="000A4492" w:rsidRPr="0063622D">
        <w:rPr>
          <w:rFonts w:cs="Arial"/>
        </w:rPr>
        <w:t>ERCOT,</w:t>
      </w:r>
      <w:r w:rsidR="009460AC" w:rsidRPr="0063622D">
        <w:rPr>
          <w:rFonts w:cs="Arial"/>
        </w:rPr>
        <w:t xml:space="preserve"> and Stakeholders have devoted to this effort</w:t>
      </w:r>
      <w:r w:rsidRPr="0063622D">
        <w:rPr>
          <w:rFonts w:cs="Arial"/>
        </w:rPr>
        <w:t>, and the effort ERCOT has taken to reduce additional uplift charges to our customers.</w:t>
      </w:r>
    </w:p>
    <w:p w14:paraId="23E8A81B" w14:textId="07FB7F16" w:rsidR="007459C3" w:rsidRPr="0063622D" w:rsidRDefault="000626FB" w:rsidP="0063622D">
      <w:pPr>
        <w:pStyle w:val="NormalArial"/>
        <w:spacing w:before="120" w:after="120"/>
        <w:rPr>
          <w:rFonts w:cs="Arial"/>
        </w:rPr>
      </w:pPr>
      <w:r w:rsidRPr="0063622D">
        <w:rPr>
          <w:rFonts w:cs="Arial"/>
        </w:rPr>
        <w:t>Winter storm Uri was devastating to Texas both in loss of life and financial fallout.  The storm c</w:t>
      </w:r>
      <w:r w:rsidR="00342FFE" w:rsidRPr="0063622D">
        <w:rPr>
          <w:rFonts w:cs="Arial"/>
        </w:rPr>
        <w:t>aused</w:t>
      </w:r>
      <w:r w:rsidRPr="0063622D">
        <w:rPr>
          <w:rFonts w:cs="Arial"/>
        </w:rPr>
        <w:t xml:space="preserve"> </w:t>
      </w:r>
      <w:r w:rsidR="00143EED" w:rsidRPr="0063622D">
        <w:rPr>
          <w:rFonts w:cs="Arial"/>
        </w:rPr>
        <w:t xml:space="preserve">tens </w:t>
      </w:r>
      <w:r w:rsidRPr="0063622D">
        <w:rPr>
          <w:rFonts w:cs="Arial"/>
        </w:rPr>
        <w:t xml:space="preserve">of billions of dollars to be transferred between </w:t>
      </w:r>
      <w:r w:rsidR="0063622D">
        <w:rPr>
          <w:rFonts w:cs="Arial"/>
        </w:rPr>
        <w:t>M</w:t>
      </w:r>
      <w:r w:rsidRPr="0063622D">
        <w:rPr>
          <w:rFonts w:cs="Arial"/>
        </w:rPr>
        <w:t xml:space="preserve">arket </w:t>
      </w:r>
      <w:r w:rsidR="0063622D">
        <w:rPr>
          <w:rFonts w:cs="Arial"/>
        </w:rPr>
        <w:t>P</w:t>
      </w:r>
      <w:r w:rsidRPr="0063622D">
        <w:rPr>
          <w:rFonts w:cs="Arial"/>
        </w:rPr>
        <w:t>articipants</w:t>
      </w:r>
      <w:r w:rsidR="00143EED" w:rsidRPr="0063622D">
        <w:rPr>
          <w:rFonts w:cs="Arial"/>
        </w:rPr>
        <w:t xml:space="preserve"> </w:t>
      </w:r>
      <w:r w:rsidR="00C922A6" w:rsidRPr="0063622D">
        <w:rPr>
          <w:rFonts w:cs="Arial"/>
        </w:rPr>
        <w:t xml:space="preserve">and </w:t>
      </w:r>
      <w:r w:rsidRPr="0063622D">
        <w:rPr>
          <w:rFonts w:cs="Arial"/>
        </w:rPr>
        <w:t>ERCOT.</w:t>
      </w:r>
      <w:r w:rsidR="000656E1" w:rsidRPr="0063622D">
        <w:rPr>
          <w:rFonts w:cs="Arial"/>
        </w:rPr>
        <w:t xml:space="preserve"> </w:t>
      </w:r>
      <w:r w:rsidR="0063622D">
        <w:rPr>
          <w:rFonts w:cs="Arial"/>
        </w:rPr>
        <w:t xml:space="preserve"> </w:t>
      </w:r>
      <w:r w:rsidR="00143EED" w:rsidRPr="0063622D">
        <w:rPr>
          <w:rFonts w:cs="Arial"/>
        </w:rPr>
        <w:t>During Uri, t</w:t>
      </w:r>
      <w:r w:rsidR="000656E1" w:rsidRPr="0063622D">
        <w:rPr>
          <w:rFonts w:cs="Arial"/>
        </w:rPr>
        <w:t xml:space="preserve">here </w:t>
      </w:r>
      <w:r w:rsidR="0041181D" w:rsidRPr="0063622D">
        <w:rPr>
          <w:rFonts w:cs="Arial"/>
        </w:rPr>
        <w:t xml:space="preserve">were </w:t>
      </w:r>
      <w:r w:rsidR="00143EED" w:rsidRPr="0063622D">
        <w:rPr>
          <w:rFonts w:cs="Arial"/>
        </w:rPr>
        <w:t>(</w:t>
      </w:r>
      <w:r w:rsidR="0041181D" w:rsidRPr="0063622D">
        <w:rPr>
          <w:rFonts w:cs="Arial"/>
        </w:rPr>
        <w:t xml:space="preserve">and </w:t>
      </w:r>
      <w:r w:rsidR="00143EED" w:rsidRPr="0063622D">
        <w:rPr>
          <w:rFonts w:cs="Arial"/>
        </w:rPr>
        <w:t xml:space="preserve">still </w:t>
      </w:r>
      <w:r w:rsidR="0041181D" w:rsidRPr="0063622D">
        <w:rPr>
          <w:rFonts w:cs="Arial"/>
        </w:rPr>
        <w:t>are</w:t>
      </w:r>
      <w:r w:rsidR="00143EED" w:rsidRPr="0063622D">
        <w:rPr>
          <w:rFonts w:cs="Arial"/>
        </w:rPr>
        <w:t>)</w:t>
      </w:r>
      <w:r w:rsidR="0041181D" w:rsidRPr="0063622D">
        <w:rPr>
          <w:rFonts w:cs="Arial"/>
        </w:rPr>
        <w:t xml:space="preserve"> 37 </w:t>
      </w:r>
      <w:r w:rsidR="0063622D">
        <w:rPr>
          <w:rFonts w:cs="Arial"/>
        </w:rPr>
        <w:t>M</w:t>
      </w:r>
      <w:r w:rsidR="0041181D" w:rsidRPr="0063622D">
        <w:rPr>
          <w:rFonts w:cs="Arial"/>
        </w:rPr>
        <w:t xml:space="preserve">arket </w:t>
      </w:r>
      <w:r w:rsidR="0063622D">
        <w:rPr>
          <w:rFonts w:cs="Arial"/>
        </w:rPr>
        <w:t>P</w:t>
      </w:r>
      <w:r w:rsidR="0041181D" w:rsidRPr="0063622D">
        <w:rPr>
          <w:rFonts w:cs="Arial"/>
        </w:rPr>
        <w:t xml:space="preserve">articipants with </w:t>
      </w:r>
      <w:r w:rsidR="00143EED" w:rsidRPr="0063622D">
        <w:rPr>
          <w:rFonts w:cs="Arial"/>
        </w:rPr>
        <w:t xml:space="preserve">a limited amount of </w:t>
      </w:r>
      <w:r w:rsidR="0041181D" w:rsidRPr="0063622D">
        <w:rPr>
          <w:rFonts w:cs="Arial"/>
        </w:rPr>
        <w:t xml:space="preserve">unsecured credit.  Of those 37 Market </w:t>
      </w:r>
      <w:r w:rsidR="0063622D">
        <w:rPr>
          <w:rFonts w:cs="Arial"/>
        </w:rPr>
        <w:t>P</w:t>
      </w:r>
      <w:r w:rsidR="0041181D" w:rsidRPr="0063622D">
        <w:rPr>
          <w:rFonts w:cs="Arial"/>
        </w:rPr>
        <w:t xml:space="preserve">articipants 36 have fully paid ERCOT.  Uri was the ultimate stress test for ERCOT credit policies and 36 of those 37 passed the test.  </w:t>
      </w:r>
    </w:p>
    <w:p w14:paraId="3A7D2A38" w14:textId="56472730" w:rsidR="00521A54" w:rsidRPr="0063622D" w:rsidRDefault="000626FB" w:rsidP="0063622D">
      <w:pPr>
        <w:pStyle w:val="NormalArial"/>
        <w:spacing w:before="120" w:after="120"/>
        <w:rPr>
          <w:rFonts w:cs="Arial"/>
        </w:rPr>
      </w:pPr>
      <w:r w:rsidRPr="0063622D">
        <w:rPr>
          <w:rFonts w:cs="Arial"/>
        </w:rPr>
        <w:t xml:space="preserve">Those 36 Market Participants took a wide variety of measures to offset </w:t>
      </w:r>
      <w:r w:rsidR="009221B3" w:rsidRPr="0063622D">
        <w:rPr>
          <w:rFonts w:cs="Arial"/>
        </w:rPr>
        <w:t>these extraordinary costs including</w:t>
      </w:r>
      <w:r w:rsidRPr="0063622D">
        <w:rPr>
          <w:rFonts w:cs="Arial"/>
        </w:rPr>
        <w:t xml:space="preserve"> </w:t>
      </w:r>
      <w:r w:rsidR="009221B3" w:rsidRPr="0063622D">
        <w:rPr>
          <w:rFonts w:cs="Arial"/>
        </w:rPr>
        <w:t xml:space="preserve">raising </w:t>
      </w:r>
      <w:r w:rsidRPr="0063622D">
        <w:rPr>
          <w:rFonts w:cs="Arial"/>
        </w:rPr>
        <w:t xml:space="preserve">rates, </w:t>
      </w:r>
      <w:r w:rsidR="009221B3" w:rsidRPr="0063622D">
        <w:rPr>
          <w:rFonts w:cs="Arial"/>
        </w:rPr>
        <w:t xml:space="preserve">issuing </w:t>
      </w:r>
      <w:r w:rsidRPr="0063622D">
        <w:rPr>
          <w:rFonts w:cs="Arial"/>
        </w:rPr>
        <w:t xml:space="preserve">bonds, </w:t>
      </w:r>
      <w:r w:rsidR="009221B3" w:rsidRPr="0063622D">
        <w:rPr>
          <w:rFonts w:cs="Arial"/>
        </w:rPr>
        <w:t xml:space="preserve">drawing </w:t>
      </w:r>
      <w:r w:rsidRPr="0063622D">
        <w:rPr>
          <w:rFonts w:cs="Arial"/>
        </w:rPr>
        <w:t xml:space="preserve">down </w:t>
      </w:r>
      <w:r w:rsidR="009221B3" w:rsidRPr="0063622D">
        <w:rPr>
          <w:rFonts w:cs="Arial"/>
        </w:rPr>
        <w:t xml:space="preserve">cash </w:t>
      </w:r>
      <w:r w:rsidRPr="0063622D">
        <w:rPr>
          <w:rFonts w:cs="Arial"/>
        </w:rPr>
        <w:t xml:space="preserve">reserves, </w:t>
      </w:r>
      <w:r w:rsidR="009221B3" w:rsidRPr="0063622D">
        <w:rPr>
          <w:rFonts w:cs="Arial"/>
        </w:rPr>
        <w:t xml:space="preserve">adding </w:t>
      </w:r>
      <w:r w:rsidRPr="0063622D">
        <w:rPr>
          <w:rFonts w:cs="Arial"/>
        </w:rPr>
        <w:t>surcharges to customer bills</w:t>
      </w:r>
      <w:r w:rsidR="0063622D">
        <w:rPr>
          <w:rFonts w:cs="Arial"/>
        </w:rPr>
        <w:t>,</w:t>
      </w:r>
      <w:r w:rsidRPr="0063622D">
        <w:rPr>
          <w:rFonts w:cs="Arial"/>
        </w:rPr>
        <w:t xml:space="preserve"> or some combination of the above.  </w:t>
      </w:r>
      <w:r w:rsidR="00491798" w:rsidRPr="0063622D">
        <w:rPr>
          <w:rFonts w:cs="Arial"/>
        </w:rPr>
        <w:t>A</w:t>
      </w:r>
      <w:r w:rsidRPr="0063622D">
        <w:rPr>
          <w:rFonts w:cs="Arial"/>
        </w:rPr>
        <w:t xml:space="preserve">ll </w:t>
      </w:r>
      <w:r w:rsidR="009221B3" w:rsidRPr="0063622D">
        <w:rPr>
          <w:rFonts w:cs="Arial"/>
        </w:rPr>
        <w:t xml:space="preserve">36 parties </w:t>
      </w:r>
      <w:r w:rsidRPr="0063622D">
        <w:rPr>
          <w:rFonts w:cs="Arial"/>
        </w:rPr>
        <w:t xml:space="preserve">made good on their </w:t>
      </w:r>
      <w:r w:rsidR="00491798" w:rsidRPr="0063622D">
        <w:rPr>
          <w:rFonts w:cs="Arial"/>
        </w:rPr>
        <w:t xml:space="preserve">payments </w:t>
      </w:r>
      <w:r w:rsidRPr="0063622D">
        <w:rPr>
          <w:rFonts w:cs="Arial"/>
        </w:rPr>
        <w:t>to ERCOT.  Clearly</w:t>
      </w:r>
      <w:r w:rsidR="00491798" w:rsidRPr="0063622D">
        <w:rPr>
          <w:rFonts w:cs="Arial"/>
        </w:rPr>
        <w:t>,</w:t>
      </w:r>
      <w:r w:rsidRPr="0063622D">
        <w:rPr>
          <w:rFonts w:cs="Arial"/>
        </w:rPr>
        <w:t xml:space="preserve"> ERCOT’s credit policies as they related to unsecured credit worked in 36 of 37 cases.</w:t>
      </w:r>
    </w:p>
    <w:p w14:paraId="40815CB1" w14:textId="02B73F1F" w:rsidR="00521A54" w:rsidRPr="0063622D" w:rsidRDefault="0034393B" w:rsidP="0063622D">
      <w:pPr>
        <w:pStyle w:val="NormalArial"/>
        <w:spacing w:before="120" w:after="120"/>
        <w:rPr>
          <w:rFonts w:cs="Arial"/>
        </w:rPr>
      </w:pPr>
      <w:r w:rsidRPr="0063622D">
        <w:rPr>
          <w:rFonts w:cs="Arial"/>
        </w:rPr>
        <w:t>The one Market Participant that received unsecured credit and has failed to fully pay is challenging</w:t>
      </w:r>
      <w:r w:rsidR="000626FB" w:rsidRPr="0063622D">
        <w:rPr>
          <w:rFonts w:cs="Arial"/>
        </w:rPr>
        <w:t xml:space="preserve"> ERCOT on the validity of the charges it received</w:t>
      </w:r>
      <w:r w:rsidR="002842B1" w:rsidRPr="0063622D">
        <w:rPr>
          <w:rFonts w:cs="Arial"/>
        </w:rPr>
        <w:t>.</w:t>
      </w:r>
      <w:r w:rsidR="000626FB" w:rsidRPr="0063622D">
        <w:rPr>
          <w:rFonts w:cs="Arial"/>
        </w:rPr>
        <w:t xml:space="preserve"> </w:t>
      </w:r>
      <w:r w:rsidR="0063622D">
        <w:rPr>
          <w:rFonts w:cs="Arial"/>
        </w:rPr>
        <w:t xml:space="preserve"> </w:t>
      </w:r>
      <w:r w:rsidR="00491798" w:rsidRPr="0063622D">
        <w:rPr>
          <w:rFonts w:cs="Arial"/>
        </w:rPr>
        <w:t>T</w:t>
      </w:r>
      <w:r w:rsidR="000626FB" w:rsidRPr="0063622D">
        <w:rPr>
          <w:rFonts w:cs="Arial"/>
        </w:rPr>
        <w:t xml:space="preserve">he </w:t>
      </w:r>
      <w:r w:rsidR="002842B1" w:rsidRPr="0063622D">
        <w:rPr>
          <w:rFonts w:cs="Arial"/>
        </w:rPr>
        <w:t xml:space="preserve">assumed </w:t>
      </w:r>
      <w:r w:rsidR="000626FB" w:rsidRPr="0063622D">
        <w:rPr>
          <w:rFonts w:cs="Arial"/>
        </w:rPr>
        <w:t>$50 million</w:t>
      </w:r>
      <w:r w:rsidR="002842B1" w:rsidRPr="0063622D">
        <w:rPr>
          <w:rFonts w:cs="Arial"/>
        </w:rPr>
        <w:t xml:space="preserve"> of unsecured credit</w:t>
      </w:r>
      <w:r w:rsidR="000626FB" w:rsidRPr="0063622D">
        <w:rPr>
          <w:rFonts w:cs="Arial"/>
        </w:rPr>
        <w:t xml:space="preserve"> that counterparty could have potentially been granted (actual amount is confidential) would not materially change the</w:t>
      </w:r>
      <w:r w:rsidR="004B101E" w:rsidRPr="0063622D">
        <w:rPr>
          <w:rFonts w:cs="Arial"/>
        </w:rPr>
        <w:t xml:space="preserve"> portion of the</w:t>
      </w:r>
      <w:r w:rsidR="000626FB" w:rsidRPr="0063622D">
        <w:rPr>
          <w:rFonts w:cs="Arial"/>
        </w:rPr>
        <w:t xml:space="preserve"> $1.9 </w:t>
      </w:r>
      <w:r w:rsidR="002842B1" w:rsidRPr="0063622D">
        <w:rPr>
          <w:rFonts w:cs="Arial"/>
        </w:rPr>
        <w:t xml:space="preserve">billion </w:t>
      </w:r>
      <w:r w:rsidR="009849CF" w:rsidRPr="0063622D">
        <w:rPr>
          <w:rFonts w:cs="Arial"/>
        </w:rPr>
        <w:t>amount</w:t>
      </w:r>
      <w:r w:rsidR="000626FB" w:rsidRPr="0063622D">
        <w:rPr>
          <w:rFonts w:cs="Arial"/>
        </w:rPr>
        <w:t xml:space="preserve"> </w:t>
      </w:r>
      <w:r w:rsidR="00491798" w:rsidRPr="0063622D">
        <w:rPr>
          <w:rFonts w:cs="Arial"/>
        </w:rPr>
        <w:t>currently in default with</w:t>
      </w:r>
      <w:r w:rsidR="000066FE" w:rsidRPr="0063622D">
        <w:rPr>
          <w:rFonts w:cs="Arial"/>
        </w:rPr>
        <w:t xml:space="preserve"> </w:t>
      </w:r>
      <w:r w:rsidR="000626FB" w:rsidRPr="0063622D">
        <w:rPr>
          <w:rFonts w:cs="Arial"/>
        </w:rPr>
        <w:t xml:space="preserve">ERCOT.  </w:t>
      </w:r>
    </w:p>
    <w:p w14:paraId="185FF24F" w14:textId="3A986E04" w:rsidR="00224249" w:rsidRPr="0063622D" w:rsidRDefault="000626FB" w:rsidP="0063622D">
      <w:pPr>
        <w:pStyle w:val="NormalArial"/>
        <w:spacing w:before="120" w:after="120"/>
        <w:rPr>
          <w:rFonts w:cs="Arial"/>
        </w:rPr>
      </w:pPr>
      <w:r w:rsidRPr="0063622D">
        <w:rPr>
          <w:rFonts w:cs="Arial"/>
        </w:rPr>
        <w:lastRenderedPageBreak/>
        <w:t>S</w:t>
      </w:r>
      <w:r w:rsidR="000066FE" w:rsidRPr="0063622D">
        <w:rPr>
          <w:rFonts w:cs="Arial"/>
        </w:rPr>
        <w:t xml:space="preserve">ome Market Participants have suggested that while the </w:t>
      </w:r>
      <w:r w:rsidR="00342FFE" w:rsidRPr="0063622D">
        <w:rPr>
          <w:rFonts w:cs="Arial"/>
        </w:rPr>
        <w:t>S</w:t>
      </w:r>
      <w:r w:rsidR="000066FE" w:rsidRPr="0063622D">
        <w:rPr>
          <w:rFonts w:cs="Arial"/>
        </w:rPr>
        <w:t>tate offered a securitization option following Uri, it would not do so again in the future</w:t>
      </w:r>
      <w:r w:rsidRPr="0063622D">
        <w:rPr>
          <w:rFonts w:cs="Arial"/>
        </w:rPr>
        <w:t xml:space="preserve"> should a similar event occur</w:t>
      </w:r>
      <w:r w:rsidR="000066FE" w:rsidRPr="0063622D">
        <w:rPr>
          <w:rFonts w:cs="Arial"/>
        </w:rPr>
        <w:t xml:space="preserve"> and therefore unsecured credit </w:t>
      </w:r>
      <w:r w:rsidR="008D79FB" w:rsidRPr="0063622D">
        <w:rPr>
          <w:rFonts w:cs="Arial"/>
        </w:rPr>
        <w:t xml:space="preserve">should </w:t>
      </w:r>
      <w:r w:rsidR="000066FE" w:rsidRPr="0063622D">
        <w:rPr>
          <w:rFonts w:cs="Arial"/>
        </w:rPr>
        <w:t>now</w:t>
      </w:r>
      <w:r w:rsidR="008D79FB" w:rsidRPr="0063622D">
        <w:rPr>
          <w:rFonts w:cs="Arial"/>
        </w:rPr>
        <w:t xml:space="preserve"> be eliminated</w:t>
      </w:r>
      <w:r w:rsidR="000066FE" w:rsidRPr="0063622D">
        <w:rPr>
          <w:rFonts w:cs="Arial"/>
        </w:rPr>
        <w:t xml:space="preserve">.  </w:t>
      </w:r>
      <w:r w:rsidR="00A54308" w:rsidRPr="0063622D">
        <w:rPr>
          <w:rFonts w:cs="Arial"/>
        </w:rPr>
        <w:t>This suggestion fails to consider both the</w:t>
      </w:r>
      <w:r w:rsidRPr="0063622D">
        <w:rPr>
          <w:rFonts w:cs="Arial"/>
        </w:rPr>
        <w:t xml:space="preserve"> small scale of unsecured credit compared to </w:t>
      </w:r>
      <w:r w:rsidR="009849CF" w:rsidRPr="0063622D">
        <w:rPr>
          <w:rFonts w:cs="Arial"/>
        </w:rPr>
        <w:t xml:space="preserve">the </w:t>
      </w:r>
      <w:r w:rsidRPr="0063622D">
        <w:rPr>
          <w:rFonts w:cs="Arial"/>
        </w:rPr>
        <w:t>total obligations of the parties in such an event</w:t>
      </w:r>
      <w:r w:rsidR="009849CF" w:rsidRPr="0063622D">
        <w:rPr>
          <w:rFonts w:cs="Arial"/>
        </w:rPr>
        <w:t>,</w:t>
      </w:r>
      <w:r w:rsidRPr="0063622D">
        <w:rPr>
          <w:rFonts w:cs="Arial"/>
        </w:rPr>
        <w:t xml:space="preserve"> a</w:t>
      </w:r>
      <w:r w:rsidR="005D5E22" w:rsidRPr="0063622D">
        <w:rPr>
          <w:rFonts w:cs="Arial"/>
        </w:rPr>
        <w:t>nd the</w:t>
      </w:r>
      <w:r w:rsidR="00A54308" w:rsidRPr="0063622D">
        <w:rPr>
          <w:rFonts w:cs="Arial"/>
        </w:rPr>
        <w:t xml:space="preserve"> actions the Public Utility Commission </w:t>
      </w:r>
      <w:r w:rsidR="00C73B87" w:rsidRPr="0063622D">
        <w:rPr>
          <w:rFonts w:cs="Arial"/>
        </w:rPr>
        <w:t xml:space="preserve">(PUC) </w:t>
      </w:r>
      <w:r w:rsidR="00A54308" w:rsidRPr="0063622D">
        <w:rPr>
          <w:rFonts w:cs="Arial"/>
        </w:rPr>
        <w:t xml:space="preserve">and </w:t>
      </w:r>
      <w:r w:rsidR="009849CF" w:rsidRPr="0063622D">
        <w:rPr>
          <w:rFonts w:cs="Arial"/>
        </w:rPr>
        <w:t xml:space="preserve">Legislature through </w:t>
      </w:r>
      <w:r w:rsidR="00A54308" w:rsidRPr="0063622D">
        <w:rPr>
          <w:rFonts w:cs="Arial"/>
        </w:rPr>
        <w:t>Senate Bill 3</w:t>
      </w:r>
      <w:r w:rsidR="005D5E22" w:rsidRPr="0063622D">
        <w:rPr>
          <w:rFonts w:cs="Arial"/>
        </w:rPr>
        <w:t xml:space="preserve"> have taken to mitigate future exposures</w:t>
      </w:r>
      <w:r w:rsidR="00A54308" w:rsidRPr="0063622D">
        <w:rPr>
          <w:rFonts w:cs="Arial"/>
        </w:rPr>
        <w:t xml:space="preserve">. </w:t>
      </w:r>
      <w:r w:rsidR="008A6246">
        <w:rPr>
          <w:rFonts w:cs="Arial"/>
        </w:rPr>
        <w:t xml:space="preserve"> </w:t>
      </w:r>
      <w:r w:rsidR="005D5E22" w:rsidRPr="0063622D">
        <w:rPr>
          <w:rFonts w:cs="Arial"/>
        </w:rPr>
        <w:t>Since Uri, t</w:t>
      </w:r>
      <w:r w:rsidR="00C73B87" w:rsidRPr="0063622D">
        <w:rPr>
          <w:rFonts w:cs="Arial"/>
        </w:rPr>
        <w:t xml:space="preserve">he PUC has lowered the </w:t>
      </w:r>
      <w:r w:rsidR="00491798" w:rsidRPr="0063622D">
        <w:rPr>
          <w:rFonts w:cs="Arial"/>
        </w:rPr>
        <w:t>offer</w:t>
      </w:r>
      <w:r w:rsidR="00C73B87" w:rsidRPr="0063622D">
        <w:rPr>
          <w:rFonts w:cs="Arial"/>
        </w:rPr>
        <w:t xml:space="preserve"> cap from $9,000 to $5,000 and SB3 requires</w:t>
      </w:r>
      <w:r w:rsidR="00342FFE" w:rsidRPr="0063622D">
        <w:rPr>
          <w:rFonts w:cs="Arial"/>
        </w:rPr>
        <w:t xml:space="preserve"> </w:t>
      </w:r>
      <w:r w:rsidR="00491798" w:rsidRPr="0063622D">
        <w:rPr>
          <w:rFonts w:cs="Arial"/>
        </w:rPr>
        <w:t xml:space="preserve">that energy </w:t>
      </w:r>
      <w:r w:rsidR="00E72EC5" w:rsidRPr="0063622D">
        <w:rPr>
          <w:rFonts w:cs="Arial"/>
        </w:rPr>
        <w:t>offers</w:t>
      </w:r>
      <w:r w:rsidR="00491798" w:rsidRPr="0063622D">
        <w:rPr>
          <w:rFonts w:cs="Arial"/>
        </w:rPr>
        <w:t xml:space="preserve"> and </w:t>
      </w:r>
      <w:r w:rsidR="008A6246">
        <w:rPr>
          <w:rFonts w:cs="Arial"/>
        </w:rPr>
        <w:t>S</w:t>
      </w:r>
      <w:r w:rsidR="00491798" w:rsidRPr="0063622D">
        <w:rPr>
          <w:rFonts w:cs="Arial"/>
        </w:rPr>
        <w:t>ettlement</w:t>
      </w:r>
      <w:r w:rsidR="00342FFE" w:rsidRPr="0063622D">
        <w:rPr>
          <w:rFonts w:cs="Arial"/>
        </w:rPr>
        <w:t xml:space="preserve"> be lowered to actual cost after</w:t>
      </w:r>
      <w:r w:rsidR="00C73B87" w:rsidRPr="0063622D">
        <w:rPr>
          <w:rFonts w:cs="Arial"/>
        </w:rPr>
        <w:t xml:space="preserve"> 12 hours at the cap. </w:t>
      </w:r>
      <w:r w:rsidR="008A6246">
        <w:rPr>
          <w:rFonts w:cs="Arial"/>
        </w:rPr>
        <w:t xml:space="preserve"> </w:t>
      </w:r>
      <w:r w:rsidR="00491798" w:rsidRPr="0063622D">
        <w:rPr>
          <w:rFonts w:cs="Arial"/>
        </w:rPr>
        <w:t>It is estimated that during Uri, the effect of t</w:t>
      </w:r>
      <w:r w:rsidR="00C77903" w:rsidRPr="0063622D">
        <w:rPr>
          <w:rFonts w:cs="Arial"/>
        </w:rPr>
        <w:t xml:space="preserve">hose two changes </w:t>
      </w:r>
      <w:r w:rsidR="00335CA3" w:rsidRPr="0063622D">
        <w:rPr>
          <w:rFonts w:cs="Arial"/>
        </w:rPr>
        <w:t>as well as adherence to the</w:t>
      </w:r>
      <w:r w:rsidR="008A6246">
        <w:rPr>
          <w:rFonts w:cs="Arial"/>
        </w:rPr>
        <w:t xml:space="preserve"> </w:t>
      </w:r>
      <w:r w:rsidR="008A6246" w:rsidRPr="008A6246">
        <w:rPr>
          <w:rFonts w:cs="Arial"/>
        </w:rPr>
        <w:t>Low System-Wide Offer Cap</w:t>
      </w:r>
      <w:r w:rsidR="00335CA3" w:rsidRPr="0063622D">
        <w:rPr>
          <w:rFonts w:cs="Arial"/>
        </w:rPr>
        <w:t xml:space="preserve"> </w:t>
      </w:r>
      <w:r w:rsidR="008A6246">
        <w:rPr>
          <w:rFonts w:cs="Arial"/>
        </w:rPr>
        <w:t>(</w:t>
      </w:r>
      <w:r w:rsidR="00335CA3" w:rsidRPr="0063622D">
        <w:rPr>
          <w:rFonts w:cs="Arial"/>
        </w:rPr>
        <w:t>LCAP</w:t>
      </w:r>
      <w:r w:rsidR="008A6246">
        <w:rPr>
          <w:rFonts w:cs="Arial"/>
        </w:rPr>
        <w:t>)</w:t>
      </w:r>
      <w:r w:rsidR="00335CA3" w:rsidRPr="0063622D">
        <w:rPr>
          <w:rFonts w:cs="Arial"/>
        </w:rPr>
        <w:t xml:space="preserve"> prices </w:t>
      </w:r>
      <w:r w:rsidR="009849CF" w:rsidRPr="0063622D">
        <w:rPr>
          <w:rFonts w:cs="Arial"/>
        </w:rPr>
        <w:t xml:space="preserve">(that no longer include a multiplier for fuel) </w:t>
      </w:r>
      <w:r w:rsidR="00C77903" w:rsidRPr="0063622D">
        <w:rPr>
          <w:rFonts w:cs="Arial"/>
        </w:rPr>
        <w:t>would have reduced the cost by</w:t>
      </w:r>
      <w:r w:rsidR="00335CA3" w:rsidRPr="0063622D">
        <w:rPr>
          <w:rFonts w:cs="Arial"/>
        </w:rPr>
        <w:t xml:space="preserve"> about </w:t>
      </w:r>
      <w:r w:rsidR="00C77903" w:rsidRPr="0063622D">
        <w:rPr>
          <w:rFonts w:cs="Arial"/>
        </w:rPr>
        <w:t>7</w:t>
      </w:r>
      <w:r w:rsidR="00335CA3" w:rsidRPr="0063622D">
        <w:rPr>
          <w:rFonts w:cs="Arial"/>
        </w:rPr>
        <w:t>5</w:t>
      </w:r>
      <w:r w:rsidR="00C77903" w:rsidRPr="0063622D">
        <w:rPr>
          <w:rFonts w:cs="Arial"/>
        </w:rPr>
        <w:t>%.</w:t>
      </w:r>
      <w:r w:rsidR="00C73B87" w:rsidRPr="0063622D">
        <w:rPr>
          <w:rFonts w:cs="Arial"/>
        </w:rPr>
        <w:t xml:space="preserve">  </w:t>
      </w:r>
      <w:r w:rsidR="00C77903" w:rsidRPr="0063622D">
        <w:rPr>
          <w:rFonts w:cs="Arial"/>
        </w:rPr>
        <w:t xml:space="preserve">This reduction in risk is before consideration of any other PUC changes which are currently under way.  </w:t>
      </w:r>
    </w:p>
    <w:p w14:paraId="1F9DE6D5" w14:textId="77777777" w:rsidR="00D00FE8" w:rsidRPr="0063622D" w:rsidRDefault="000626FB" w:rsidP="0063622D">
      <w:pPr>
        <w:pStyle w:val="NormalArial"/>
        <w:spacing w:before="120" w:after="120"/>
        <w:rPr>
          <w:rFonts w:cs="Arial"/>
          <w:u w:val="single"/>
        </w:rPr>
      </w:pPr>
      <w:r w:rsidRPr="0063622D">
        <w:rPr>
          <w:rFonts w:cs="Arial"/>
          <w:u w:val="single"/>
        </w:rPr>
        <w:t>Credit Work Group</w:t>
      </w:r>
    </w:p>
    <w:p w14:paraId="07AD2E0F" w14:textId="5CA60849" w:rsidR="00BD7258" w:rsidRPr="0063622D" w:rsidRDefault="000626FB" w:rsidP="0063622D">
      <w:pPr>
        <w:pStyle w:val="NormalArial"/>
        <w:spacing w:before="120" w:after="120"/>
        <w:rPr>
          <w:rFonts w:cs="Arial"/>
        </w:rPr>
      </w:pPr>
      <w:r w:rsidRPr="0063622D">
        <w:rPr>
          <w:rFonts w:cs="Arial"/>
        </w:rPr>
        <w:t xml:space="preserve">Unlike most of the </w:t>
      </w:r>
      <w:r w:rsidR="008A6246">
        <w:rPr>
          <w:rFonts w:cs="Arial"/>
        </w:rPr>
        <w:t>W</w:t>
      </w:r>
      <w:r w:rsidRPr="0063622D">
        <w:rPr>
          <w:rFonts w:cs="Arial"/>
        </w:rPr>
        <w:t xml:space="preserve">orking </w:t>
      </w:r>
      <w:r w:rsidR="008A6246">
        <w:rPr>
          <w:rFonts w:cs="Arial"/>
        </w:rPr>
        <w:t>G</w:t>
      </w:r>
      <w:r w:rsidRPr="0063622D">
        <w:rPr>
          <w:rFonts w:cs="Arial"/>
        </w:rPr>
        <w:t>roups in the stakeholder process</w:t>
      </w:r>
      <w:r w:rsidR="008A6246">
        <w:rPr>
          <w:rFonts w:cs="Arial"/>
        </w:rPr>
        <w:t>,</w:t>
      </w:r>
      <w:r w:rsidRPr="0063622D">
        <w:rPr>
          <w:rFonts w:cs="Arial"/>
        </w:rPr>
        <w:t xml:space="preserve"> the Credit Work Group is a Board</w:t>
      </w:r>
      <w:r w:rsidR="008A6246">
        <w:rPr>
          <w:rFonts w:cs="Arial"/>
        </w:rPr>
        <w:t>-</w:t>
      </w:r>
      <w:r w:rsidRPr="0063622D">
        <w:rPr>
          <w:rFonts w:cs="Arial"/>
        </w:rPr>
        <w:t xml:space="preserve">level </w:t>
      </w:r>
      <w:r w:rsidR="008A6246">
        <w:rPr>
          <w:rFonts w:cs="Arial"/>
        </w:rPr>
        <w:t>W</w:t>
      </w:r>
      <w:r w:rsidRPr="0063622D">
        <w:rPr>
          <w:rFonts w:cs="Arial"/>
        </w:rPr>
        <w:t xml:space="preserve">orking </w:t>
      </w:r>
      <w:r w:rsidR="008A6246">
        <w:rPr>
          <w:rFonts w:cs="Arial"/>
        </w:rPr>
        <w:t>G</w:t>
      </w:r>
      <w:r w:rsidRPr="0063622D">
        <w:rPr>
          <w:rFonts w:cs="Arial"/>
        </w:rPr>
        <w:t>roup ma</w:t>
      </w:r>
      <w:r w:rsidR="00335CA3" w:rsidRPr="0063622D">
        <w:rPr>
          <w:rFonts w:cs="Arial"/>
        </w:rPr>
        <w:t>d</w:t>
      </w:r>
      <w:r w:rsidRPr="0063622D">
        <w:rPr>
          <w:rFonts w:cs="Arial"/>
        </w:rPr>
        <w:t>e up of credit professionals, who must prove to ERCOT</w:t>
      </w:r>
      <w:r w:rsidR="009849CF" w:rsidRPr="0063622D">
        <w:rPr>
          <w:rFonts w:cs="Arial"/>
        </w:rPr>
        <w:t>’</w:t>
      </w:r>
      <w:r w:rsidRPr="0063622D">
        <w:rPr>
          <w:rFonts w:cs="Arial"/>
        </w:rPr>
        <w:t xml:space="preserve">s satisfaction </w:t>
      </w:r>
      <w:r w:rsidR="00E96D64" w:rsidRPr="0063622D">
        <w:rPr>
          <w:rFonts w:cs="Arial"/>
        </w:rPr>
        <w:t xml:space="preserve">that </w:t>
      </w:r>
      <w:r w:rsidRPr="0063622D">
        <w:rPr>
          <w:rFonts w:cs="Arial"/>
        </w:rPr>
        <w:t>the</w:t>
      </w:r>
      <w:r w:rsidR="00E96D64" w:rsidRPr="0063622D">
        <w:rPr>
          <w:rFonts w:cs="Arial"/>
        </w:rPr>
        <w:t xml:space="preserve"> individual’s</w:t>
      </w:r>
      <w:r w:rsidRPr="0063622D">
        <w:rPr>
          <w:rFonts w:cs="Arial"/>
        </w:rPr>
        <w:t xml:space="preserve"> job </w:t>
      </w:r>
      <w:r w:rsidR="008C3932" w:rsidRPr="0063622D">
        <w:rPr>
          <w:rFonts w:cs="Arial"/>
        </w:rPr>
        <w:t>functions,</w:t>
      </w:r>
      <w:r w:rsidRPr="0063622D">
        <w:rPr>
          <w:rFonts w:cs="Arial"/>
        </w:rPr>
        <w:t xml:space="preserve"> and professional experience warrant </w:t>
      </w:r>
      <w:r w:rsidR="00E96D64" w:rsidRPr="0063622D">
        <w:rPr>
          <w:rFonts w:cs="Arial"/>
        </w:rPr>
        <w:t>their participation</w:t>
      </w:r>
      <w:r w:rsidRPr="0063622D">
        <w:rPr>
          <w:rFonts w:cs="Arial"/>
        </w:rPr>
        <w:t xml:space="preserve"> </w:t>
      </w:r>
      <w:r w:rsidR="00E96D64" w:rsidRPr="0063622D">
        <w:rPr>
          <w:rFonts w:cs="Arial"/>
        </w:rPr>
        <w:t>i</w:t>
      </w:r>
      <w:r w:rsidRPr="0063622D">
        <w:rPr>
          <w:rFonts w:cs="Arial"/>
        </w:rPr>
        <w:t xml:space="preserve">n the </w:t>
      </w:r>
      <w:r w:rsidR="008A6246">
        <w:rPr>
          <w:rFonts w:cs="Arial"/>
        </w:rPr>
        <w:t>W</w:t>
      </w:r>
      <w:r w:rsidRPr="0063622D">
        <w:rPr>
          <w:rFonts w:cs="Arial"/>
        </w:rPr>
        <w:t xml:space="preserve">orking </w:t>
      </w:r>
      <w:r w:rsidR="008A6246">
        <w:rPr>
          <w:rFonts w:cs="Arial"/>
        </w:rPr>
        <w:t>G</w:t>
      </w:r>
      <w:r w:rsidRPr="0063622D">
        <w:rPr>
          <w:rFonts w:cs="Arial"/>
        </w:rPr>
        <w:t xml:space="preserve">roup.  The Credit Work Group meets in conjunction with the Market Credit Work Group </w:t>
      </w:r>
      <w:r w:rsidR="008A6246">
        <w:rPr>
          <w:rFonts w:cs="Arial"/>
        </w:rPr>
        <w:t xml:space="preserve">(MCWG) </w:t>
      </w:r>
      <w:r w:rsidRPr="0063622D">
        <w:rPr>
          <w:rFonts w:cs="Arial"/>
        </w:rPr>
        <w:t xml:space="preserve">but only the Credit Work Group has a voting structure.  The Credit Work Group has considered </w:t>
      </w:r>
      <w:r w:rsidR="008A6246">
        <w:rPr>
          <w:rFonts w:cs="Arial"/>
        </w:rPr>
        <w:t>Nodal Protocol Revision Request (</w:t>
      </w:r>
      <w:r w:rsidRPr="0063622D">
        <w:rPr>
          <w:rFonts w:cs="Arial"/>
        </w:rPr>
        <w:t>NPRR</w:t>
      </w:r>
      <w:r w:rsidR="008A6246">
        <w:rPr>
          <w:rFonts w:cs="Arial"/>
        </w:rPr>
        <w:t>)</w:t>
      </w:r>
      <w:r w:rsidRPr="0063622D">
        <w:rPr>
          <w:rFonts w:cs="Arial"/>
        </w:rPr>
        <w:t xml:space="preserve"> 1112 on three different </w:t>
      </w:r>
      <w:r w:rsidR="004545C2" w:rsidRPr="0063622D">
        <w:rPr>
          <w:rFonts w:cs="Arial"/>
        </w:rPr>
        <w:t>occasions,</w:t>
      </w:r>
      <w:r w:rsidRPr="0063622D">
        <w:rPr>
          <w:rFonts w:cs="Arial"/>
        </w:rPr>
        <w:t xml:space="preserve"> and </w:t>
      </w:r>
      <w:r w:rsidR="008D79FB" w:rsidRPr="0063622D">
        <w:rPr>
          <w:rFonts w:cs="Arial"/>
        </w:rPr>
        <w:t>Joint Commenters</w:t>
      </w:r>
      <w:r w:rsidR="009460AC" w:rsidRPr="0063622D">
        <w:rPr>
          <w:rFonts w:cs="Arial"/>
        </w:rPr>
        <w:t xml:space="preserve"> support the recommendation of the </w:t>
      </w:r>
      <w:r w:rsidR="00E96D64" w:rsidRPr="0063622D">
        <w:rPr>
          <w:rFonts w:cs="Arial"/>
        </w:rPr>
        <w:t>c</w:t>
      </w:r>
      <w:r w:rsidR="009460AC" w:rsidRPr="0063622D">
        <w:rPr>
          <w:rFonts w:cs="Arial"/>
        </w:rPr>
        <w:t xml:space="preserve">redit </w:t>
      </w:r>
      <w:r w:rsidR="00E96D64" w:rsidRPr="0063622D">
        <w:rPr>
          <w:rFonts w:cs="Arial"/>
        </w:rPr>
        <w:t>p</w:t>
      </w:r>
      <w:r w:rsidR="009460AC" w:rsidRPr="0063622D">
        <w:rPr>
          <w:rFonts w:cs="Arial"/>
        </w:rPr>
        <w:t xml:space="preserve">rofessionals to reduce the Unsecured Credit Limits from $50M to $30 million.  </w:t>
      </w:r>
      <w:r w:rsidR="005D5E22" w:rsidRPr="0063622D">
        <w:rPr>
          <w:rFonts w:cs="Arial"/>
        </w:rPr>
        <w:t xml:space="preserve">As the </w:t>
      </w:r>
      <w:r w:rsidR="008A6246">
        <w:rPr>
          <w:rFonts w:cs="Arial"/>
        </w:rPr>
        <w:t>3/15/22</w:t>
      </w:r>
      <w:r w:rsidR="002647BD" w:rsidRPr="0063622D">
        <w:rPr>
          <w:rFonts w:cs="Arial"/>
        </w:rPr>
        <w:t xml:space="preserve"> Credit Work Group comments </w:t>
      </w:r>
      <w:r w:rsidR="005D5E22" w:rsidRPr="0063622D">
        <w:rPr>
          <w:rFonts w:cs="Arial"/>
        </w:rPr>
        <w:t>state:</w:t>
      </w:r>
    </w:p>
    <w:p w14:paraId="59B61213" w14:textId="77777777" w:rsidR="007459C3" w:rsidRPr="0063622D" w:rsidRDefault="000626FB" w:rsidP="0063622D">
      <w:pPr>
        <w:pStyle w:val="NormalArial"/>
        <w:spacing w:before="120" w:after="120"/>
        <w:ind w:left="720"/>
        <w:jc w:val="both"/>
        <w:rPr>
          <w:rFonts w:cs="Arial"/>
          <w:i/>
          <w:iCs/>
        </w:rPr>
      </w:pPr>
      <w:r w:rsidRPr="0063622D">
        <w:rPr>
          <w:rFonts w:cs="Arial"/>
          <w:i/>
          <w:iCs/>
        </w:rPr>
        <w:t xml:space="preserve">On March 14, 2022, the Credit WG reviewed Nodal Protocol Revision Request (NPRR) 1112.  The Credit WG proposed the $30M limit as a compromise between the existing policy and ERCOT’s proposal of eliminating unsecured credit.  </w:t>
      </w:r>
      <w:r w:rsidRPr="0063622D">
        <w:rPr>
          <w:rFonts w:cs="Arial"/>
          <w:b/>
          <w:bCs/>
          <w:i/>
          <w:iCs/>
        </w:rPr>
        <w:t>Credit WG can support retaining the existing credit limit or a reduction to $30M.</w:t>
      </w:r>
      <w:r w:rsidRPr="0063622D">
        <w:rPr>
          <w:rFonts w:cs="Arial"/>
          <w:i/>
          <w:iCs/>
        </w:rPr>
        <w:t xml:space="preserve">  Based on information reviewed to date, </w:t>
      </w:r>
      <w:r w:rsidRPr="0063622D">
        <w:rPr>
          <w:rFonts w:cs="Arial"/>
          <w:b/>
          <w:bCs/>
          <w:i/>
          <w:iCs/>
          <w:u w:val="single"/>
        </w:rPr>
        <w:t>Credit WG has not seen evidence of a material improvement in credit risk due to the reduction or elimination of unsecured credit.</w:t>
      </w:r>
    </w:p>
    <w:p w14:paraId="43DD7E41" w14:textId="1DAA1B18" w:rsidR="009460AC" w:rsidRPr="0063622D" w:rsidRDefault="008D79FB" w:rsidP="0063622D">
      <w:pPr>
        <w:pStyle w:val="NormalArial"/>
        <w:spacing w:before="120" w:after="120"/>
        <w:rPr>
          <w:rFonts w:cs="Arial"/>
        </w:rPr>
      </w:pPr>
      <w:r w:rsidRPr="0063622D">
        <w:rPr>
          <w:rFonts w:cs="Arial"/>
        </w:rPr>
        <w:t>Joint Commenters</w:t>
      </w:r>
      <w:r w:rsidR="000626FB" w:rsidRPr="0063622D">
        <w:rPr>
          <w:rFonts w:cs="Arial"/>
        </w:rPr>
        <w:t xml:space="preserve"> understand ERCOT prefer</w:t>
      </w:r>
      <w:r w:rsidR="00335CA3" w:rsidRPr="0063622D">
        <w:rPr>
          <w:rFonts w:cs="Arial"/>
        </w:rPr>
        <w:t>s</w:t>
      </w:r>
      <w:r w:rsidR="000626FB" w:rsidRPr="0063622D">
        <w:rPr>
          <w:rFonts w:cs="Arial"/>
        </w:rPr>
        <w:t xml:space="preserve"> to </w:t>
      </w:r>
      <w:r w:rsidR="000A4492" w:rsidRPr="0063622D">
        <w:rPr>
          <w:rFonts w:cs="Arial"/>
        </w:rPr>
        <w:t>eliminate</w:t>
      </w:r>
      <w:r w:rsidR="000626FB" w:rsidRPr="0063622D">
        <w:rPr>
          <w:rFonts w:cs="Arial"/>
        </w:rPr>
        <w:t xml:space="preserve"> unsecured credit, but </w:t>
      </w:r>
      <w:r w:rsidR="005D5E22" w:rsidRPr="0063622D">
        <w:rPr>
          <w:rFonts w:cs="Arial"/>
        </w:rPr>
        <w:t xml:space="preserve">it appears </w:t>
      </w:r>
      <w:r w:rsidR="00E96D64" w:rsidRPr="0063622D">
        <w:rPr>
          <w:rFonts w:cs="Arial"/>
        </w:rPr>
        <w:t>that the</w:t>
      </w:r>
      <w:r w:rsidR="005D5E22" w:rsidRPr="0063622D">
        <w:rPr>
          <w:rFonts w:cs="Arial"/>
        </w:rPr>
        <w:t xml:space="preserve"> proposal to eliminate all unsecured credit is a solution looking for a </w:t>
      </w:r>
      <w:r w:rsidR="000626FB" w:rsidRPr="0063622D">
        <w:rPr>
          <w:rFonts w:cs="Arial"/>
        </w:rPr>
        <w:t>problem.  Today there are 37 Market Participants with u</w:t>
      </w:r>
      <w:r w:rsidR="000A4492" w:rsidRPr="0063622D">
        <w:rPr>
          <w:rFonts w:cs="Arial"/>
        </w:rPr>
        <w:t>n</w:t>
      </w:r>
      <w:r w:rsidR="000626FB" w:rsidRPr="0063622D">
        <w:rPr>
          <w:rFonts w:cs="Arial"/>
        </w:rPr>
        <w:t xml:space="preserve">secured credit. </w:t>
      </w:r>
      <w:r w:rsidR="008A6246">
        <w:rPr>
          <w:rFonts w:cs="Arial"/>
        </w:rPr>
        <w:t xml:space="preserve"> </w:t>
      </w:r>
      <w:r w:rsidR="000626FB" w:rsidRPr="0063622D">
        <w:rPr>
          <w:rFonts w:cs="Arial"/>
        </w:rPr>
        <w:t xml:space="preserve">Eliminating </w:t>
      </w:r>
      <w:r w:rsidR="005D5E22" w:rsidRPr="0063622D">
        <w:rPr>
          <w:rFonts w:cs="Arial"/>
        </w:rPr>
        <w:t xml:space="preserve">unsecured </w:t>
      </w:r>
      <w:r w:rsidR="000626FB" w:rsidRPr="0063622D">
        <w:rPr>
          <w:rFonts w:cs="Arial"/>
        </w:rPr>
        <w:t xml:space="preserve">credit </w:t>
      </w:r>
      <w:r w:rsidR="005D5E22" w:rsidRPr="0063622D">
        <w:rPr>
          <w:rFonts w:cs="Arial"/>
        </w:rPr>
        <w:t xml:space="preserve">to these 37 parties </w:t>
      </w:r>
      <w:r w:rsidR="000626FB" w:rsidRPr="0063622D">
        <w:rPr>
          <w:rFonts w:cs="Arial"/>
        </w:rPr>
        <w:t xml:space="preserve">will add </w:t>
      </w:r>
      <w:r w:rsidR="005D5E22" w:rsidRPr="0063622D">
        <w:rPr>
          <w:rFonts w:cs="Arial"/>
        </w:rPr>
        <w:t xml:space="preserve">additional </w:t>
      </w:r>
      <w:r w:rsidR="000626FB" w:rsidRPr="0063622D">
        <w:rPr>
          <w:rFonts w:cs="Arial"/>
        </w:rPr>
        <w:t>costs to the market and will naturally force the</w:t>
      </w:r>
      <w:r w:rsidR="00E96D64" w:rsidRPr="0063622D">
        <w:rPr>
          <w:rFonts w:cs="Arial"/>
        </w:rPr>
        <w:t xml:space="preserve"> affected</w:t>
      </w:r>
      <w:r w:rsidR="000626FB" w:rsidRPr="0063622D">
        <w:rPr>
          <w:rFonts w:cs="Arial"/>
        </w:rPr>
        <w:t xml:space="preserve"> </w:t>
      </w:r>
      <w:r w:rsidR="008A6246">
        <w:rPr>
          <w:rFonts w:cs="Arial"/>
        </w:rPr>
        <w:t>C</w:t>
      </w:r>
      <w:r w:rsidR="000A4492" w:rsidRPr="0063622D">
        <w:rPr>
          <w:rFonts w:cs="Arial"/>
        </w:rPr>
        <w:t>ounter</w:t>
      </w:r>
      <w:r w:rsidR="008A6246">
        <w:rPr>
          <w:rFonts w:cs="Arial"/>
        </w:rPr>
        <w:t>-P</w:t>
      </w:r>
      <w:r w:rsidR="000A4492" w:rsidRPr="0063622D">
        <w:rPr>
          <w:rFonts w:cs="Arial"/>
        </w:rPr>
        <w:t xml:space="preserve">arties to purchase credit support from a </w:t>
      </w:r>
      <w:r w:rsidR="00A65B45" w:rsidRPr="0063622D">
        <w:rPr>
          <w:rFonts w:cs="Arial"/>
        </w:rPr>
        <w:t>financial institution</w:t>
      </w:r>
      <w:r w:rsidR="000A4492" w:rsidRPr="0063622D">
        <w:rPr>
          <w:rFonts w:cs="Arial"/>
        </w:rPr>
        <w:t xml:space="preserve">.  Since there are a limited number of </w:t>
      </w:r>
      <w:r w:rsidR="00A65B45" w:rsidRPr="0063622D">
        <w:rPr>
          <w:rFonts w:cs="Arial"/>
        </w:rPr>
        <w:t xml:space="preserve">financial institutions </w:t>
      </w:r>
      <w:r w:rsidR="000A4492" w:rsidRPr="0063622D">
        <w:rPr>
          <w:rFonts w:cs="Arial"/>
        </w:rPr>
        <w:t xml:space="preserve">currently offering </w:t>
      </w:r>
      <w:r w:rsidR="00335CA3" w:rsidRPr="0063622D">
        <w:rPr>
          <w:rFonts w:cs="Arial"/>
        </w:rPr>
        <w:t>l</w:t>
      </w:r>
      <w:r w:rsidR="000A4492" w:rsidRPr="0063622D">
        <w:rPr>
          <w:rFonts w:cs="Arial"/>
        </w:rPr>
        <w:t xml:space="preserve">etters of credit, requiring </w:t>
      </w:r>
      <w:r w:rsidR="008A6246">
        <w:rPr>
          <w:rFonts w:cs="Arial"/>
        </w:rPr>
        <w:t>i</w:t>
      </w:r>
      <w:r w:rsidR="000A4492" w:rsidRPr="0063622D">
        <w:rPr>
          <w:rFonts w:cs="Arial"/>
        </w:rPr>
        <w:t xml:space="preserve">nvestment </w:t>
      </w:r>
      <w:r w:rsidR="00335CA3" w:rsidRPr="0063622D">
        <w:rPr>
          <w:rFonts w:cs="Arial"/>
        </w:rPr>
        <w:t>g</w:t>
      </w:r>
      <w:r w:rsidR="000A4492" w:rsidRPr="0063622D">
        <w:rPr>
          <w:rFonts w:cs="Arial"/>
        </w:rPr>
        <w:t>rade parties to use letters of credit from a limited number of</w:t>
      </w:r>
      <w:r w:rsidR="00A65B45" w:rsidRPr="0063622D">
        <w:rPr>
          <w:rFonts w:cs="Arial"/>
        </w:rPr>
        <w:t xml:space="preserve"> financial institutions</w:t>
      </w:r>
      <w:r w:rsidR="000A4492" w:rsidRPr="0063622D">
        <w:rPr>
          <w:rFonts w:cs="Arial"/>
        </w:rPr>
        <w:t xml:space="preserve"> will effective</w:t>
      </w:r>
      <w:r w:rsidR="00A65B45" w:rsidRPr="0063622D">
        <w:rPr>
          <w:rFonts w:cs="Arial"/>
        </w:rPr>
        <w:t>ly</w:t>
      </w:r>
      <w:r w:rsidR="000A4492" w:rsidRPr="0063622D">
        <w:rPr>
          <w:rFonts w:cs="Arial"/>
        </w:rPr>
        <w:t xml:space="preserve"> concentrate credit into fewer </w:t>
      </w:r>
      <w:r w:rsidR="008A6246">
        <w:rPr>
          <w:rFonts w:cs="Arial"/>
        </w:rPr>
        <w:t>E</w:t>
      </w:r>
      <w:r w:rsidR="000A4492" w:rsidRPr="0063622D">
        <w:rPr>
          <w:rFonts w:cs="Arial"/>
        </w:rPr>
        <w:t xml:space="preserve">ntities.  While that might be desirable if the </w:t>
      </w:r>
      <w:r w:rsidR="00A65B45" w:rsidRPr="0063622D">
        <w:rPr>
          <w:rFonts w:cs="Arial"/>
        </w:rPr>
        <w:t>financial institutions</w:t>
      </w:r>
      <w:r w:rsidR="000A4492" w:rsidRPr="0063622D">
        <w:rPr>
          <w:rFonts w:cs="Arial"/>
        </w:rPr>
        <w:t xml:space="preserve"> which were taking on that concentration had better credit than the exiting </w:t>
      </w:r>
      <w:r w:rsidR="008A6246">
        <w:rPr>
          <w:rFonts w:cs="Arial"/>
        </w:rPr>
        <w:t>C</w:t>
      </w:r>
      <w:r w:rsidR="000A4492" w:rsidRPr="0063622D">
        <w:rPr>
          <w:rFonts w:cs="Arial"/>
        </w:rPr>
        <w:t>ounter</w:t>
      </w:r>
      <w:r w:rsidR="008A6246">
        <w:rPr>
          <w:rFonts w:cs="Arial"/>
        </w:rPr>
        <w:t>-P</w:t>
      </w:r>
      <w:r w:rsidR="000A4492" w:rsidRPr="0063622D">
        <w:rPr>
          <w:rFonts w:cs="Arial"/>
        </w:rPr>
        <w:t>arties, that does not seem to be the case.</w:t>
      </w:r>
    </w:p>
    <w:p w14:paraId="1D773F25" w14:textId="4CA9948D" w:rsidR="000A4492" w:rsidRPr="0063622D" w:rsidRDefault="000626FB" w:rsidP="0063622D">
      <w:pPr>
        <w:pStyle w:val="NormalArial"/>
        <w:spacing w:before="120" w:after="120"/>
        <w:rPr>
          <w:rFonts w:cs="Arial"/>
        </w:rPr>
      </w:pPr>
      <w:r w:rsidRPr="0063622D">
        <w:rPr>
          <w:rFonts w:cs="Arial"/>
        </w:rPr>
        <w:lastRenderedPageBreak/>
        <w:t xml:space="preserve">The table below outlines the Fitch Credit ratings as of </w:t>
      </w:r>
      <w:r w:rsidR="00A54308" w:rsidRPr="0063622D">
        <w:rPr>
          <w:rFonts w:cs="Arial"/>
        </w:rPr>
        <w:t>4</w:t>
      </w:r>
      <w:r w:rsidRPr="0063622D">
        <w:rPr>
          <w:rFonts w:cs="Arial"/>
        </w:rPr>
        <w:t>/</w:t>
      </w:r>
      <w:r w:rsidR="00A54308" w:rsidRPr="0063622D">
        <w:rPr>
          <w:rFonts w:cs="Arial"/>
        </w:rPr>
        <w:t>02</w:t>
      </w:r>
      <w:r w:rsidRPr="0063622D">
        <w:rPr>
          <w:rFonts w:cs="Arial"/>
        </w:rPr>
        <w:t xml:space="preserve">/22 between </w:t>
      </w:r>
      <w:r w:rsidR="008A6246">
        <w:rPr>
          <w:rFonts w:cs="Arial"/>
        </w:rPr>
        <w:t>C</w:t>
      </w:r>
      <w:r w:rsidRPr="0063622D">
        <w:rPr>
          <w:rFonts w:cs="Arial"/>
        </w:rPr>
        <w:t>ounter</w:t>
      </w:r>
      <w:r w:rsidR="008A6246">
        <w:rPr>
          <w:rFonts w:cs="Arial"/>
        </w:rPr>
        <w:t>-P</w:t>
      </w:r>
      <w:r w:rsidRPr="0063622D">
        <w:rPr>
          <w:rFonts w:cs="Arial"/>
        </w:rPr>
        <w:t>arties</w:t>
      </w:r>
      <w:r w:rsidRPr="0063622D">
        <w:rPr>
          <w:rStyle w:val="FootnoteReference"/>
          <w:rFonts w:cs="Arial"/>
        </w:rPr>
        <w:footnoteReference w:id="1"/>
      </w:r>
      <w:r w:rsidR="00A54308" w:rsidRPr="0063622D">
        <w:rPr>
          <w:rFonts w:cs="Arial"/>
        </w:rPr>
        <w:t xml:space="preserve"> </w:t>
      </w:r>
      <w:r w:rsidR="00333326" w:rsidRPr="0063622D">
        <w:rPr>
          <w:rFonts w:cs="Arial"/>
        </w:rPr>
        <w:t xml:space="preserve">to which ERCOT has extended unsecured credit </w:t>
      </w:r>
      <w:r w:rsidRPr="0063622D">
        <w:rPr>
          <w:rFonts w:cs="Arial"/>
        </w:rPr>
        <w:t xml:space="preserve">and </w:t>
      </w:r>
      <w:r w:rsidR="00A54308" w:rsidRPr="0063622D">
        <w:rPr>
          <w:rFonts w:cs="Arial"/>
        </w:rPr>
        <w:t xml:space="preserve">the financial institutions from which ERCOT accepts </w:t>
      </w:r>
      <w:r w:rsidR="00335CA3" w:rsidRPr="0063622D">
        <w:rPr>
          <w:rFonts w:cs="Arial"/>
        </w:rPr>
        <w:t>l</w:t>
      </w:r>
      <w:r w:rsidR="00A54308" w:rsidRPr="0063622D">
        <w:rPr>
          <w:rFonts w:cs="Arial"/>
        </w:rPr>
        <w:t xml:space="preserve">etters of </w:t>
      </w:r>
      <w:r w:rsidR="00335CA3" w:rsidRPr="0063622D">
        <w:rPr>
          <w:rFonts w:cs="Arial"/>
        </w:rPr>
        <w:t>c</w:t>
      </w:r>
      <w:r w:rsidR="00A54308" w:rsidRPr="0063622D">
        <w:rPr>
          <w:rFonts w:cs="Arial"/>
        </w:rPr>
        <w:t xml:space="preserve">redit. </w:t>
      </w:r>
    </w:p>
    <w:p w14:paraId="52B50B37" w14:textId="51352FEF" w:rsidR="000A4492" w:rsidRPr="0063622D" w:rsidRDefault="000626FB" w:rsidP="0063622D">
      <w:pPr>
        <w:pStyle w:val="NormalArial"/>
        <w:spacing w:before="120" w:after="120"/>
        <w:rPr>
          <w:rFonts w:cs="Arial"/>
        </w:rPr>
      </w:pPr>
      <w:r w:rsidRPr="0063622D">
        <w:rPr>
          <w:rFonts w:cs="Arial"/>
        </w:rPr>
        <w:t>As you will note in the table</w:t>
      </w:r>
      <w:r w:rsidR="008A6246">
        <w:rPr>
          <w:rFonts w:cs="Arial"/>
        </w:rPr>
        <w:t>,</w:t>
      </w:r>
      <w:r w:rsidRPr="0063622D">
        <w:rPr>
          <w:rFonts w:cs="Arial"/>
        </w:rPr>
        <w:t xml:space="preserve"> many of the </w:t>
      </w:r>
      <w:r w:rsidR="00E83F1B" w:rsidRPr="0063622D">
        <w:rPr>
          <w:rFonts w:cs="Arial"/>
        </w:rPr>
        <w:t xml:space="preserve">Market Participants </w:t>
      </w:r>
      <w:r w:rsidR="00B460EC" w:rsidRPr="0063622D">
        <w:rPr>
          <w:rFonts w:cs="Arial"/>
        </w:rPr>
        <w:t>currently extended unsecured credit</w:t>
      </w:r>
      <w:r w:rsidR="00E83F1B" w:rsidRPr="0063622D">
        <w:rPr>
          <w:rFonts w:cs="Arial"/>
        </w:rPr>
        <w:t xml:space="preserve"> </w:t>
      </w:r>
      <w:r w:rsidRPr="0063622D">
        <w:rPr>
          <w:rFonts w:cs="Arial"/>
        </w:rPr>
        <w:t xml:space="preserve">have better credit </w:t>
      </w:r>
      <w:r w:rsidR="00B460EC" w:rsidRPr="0063622D">
        <w:rPr>
          <w:rFonts w:cs="Arial"/>
        </w:rPr>
        <w:t xml:space="preserve">ratings </w:t>
      </w:r>
      <w:r w:rsidRPr="0063622D">
        <w:rPr>
          <w:rFonts w:cs="Arial"/>
        </w:rPr>
        <w:t xml:space="preserve">than the banks which are likely to be issuing </w:t>
      </w:r>
      <w:r w:rsidR="00333326" w:rsidRPr="0063622D">
        <w:rPr>
          <w:rFonts w:cs="Arial"/>
        </w:rPr>
        <w:t>l</w:t>
      </w:r>
      <w:r w:rsidRPr="0063622D">
        <w:rPr>
          <w:rFonts w:cs="Arial"/>
        </w:rPr>
        <w:t xml:space="preserve">etters of </w:t>
      </w:r>
      <w:r w:rsidR="00333326" w:rsidRPr="0063622D">
        <w:rPr>
          <w:rFonts w:cs="Arial"/>
        </w:rPr>
        <w:t>c</w:t>
      </w:r>
      <w:r w:rsidRPr="0063622D">
        <w:rPr>
          <w:rFonts w:cs="Arial"/>
        </w:rPr>
        <w:t>redit.</w:t>
      </w:r>
      <w:r w:rsidR="00333326" w:rsidRPr="0063622D">
        <w:rPr>
          <w:rFonts w:cs="Arial"/>
        </w:rPr>
        <w:t xml:space="preserve"> </w:t>
      </w:r>
      <w:r w:rsidR="008A6246">
        <w:rPr>
          <w:rFonts w:cs="Arial"/>
        </w:rPr>
        <w:t xml:space="preserve"> </w:t>
      </w:r>
      <w:r w:rsidR="00333326" w:rsidRPr="0063622D">
        <w:rPr>
          <w:rFonts w:cs="Arial"/>
        </w:rPr>
        <w:t xml:space="preserve">It is also important to note that ERCOTs allowance of letters of credit from these institutions represents an issuance of unsecured credit by ERCOT to these institutions. </w:t>
      </w:r>
    </w:p>
    <w:p w14:paraId="63280C15" w14:textId="47FE7879" w:rsidR="00DF3E56" w:rsidRPr="0063622D" w:rsidRDefault="00F05368" w:rsidP="0063622D">
      <w:pPr>
        <w:pStyle w:val="NormalArial"/>
        <w:spacing w:before="120" w:after="120"/>
        <w:rPr>
          <w:rFonts w:cs="Arial"/>
          <w:noProof/>
        </w:rPr>
      </w:pPr>
      <w:r w:rsidRPr="0063622D">
        <w:rPr>
          <w:rFonts w:cs="Arial"/>
          <w:noProof/>
        </w:rPr>
        <w:drawing>
          <wp:inline distT="0" distB="0" distL="0" distR="0" wp14:anchorId="1C0C769C" wp14:editId="3C8EA937">
            <wp:extent cx="5343525" cy="5819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43525" cy="5819775"/>
                    </a:xfrm>
                    <a:prstGeom prst="rect">
                      <a:avLst/>
                    </a:prstGeom>
                    <a:noFill/>
                    <a:ln>
                      <a:noFill/>
                    </a:ln>
                  </pic:spPr>
                </pic:pic>
              </a:graphicData>
            </a:graphic>
          </wp:inline>
        </w:drawing>
      </w:r>
    </w:p>
    <w:p w14:paraId="12645E18" w14:textId="77777777" w:rsidR="00D00FE8" w:rsidRPr="0063622D" w:rsidRDefault="00D00FE8" w:rsidP="0063622D">
      <w:pPr>
        <w:pStyle w:val="NormalArial"/>
        <w:spacing w:before="120" w:after="120"/>
        <w:rPr>
          <w:rFonts w:cs="Arial"/>
          <w:noProof/>
        </w:rPr>
      </w:pPr>
    </w:p>
    <w:p w14:paraId="2F7A77BE" w14:textId="17C73B55" w:rsidR="009460AC" w:rsidRPr="0063622D" w:rsidRDefault="000626FB" w:rsidP="0063622D">
      <w:pPr>
        <w:pStyle w:val="NormalArial"/>
        <w:spacing w:before="120" w:after="120"/>
        <w:rPr>
          <w:rFonts w:cs="Arial"/>
        </w:rPr>
      </w:pPr>
      <w:r w:rsidRPr="0063622D">
        <w:rPr>
          <w:rFonts w:cs="Arial"/>
        </w:rPr>
        <w:t xml:space="preserve">Based on the data above </w:t>
      </w:r>
      <w:r w:rsidR="008D79FB" w:rsidRPr="0063622D">
        <w:rPr>
          <w:rFonts w:cs="Arial"/>
        </w:rPr>
        <w:t>Joint Commenters</w:t>
      </w:r>
      <w:r w:rsidRPr="0063622D">
        <w:rPr>
          <w:rFonts w:cs="Arial"/>
        </w:rPr>
        <w:t xml:space="preserve"> support the efforts of the Credit Working Group and fail to see the benefits of eliminating </w:t>
      </w:r>
      <w:r w:rsidR="008A6246">
        <w:rPr>
          <w:rFonts w:cs="Arial"/>
        </w:rPr>
        <w:t>u</w:t>
      </w:r>
      <w:r w:rsidRPr="0063622D">
        <w:rPr>
          <w:rFonts w:cs="Arial"/>
        </w:rPr>
        <w:t xml:space="preserve">nsecured </w:t>
      </w:r>
      <w:r w:rsidR="008A6246">
        <w:rPr>
          <w:rFonts w:cs="Arial"/>
        </w:rPr>
        <w:t>c</w:t>
      </w:r>
      <w:r w:rsidRPr="0063622D">
        <w:rPr>
          <w:rFonts w:cs="Arial"/>
        </w:rPr>
        <w:t>redit as originally proposed by ERCOT.</w:t>
      </w:r>
    </w:p>
    <w:p w14:paraId="10EFBC0B" w14:textId="6A382C0E" w:rsidR="00BD7258" w:rsidRPr="0063622D" w:rsidRDefault="000626FB" w:rsidP="0063622D">
      <w:pPr>
        <w:pStyle w:val="NormalArial"/>
        <w:spacing w:before="120" w:after="120"/>
        <w:rPr>
          <w:rFonts w:cs="Arial"/>
          <w:u w:val="single"/>
        </w:rPr>
      </w:pPr>
      <w:r w:rsidRPr="0063622D">
        <w:rPr>
          <w:rFonts w:cs="Arial"/>
          <w:u w:val="single"/>
        </w:rPr>
        <w:t>ERCOT 3/18</w:t>
      </w:r>
      <w:r w:rsidR="008A6246">
        <w:rPr>
          <w:rFonts w:cs="Arial"/>
          <w:u w:val="single"/>
        </w:rPr>
        <w:t>/22</w:t>
      </w:r>
      <w:r w:rsidRPr="0063622D">
        <w:rPr>
          <w:rFonts w:cs="Arial"/>
          <w:u w:val="single"/>
        </w:rPr>
        <w:t xml:space="preserve"> Comments</w:t>
      </w:r>
    </w:p>
    <w:p w14:paraId="580DB595" w14:textId="12C669DE" w:rsidR="00D803D1" w:rsidRPr="0063622D" w:rsidRDefault="000626FB" w:rsidP="0063622D">
      <w:pPr>
        <w:pStyle w:val="NormalArial"/>
        <w:spacing w:before="120" w:after="120"/>
        <w:rPr>
          <w:rFonts w:cs="Arial"/>
        </w:rPr>
      </w:pPr>
      <w:r w:rsidRPr="0063622D">
        <w:rPr>
          <w:rFonts w:cs="Arial"/>
        </w:rPr>
        <w:t xml:space="preserve">In ERCOTs comments </w:t>
      </w:r>
      <w:r w:rsidR="008D79FB" w:rsidRPr="0063622D">
        <w:rPr>
          <w:rFonts w:cs="Arial"/>
        </w:rPr>
        <w:t>Joint Commenters</w:t>
      </w:r>
      <w:r w:rsidRPr="0063622D">
        <w:rPr>
          <w:rFonts w:cs="Arial"/>
        </w:rPr>
        <w:t xml:space="preserve"> agree that:</w:t>
      </w:r>
    </w:p>
    <w:p w14:paraId="20FBE8D3" w14:textId="77777777" w:rsidR="00D803D1" w:rsidRPr="0063622D" w:rsidRDefault="000626FB" w:rsidP="0063622D">
      <w:pPr>
        <w:pStyle w:val="NormalArial"/>
        <w:spacing w:before="120" w:after="120"/>
        <w:ind w:left="720"/>
        <w:rPr>
          <w:rFonts w:cs="Arial"/>
        </w:rPr>
      </w:pPr>
      <w:r w:rsidRPr="0063622D">
        <w:rPr>
          <w:rFonts w:cs="Arial"/>
        </w:rPr>
        <w:t xml:space="preserve"> “</w:t>
      </w:r>
      <w:r w:rsidRPr="0063622D">
        <w:rPr>
          <w:rFonts w:cs="Arial"/>
          <w:i/>
          <w:iCs/>
        </w:rPr>
        <w:t>In the event of a default by a Market Participant with an Unsecured Credit Limit that leads to default uplift, the Unsecured Credit Limit translates directly to a cost that must be borne by other Market Participants.</w:t>
      </w:r>
      <w:r w:rsidRPr="0063622D">
        <w:rPr>
          <w:rFonts w:cs="Arial"/>
        </w:rPr>
        <w:t xml:space="preserve">”  </w:t>
      </w:r>
    </w:p>
    <w:p w14:paraId="0B8A5A90" w14:textId="6A850C38" w:rsidR="00BD7258" w:rsidRPr="0063622D" w:rsidRDefault="000626FB" w:rsidP="0063622D">
      <w:pPr>
        <w:pStyle w:val="NormalArial"/>
        <w:spacing w:before="120" w:after="120"/>
        <w:rPr>
          <w:rFonts w:cs="Arial"/>
        </w:rPr>
      </w:pPr>
      <w:r w:rsidRPr="0063622D">
        <w:rPr>
          <w:rFonts w:cs="Arial"/>
        </w:rPr>
        <w:t>However</w:t>
      </w:r>
      <w:r w:rsidR="008A6246">
        <w:rPr>
          <w:rFonts w:cs="Arial"/>
        </w:rPr>
        <w:t>,</w:t>
      </w:r>
      <w:r w:rsidRPr="0063622D">
        <w:rPr>
          <w:rFonts w:cs="Arial"/>
        </w:rPr>
        <w:t xml:space="preserve"> as explained previously</w:t>
      </w:r>
      <w:r w:rsidR="008A6246">
        <w:rPr>
          <w:rFonts w:cs="Arial"/>
        </w:rPr>
        <w:t>,</w:t>
      </w:r>
      <w:r w:rsidRPr="0063622D">
        <w:rPr>
          <w:rFonts w:cs="Arial"/>
        </w:rPr>
        <w:t xml:space="preserve"> 36 of 37 </w:t>
      </w:r>
      <w:r w:rsidR="008A6246">
        <w:rPr>
          <w:rFonts w:cs="Arial"/>
        </w:rPr>
        <w:t>C</w:t>
      </w:r>
      <w:r w:rsidRPr="0063622D">
        <w:rPr>
          <w:rFonts w:cs="Arial"/>
        </w:rPr>
        <w:t>ounter</w:t>
      </w:r>
      <w:r w:rsidR="008A6246">
        <w:rPr>
          <w:rFonts w:cs="Arial"/>
        </w:rPr>
        <w:t>-P</w:t>
      </w:r>
      <w:r w:rsidRPr="0063622D">
        <w:rPr>
          <w:rFonts w:cs="Arial"/>
        </w:rPr>
        <w:t>arties with unsecured credit</w:t>
      </w:r>
      <w:r w:rsidR="00593694" w:rsidRPr="0063622D">
        <w:rPr>
          <w:rFonts w:cs="Arial"/>
        </w:rPr>
        <w:t>,</w:t>
      </w:r>
      <w:r w:rsidRPr="0063622D">
        <w:rPr>
          <w:rFonts w:cs="Arial"/>
        </w:rPr>
        <w:t xml:space="preserve"> or 97%</w:t>
      </w:r>
      <w:r w:rsidR="00593694" w:rsidRPr="0063622D">
        <w:rPr>
          <w:rFonts w:cs="Arial"/>
        </w:rPr>
        <w:t>,</w:t>
      </w:r>
      <w:r w:rsidRPr="0063622D">
        <w:rPr>
          <w:rFonts w:cs="Arial"/>
        </w:rPr>
        <w:t xml:space="preserve"> have fully paid ERCOT.  </w:t>
      </w:r>
      <w:r w:rsidR="00B36DBB" w:rsidRPr="0063622D">
        <w:rPr>
          <w:rFonts w:cs="Arial"/>
        </w:rPr>
        <w:t>Clearly</w:t>
      </w:r>
      <w:r w:rsidR="00593694" w:rsidRPr="0063622D">
        <w:rPr>
          <w:rFonts w:cs="Arial"/>
        </w:rPr>
        <w:t>,</w:t>
      </w:r>
      <w:r w:rsidR="00B36DBB" w:rsidRPr="0063622D">
        <w:rPr>
          <w:rFonts w:cs="Arial"/>
        </w:rPr>
        <w:t xml:space="preserve"> unsecured credit is not a significant issue in </w:t>
      </w:r>
      <w:r w:rsidR="00593694" w:rsidRPr="0063622D">
        <w:rPr>
          <w:rFonts w:cs="Arial"/>
        </w:rPr>
        <w:t>the ERCOT</w:t>
      </w:r>
      <w:r w:rsidR="00B36DBB" w:rsidRPr="0063622D">
        <w:rPr>
          <w:rFonts w:cs="Arial"/>
        </w:rPr>
        <w:t xml:space="preserve"> market.  Furthermore, </w:t>
      </w:r>
      <w:r w:rsidR="00547854" w:rsidRPr="0063622D">
        <w:rPr>
          <w:rFonts w:cs="Arial"/>
        </w:rPr>
        <w:t xml:space="preserve">of the $1.9 B </w:t>
      </w:r>
      <w:r w:rsidR="00870DA9" w:rsidRPr="0063622D">
        <w:rPr>
          <w:rFonts w:cs="Arial"/>
        </w:rPr>
        <w:t xml:space="preserve">that remains in </w:t>
      </w:r>
      <w:r w:rsidR="00547854" w:rsidRPr="0063622D">
        <w:rPr>
          <w:rFonts w:cs="Arial"/>
        </w:rPr>
        <w:t>default</w:t>
      </w:r>
      <w:r w:rsidR="008D79FB" w:rsidRPr="0063622D">
        <w:rPr>
          <w:rFonts w:cs="Arial"/>
        </w:rPr>
        <w:t>,</w:t>
      </w:r>
      <w:r w:rsidR="00547854" w:rsidRPr="0063622D">
        <w:rPr>
          <w:rFonts w:cs="Arial"/>
        </w:rPr>
        <w:t xml:space="preserve"> less than $50 million </w:t>
      </w:r>
      <w:r w:rsidR="00870DA9" w:rsidRPr="0063622D">
        <w:rPr>
          <w:rFonts w:cs="Arial"/>
        </w:rPr>
        <w:t xml:space="preserve">of that amount </w:t>
      </w:r>
      <w:r w:rsidR="00547854" w:rsidRPr="0063622D">
        <w:rPr>
          <w:rFonts w:cs="Arial"/>
        </w:rPr>
        <w:t xml:space="preserve">is </w:t>
      </w:r>
      <w:r w:rsidR="00870DA9" w:rsidRPr="0063622D">
        <w:rPr>
          <w:rFonts w:cs="Arial"/>
        </w:rPr>
        <w:t>attributable</w:t>
      </w:r>
      <w:r w:rsidR="00547854" w:rsidRPr="0063622D">
        <w:rPr>
          <w:rFonts w:cs="Arial"/>
        </w:rPr>
        <w:t xml:space="preserve"> to unsecured credit</w:t>
      </w:r>
      <w:r w:rsidR="008D79FB" w:rsidRPr="0063622D">
        <w:rPr>
          <w:rFonts w:cs="Arial"/>
        </w:rPr>
        <w:t>.</w:t>
      </w:r>
      <w:r w:rsidR="00547854" w:rsidRPr="0063622D">
        <w:rPr>
          <w:rFonts w:cs="Arial"/>
        </w:rPr>
        <w:t xml:space="preserve"> </w:t>
      </w:r>
      <w:r w:rsidR="008D79FB" w:rsidRPr="0063622D">
        <w:rPr>
          <w:rFonts w:cs="Arial"/>
        </w:rPr>
        <w:t xml:space="preserve"> I</w:t>
      </w:r>
      <w:r w:rsidR="00B36DBB" w:rsidRPr="0063622D">
        <w:rPr>
          <w:rFonts w:cs="Arial"/>
        </w:rPr>
        <w:t xml:space="preserve">t is not </w:t>
      </w:r>
      <w:r w:rsidR="00547854" w:rsidRPr="0063622D">
        <w:rPr>
          <w:rFonts w:cs="Arial"/>
        </w:rPr>
        <w:t xml:space="preserve">unsecured </w:t>
      </w:r>
      <w:r w:rsidR="00B36DBB" w:rsidRPr="0063622D">
        <w:rPr>
          <w:rFonts w:cs="Arial"/>
        </w:rPr>
        <w:t xml:space="preserve">credit that caused </w:t>
      </w:r>
      <w:r w:rsidR="008D79FB" w:rsidRPr="0063622D">
        <w:rPr>
          <w:rFonts w:cs="Arial"/>
        </w:rPr>
        <w:t>the</w:t>
      </w:r>
      <w:r w:rsidR="00B36DBB" w:rsidRPr="0063622D">
        <w:rPr>
          <w:rFonts w:cs="Arial"/>
        </w:rPr>
        <w:t xml:space="preserve"> default</w:t>
      </w:r>
      <w:r w:rsidR="00593694" w:rsidRPr="0063622D">
        <w:rPr>
          <w:rFonts w:cs="Arial"/>
        </w:rPr>
        <w:t>, but other factors not associated with unsecured credit.</w:t>
      </w:r>
      <w:r w:rsidR="00547854" w:rsidRPr="0063622D">
        <w:rPr>
          <w:rFonts w:cs="Arial"/>
        </w:rPr>
        <w:t xml:space="preserve">  </w:t>
      </w:r>
    </w:p>
    <w:p w14:paraId="66A612C7" w14:textId="77777777" w:rsidR="00D803D1" w:rsidRPr="0063622D" w:rsidRDefault="000626FB" w:rsidP="0063622D">
      <w:pPr>
        <w:pStyle w:val="BodyText"/>
        <w:rPr>
          <w:rFonts w:ascii="Arial" w:hAnsi="Arial" w:cs="Arial"/>
        </w:rPr>
      </w:pPr>
      <w:r w:rsidRPr="0063622D">
        <w:rPr>
          <w:rFonts w:ascii="Arial" w:hAnsi="Arial" w:cs="Arial"/>
        </w:rPr>
        <w:t>To ERCOTs comment</w:t>
      </w:r>
      <w:r w:rsidR="00EC3D28" w:rsidRPr="0063622D">
        <w:rPr>
          <w:rFonts w:ascii="Arial" w:hAnsi="Arial" w:cs="Arial"/>
        </w:rPr>
        <w:t>:</w:t>
      </w:r>
      <w:r w:rsidRPr="0063622D">
        <w:rPr>
          <w:rFonts w:ascii="Arial" w:hAnsi="Arial" w:cs="Arial"/>
        </w:rPr>
        <w:t xml:space="preserve"> </w:t>
      </w:r>
    </w:p>
    <w:p w14:paraId="0C2B4C2A" w14:textId="77777777" w:rsidR="00D803D1" w:rsidRPr="0063622D" w:rsidRDefault="000626FB" w:rsidP="0063622D">
      <w:pPr>
        <w:pStyle w:val="BodyText"/>
        <w:ind w:left="720"/>
        <w:rPr>
          <w:rFonts w:ascii="Arial" w:hAnsi="Arial" w:cs="Arial"/>
        </w:rPr>
      </w:pPr>
      <w:r w:rsidRPr="0063622D">
        <w:rPr>
          <w:rFonts w:ascii="Arial" w:hAnsi="Arial" w:cs="Arial"/>
        </w:rPr>
        <w:t>“</w:t>
      </w:r>
      <w:r w:rsidRPr="0063622D">
        <w:rPr>
          <w:rFonts w:ascii="Arial" w:hAnsi="Arial" w:cs="Arial"/>
          <w:i/>
          <w:iCs/>
        </w:rPr>
        <w:t xml:space="preserve">ERCOT has pointed out in stakeholder meetings that exchanges other than ISOs (eg ICE) do not provide unsecured credit to their members. The Joint Commenters make the point that ERCOT is not acting in the same capacity as an exchange, because </w:t>
      </w:r>
      <w:r w:rsidRPr="0063622D">
        <w:rPr>
          <w:rFonts w:ascii="Arial" w:hAnsi="Arial" w:cs="Arial"/>
          <w:b/>
          <w:bCs/>
          <w:i/>
          <w:iCs/>
        </w:rPr>
        <w:t>exchanges</w:t>
      </w:r>
      <w:r w:rsidRPr="0063622D">
        <w:rPr>
          <w:rFonts w:ascii="Arial" w:hAnsi="Arial" w:cs="Arial"/>
          <w:i/>
          <w:iCs/>
        </w:rPr>
        <w:t xml:space="preserve"> are for-profit entities that</w:t>
      </w:r>
      <w:r w:rsidRPr="0063622D">
        <w:rPr>
          <w:rFonts w:ascii="Arial" w:hAnsi="Arial" w:cs="Arial"/>
          <w:b/>
          <w:bCs/>
          <w:i/>
          <w:iCs/>
        </w:rPr>
        <w:t xml:space="preserve"> guarantee performance</w:t>
      </w:r>
      <w:r w:rsidRPr="0063622D">
        <w:rPr>
          <w:rFonts w:ascii="Arial" w:hAnsi="Arial" w:cs="Arial"/>
          <w:i/>
          <w:iCs/>
        </w:rPr>
        <w:t xml:space="preserve">.  While </w:t>
      </w:r>
      <w:r w:rsidRPr="0063622D">
        <w:rPr>
          <w:rFonts w:ascii="Arial" w:hAnsi="Arial" w:cs="Arial"/>
          <w:b/>
          <w:bCs/>
          <w:i/>
          <w:iCs/>
        </w:rPr>
        <w:t>ERCOT may not provide a guarantee of delivery of power</w:t>
      </w:r>
      <w:r w:rsidRPr="0063622D">
        <w:rPr>
          <w:rFonts w:ascii="Arial" w:hAnsi="Arial" w:cs="Arial"/>
          <w:i/>
          <w:iCs/>
        </w:rPr>
        <w:t>, and is a not-for-profit entity, it is unclear how these distinctions provide justification for the cross-subsidization of credit risk on behalf of some Market Participants.</w:t>
      </w:r>
      <w:r w:rsidRPr="0063622D">
        <w:rPr>
          <w:rFonts w:ascii="Arial" w:hAnsi="Arial" w:cs="Arial"/>
        </w:rPr>
        <w:t xml:space="preserve">”  </w:t>
      </w:r>
    </w:p>
    <w:p w14:paraId="7415A200" w14:textId="765C95DE" w:rsidR="007C3646" w:rsidRPr="0063622D" w:rsidRDefault="008D79FB" w:rsidP="0063622D">
      <w:pPr>
        <w:pStyle w:val="BodyText"/>
        <w:rPr>
          <w:rFonts w:ascii="Arial" w:hAnsi="Arial" w:cs="Arial"/>
        </w:rPr>
      </w:pPr>
      <w:r w:rsidRPr="0063622D">
        <w:rPr>
          <w:rFonts w:ascii="Arial" w:hAnsi="Arial" w:cs="Arial"/>
        </w:rPr>
        <w:t>Joint Commenters</w:t>
      </w:r>
      <w:r w:rsidR="000626FB" w:rsidRPr="0063622D">
        <w:rPr>
          <w:rFonts w:ascii="Arial" w:hAnsi="Arial" w:cs="Arial"/>
        </w:rPr>
        <w:t xml:space="preserve"> agree the for profit/not for profit makes no difference</w:t>
      </w:r>
      <w:r w:rsidR="000C6176" w:rsidRPr="0063622D">
        <w:rPr>
          <w:rFonts w:ascii="Arial" w:hAnsi="Arial" w:cs="Arial"/>
        </w:rPr>
        <w:t>, however there is a</w:t>
      </w:r>
      <w:r w:rsidR="000626FB" w:rsidRPr="0063622D">
        <w:rPr>
          <w:rFonts w:ascii="Arial" w:hAnsi="Arial" w:cs="Arial"/>
        </w:rPr>
        <w:t xml:space="preserve"> difference </w:t>
      </w:r>
      <w:r w:rsidR="000C6176" w:rsidRPr="0063622D">
        <w:rPr>
          <w:rFonts w:ascii="Arial" w:hAnsi="Arial" w:cs="Arial"/>
        </w:rPr>
        <w:t>in market risk as</w:t>
      </w:r>
      <w:r w:rsidR="000626FB" w:rsidRPr="0063622D">
        <w:rPr>
          <w:rFonts w:ascii="Arial" w:hAnsi="Arial" w:cs="Arial"/>
        </w:rPr>
        <w:t xml:space="preserve"> </w:t>
      </w:r>
      <w:r w:rsidRPr="0063622D">
        <w:rPr>
          <w:rFonts w:ascii="Arial" w:hAnsi="Arial" w:cs="Arial"/>
        </w:rPr>
        <w:t>Market Participants</w:t>
      </w:r>
      <w:r w:rsidR="000626FB" w:rsidRPr="0063622D">
        <w:rPr>
          <w:rFonts w:ascii="Arial" w:hAnsi="Arial" w:cs="Arial"/>
        </w:rPr>
        <w:t xml:space="preserve"> b</w:t>
      </w:r>
      <w:r w:rsidR="00333326" w:rsidRPr="0063622D">
        <w:rPr>
          <w:rFonts w:ascii="Arial" w:hAnsi="Arial" w:cs="Arial"/>
        </w:rPr>
        <w:t>e</w:t>
      </w:r>
      <w:r w:rsidR="000626FB" w:rsidRPr="0063622D">
        <w:rPr>
          <w:rFonts w:ascii="Arial" w:hAnsi="Arial" w:cs="Arial"/>
        </w:rPr>
        <w:t xml:space="preserve">ar the risk for the lack of performance by other </w:t>
      </w:r>
      <w:r w:rsidR="008A6246">
        <w:rPr>
          <w:rFonts w:ascii="Arial" w:hAnsi="Arial" w:cs="Arial"/>
        </w:rPr>
        <w:t>C</w:t>
      </w:r>
      <w:r w:rsidR="000626FB" w:rsidRPr="0063622D">
        <w:rPr>
          <w:rFonts w:ascii="Arial" w:hAnsi="Arial" w:cs="Arial"/>
        </w:rPr>
        <w:t>ounter</w:t>
      </w:r>
      <w:r w:rsidR="008A6246">
        <w:rPr>
          <w:rFonts w:ascii="Arial" w:hAnsi="Arial" w:cs="Arial"/>
        </w:rPr>
        <w:t>-P</w:t>
      </w:r>
      <w:r w:rsidR="000626FB" w:rsidRPr="0063622D">
        <w:rPr>
          <w:rFonts w:ascii="Arial" w:hAnsi="Arial" w:cs="Arial"/>
        </w:rPr>
        <w:t xml:space="preserve">arties, not ERCOT.  If </w:t>
      </w:r>
      <w:r w:rsidR="000C6176" w:rsidRPr="0063622D">
        <w:rPr>
          <w:rFonts w:ascii="Arial" w:hAnsi="Arial" w:cs="Arial"/>
        </w:rPr>
        <w:t xml:space="preserve">a </w:t>
      </w:r>
      <w:r w:rsidR="00870DA9" w:rsidRPr="0063622D">
        <w:rPr>
          <w:rFonts w:ascii="Arial" w:hAnsi="Arial" w:cs="Arial"/>
        </w:rPr>
        <w:t>M</w:t>
      </w:r>
      <w:r w:rsidR="000C6176" w:rsidRPr="0063622D">
        <w:rPr>
          <w:rFonts w:ascii="Arial" w:hAnsi="Arial" w:cs="Arial"/>
        </w:rPr>
        <w:t xml:space="preserve">arket </w:t>
      </w:r>
      <w:r w:rsidR="00870DA9" w:rsidRPr="0063622D">
        <w:rPr>
          <w:rFonts w:ascii="Arial" w:hAnsi="Arial" w:cs="Arial"/>
        </w:rPr>
        <w:t>P</w:t>
      </w:r>
      <w:r w:rsidR="000C6176" w:rsidRPr="0063622D">
        <w:rPr>
          <w:rFonts w:ascii="Arial" w:hAnsi="Arial" w:cs="Arial"/>
        </w:rPr>
        <w:t xml:space="preserve">articipant </w:t>
      </w:r>
      <w:r w:rsidR="000626FB" w:rsidRPr="0063622D">
        <w:rPr>
          <w:rFonts w:ascii="Arial" w:hAnsi="Arial" w:cs="Arial"/>
        </w:rPr>
        <w:t>exits the market</w:t>
      </w:r>
      <w:r w:rsidR="000C6176" w:rsidRPr="0063622D">
        <w:rPr>
          <w:rFonts w:ascii="Arial" w:hAnsi="Arial" w:cs="Arial"/>
        </w:rPr>
        <w:t xml:space="preserve"> without resolving its obligations</w:t>
      </w:r>
      <w:r w:rsidR="00C922A6" w:rsidRPr="0063622D">
        <w:rPr>
          <w:rFonts w:ascii="Arial" w:hAnsi="Arial" w:cs="Arial"/>
        </w:rPr>
        <w:t>,</w:t>
      </w:r>
      <w:r w:rsidR="000626FB" w:rsidRPr="0063622D">
        <w:rPr>
          <w:rFonts w:ascii="Arial" w:hAnsi="Arial" w:cs="Arial"/>
        </w:rPr>
        <w:t xml:space="preserve"> it is </w:t>
      </w:r>
      <w:r w:rsidRPr="0063622D">
        <w:rPr>
          <w:rFonts w:ascii="Arial" w:hAnsi="Arial" w:cs="Arial"/>
        </w:rPr>
        <w:t>other Market Participants</w:t>
      </w:r>
      <w:r w:rsidR="000626FB" w:rsidRPr="0063622D">
        <w:rPr>
          <w:rFonts w:ascii="Arial" w:hAnsi="Arial" w:cs="Arial"/>
        </w:rPr>
        <w:t xml:space="preserve"> that must pay</w:t>
      </w:r>
      <w:r w:rsidRPr="0063622D">
        <w:rPr>
          <w:rFonts w:ascii="Arial" w:hAnsi="Arial" w:cs="Arial"/>
        </w:rPr>
        <w:t xml:space="preserve">, including the </w:t>
      </w:r>
      <w:r w:rsidR="008A6246">
        <w:rPr>
          <w:rFonts w:ascii="Arial" w:hAnsi="Arial" w:cs="Arial"/>
        </w:rPr>
        <w:t>C</w:t>
      </w:r>
      <w:r w:rsidRPr="0063622D">
        <w:rPr>
          <w:rFonts w:ascii="Arial" w:hAnsi="Arial" w:cs="Arial"/>
        </w:rPr>
        <w:t xml:space="preserve">ustomers of </w:t>
      </w:r>
      <w:r w:rsidR="008A6246" w:rsidRPr="008A6246">
        <w:rPr>
          <w:rFonts w:ascii="Arial" w:hAnsi="Arial" w:cs="Arial"/>
        </w:rPr>
        <w:t>Non-Opt</w:t>
      </w:r>
      <w:r w:rsidR="008A6246">
        <w:rPr>
          <w:rFonts w:ascii="Arial" w:hAnsi="Arial" w:cs="Arial"/>
        </w:rPr>
        <w:t>-</w:t>
      </w:r>
      <w:r w:rsidR="008A6246" w:rsidRPr="008A6246">
        <w:rPr>
          <w:rFonts w:ascii="Arial" w:hAnsi="Arial" w:cs="Arial"/>
        </w:rPr>
        <w:t>In Entit</w:t>
      </w:r>
      <w:r w:rsidR="008A6246">
        <w:rPr>
          <w:rFonts w:ascii="Arial" w:hAnsi="Arial" w:cs="Arial"/>
        </w:rPr>
        <w:t>ies</w:t>
      </w:r>
      <w:r w:rsidR="008A6246" w:rsidRPr="008A6246">
        <w:rPr>
          <w:rFonts w:ascii="Arial" w:hAnsi="Arial" w:cs="Arial"/>
        </w:rPr>
        <w:t xml:space="preserve"> </w:t>
      </w:r>
      <w:r w:rsidR="008A6246">
        <w:rPr>
          <w:rFonts w:ascii="Arial" w:hAnsi="Arial" w:cs="Arial"/>
        </w:rPr>
        <w:t>(</w:t>
      </w:r>
      <w:r w:rsidRPr="0063622D">
        <w:rPr>
          <w:rFonts w:ascii="Arial" w:hAnsi="Arial" w:cs="Arial"/>
        </w:rPr>
        <w:t>NOIEs</w:t>
      </w:r>
      <w:r w:rsidR="008A6246">
        <w:rPr>
          <w:rFonts w:ascii="Arial" w:hAnsi="Arial" w:cs="Arial"/>
        </w:rPr>
        <w:t>)</w:t>
      </w:r>
      <w:r w:rsidR="000C6176" w:rsidRPr="0063622D">
        <w:rPr>
          <w:rFonts w:ascii="Arial" w:hAnsi="Arial" w:cs="Arial"/>
        </w:rPr>
        <w:t>.</w:t>
      </w:r>
      <w:r w:rsidR="000626FB" w:rsidRPr="0063622D">
        <w:rPr>
          <w:rFonts w:ascii="Arial" w:hAnsi="Arial" w:cs="Arial"/>
        </w:rPr>
        <w:t xml:space="preserve"> </w:t>
      </w:r>
      <w:r w:rsidR="008A6246">
        <w:rPr>
          <w:rFonts w:ascii="Arial" w:hAnsi="Arial" w:cs="Arial"/>
        </w:rPr>
        <w:t xml:space="preserve"> </w:t>
      </w:r>
      <w:r w:rsidR="000626FB" w:rsidRPr="0063622D">
        <w:rPr>
          <w:rFonts w:ascii="Arial" w:hAnsi="Arial" w:cs="Arial"/>
        </w:rPr>
        <w:t xml:space="preserve">It is </w:t>
      </w:r>
      <w:r w:rsidRPr="0063622D">
        <w:rPr>
          <w:rFonts w:ascii="Arial" w:hAnsi="Arial" w:cs="Arial"/>
        </w:rPr>
        <w:t>Market Participants,</w:t>
      </w:r>
      <w:r w:rsidR="000626FB" w:rsidRPr="0063622D">
        <w:rPr>
          <w:rFonts w:ascii="Arial" w:hAnsi="Arial" w:cs="Arial"/>
        </w:rPr>
        <w:t xml:space="preserve"> not ERCOT</w:t>
      </w:r>
      <w:r w:rsidRPr="0063622D">
        <w:rPr>
          <w:rFonts w:ascii="Arial" w:hAnsi="Arial" w:cs="Arial"/>
        </w:rPr>
        <w:t>,</w:t>
      </w:r>
      <w:r w:rsidR="000626FB" w:rsidRPr="0063622D">
        <w:rPr>
          <w:rFonts w:ascii="Arial" w:hAnsi="Arial" w:cs="Arial"/>
        </w:rPr>
        <w:t xml:space="preserve"> that </w:t>
      </w:r>
      <w:r w:rsidRPr="0063622D">
        <w:rPr>
          <w:rFonts w:ascii="Arial" w:hAnsi="Arial" w:cs="Arial"/>
        </w:rPr>
        <w:t>pay</w:t>
      </w:r>
      <w:r w:rsidR="000626FB" w:rsidRPr="0063622D">
        <w:rPr>
          <w:rFonts w:ascii="Arial" w:hAnsi="Arial" w:cs="Arial"/>
        </w:rPr>
        <w:t xml:space="preserve"> the default uplift charges. </w:t>
      </w:r>
      <w:r w:rsidR="008A6246">
        <w:rPr>
          <w:rFonts w:ascii="Arial" w:hAnsi="Arial" w:cs="Arial"/>
        </w:rPr>
        <w:t xml:space="preserve"> </w:t>
      </w:r>
      <w:r w:rsidR="00913C89" w:rsidRPr="0063622D">
        <w:rPr>
          <w:rFonts w:ascii="Arial" w:hAnsi="Arial" w:cs="Arial"/>
        </w:rPr>
        <w:t>ERCOT, Inc. is not at risk</w:t>
      </w:r>
      <w:r w:rsidR="00870DA9" w:rsidRPr="0063622D">
        <w:rPr>
          <w:rFonts w:ascii="Arial" w:hAnsi="Arial" w:cs="Arial"/>
        </w:rPr>
        <w:t xml:space="preserve"> of financial default</w:t>
      </w:r>
      <w:r w:rsidR="00913C89" w:rsidRPr="0063622D">
        <w:rPr>
          <w:rFonts w:ascii="Arial" w:hAnsi="Arial" w:cs="Arial"/>
        </w:rPr>
        <w:t xml:space="preserve"> as a result of extending credit to Market Participants that meet the appropriately determined unsecured credit criteria, and therefore ERCOT should be a neutral party to the extension of such credit on behalf of other Market Participants.  To date, there have been no parties who have filed comments in support of ERCOT’s position </w:t>
      </w:r>
      <w:r w:rsidR="00870DA9" w:rsidRPr="0063622D">
        <w:rPr>
          <w:rFonts w:ascii="Arial" w:hAnsi="Arial" w:cs="Arial"/>
        </w:rPr>
        <w:t xml:space="preserve">to terminate </w:t>
      </w:r>
      <w:r w:rsidR="00913C89" w:rsidRPr="0063622D">
        <w:rPr>
          <w:rFonts w:ascii="Arial" w:hAnsi="Arial" w:cs="Arial"/>
        </w:rPr>
        <w:t>the extension of unsecured credit.</w:t>
      </w:r>
    </w:p>
    <w:p w14:paraId="7CF4C36C" w14:textId="68D1FFCF" w:rsidR="007C3646" w:rsidRPr="0063622D" w:rsidRDefault="000626FB" w:rsidP="0063622D">
      <w:pPr>
        <w:pStyle w:val="BodyText"/>
        <w:rPr>
          <w:rFonts w:ascii="Arial" w:hAnsi="Arial" w:cs="Arial"/>
        </w:rPr>
      </w:pPr>
      <w:r w:rsidRPr="0063622D">
        <w:rPr>
          <w:rFonts w:ascii="Arial" w:hAnsi="Arial" w:cs="Arial"/>
        </w:rPr>
        <w:t xml:space="preserve">Furthermore, </w:t>
      </w:r>
      <w:r w:rsidR="00593694" w:rsidRPr="0063622D">
        <w:rPr>
          <w:rFonts w:ascii="Arial" w:hAnsi="Arial" w:cs="Arial"/>
        </w:rPr>
        <w:t xml:space="preserve">it appears that there are </w:t>
      </w:r>
      <w:r w:rsidRPr="0063622D">
        <w:rPr>
          <w:rFonts w:ascii="Arial" w:hAnsi="Arial" w:cs="Arial"/>
        </w:rPr>
        <w:t xml:space="preserve">no </w:t>
      </w:r>
      <w:r w:rsidR="008A6246">
        <w:rPr>
          <w:rFonts w:ascii="Arial" w:hAnsi="Arial" w:cs="Arial"/>
        </w:rPr>
        <w:t>E</w:t>
      </w:r>
      <w:r w:rsidR="00593694" w:rsidRPr="0063622D">
        <w:rPr>
          <w:rFonts w:ascii="Arial" w:hAnsi="Arial" w:cs="Arial"/>
        </w:rPr>
        <w:t>ntities</w:t>
      </w:r>
      <w:r w:rsidR="009849CF" w:rsidRPr="0063622D">
        <w:rPr>
          <w:rFonts w:ascii="Arial" w:hAnsi="Arial" w:cs="Arial"/>
        </w:rPr>
        <w:t xml:space="preserve"> </w:t>
      </w:r>
      <w:r w:rsidR="00593694" w:rsidRPr="0063622D">
        <w:rPr>
          <w:rFonts w:ascii="Arial" w:hAnsi="Arial" w:cs="Arial"/>
        </w:rPr>
        <w:t>with</w:t>
      </w:r>
      <w:r w:rsidRPr="0063622D">
        <w:rPr>
          <w:rFonts w:ascii="Arial" w:hAnsi="Arial" w:cs="Arial"/>
        </w:rPr>
        <w:t xml:space="preserve"> unsecured credit </w:t>
      </w:r>
      <w:r w:rsidR="00593694" w:rsidRPr="0063622D">
        <w:rPr>
          <w:rFonts w:ascii="Arial" w:hAnsi="Arial" w:cs="Arial"/>
        </w:rPr>
        <w:t>that availed themselves</w:t>
      </w:r>
      <w:r w:rsidRPr="0063622D">
        <w:rPr>
          <w:rFonts w:ascii="Arial" w:hAnsi="Arial" w:cs="Arial"/>
        </w:rPr>
        <w:t xml:space="preserve"> of the </w:t>
      </w:r>
      <w:r w:rsidR="00870DA9" w:rsidRPr="0063622D">
        <w:rPr>
          <w:rFonts w:ascii="Arial" w:hAnsi="Arial" w:cs="Arial"/>
        </w:rPr>
        <w:t xml:space="preserve">Subchapter </w:t>
      </w:r>
      <w:r w:rsidRPr="0063622D">
        <w:rPr>
          <w:rFonts w:ascii="Arial" w:hAnsi="Arial" w:cs="Arial"/>
        </w:rPr>
        <w:t>‘</w:t>
      </w:r>
      <w:r w:rsidR="001E25B2" w:rsidRPr="0063622D">
        <w:rPr>
          <w:rFonts w:ascii="Arial" w:hAnsi="Arial" w:cs="Arial"/>
        </w:rPr>
        <w:t>N’ Securitization offered by the state</w:t>
      </w:r>
      <w:r w:rsidR="00593694" w:rsidRPr="0063622D">
        <w:rPr>
          <w:rFonts w:ascii="Arial" w:hAnsi="Arial" w:cs="Arial"/>
        </w:rPr>
        <w:t>.</w:t>
      </w:r>
      <w:r w:rsidR="001E25B2" w:rsidRPr="0063622D">
        <w:rPr>
          <w:rFonts w:ascii="Arial" w:hAnsi="Arial" w:cs="Arial"/>
        </w:rPr>
        <w:t xml:space="preserve"> </w:t>
      </w:r>
      <w:r w:rsidR="00593694" w:rsidRPr="0063622D">
        <w:rPr>
          <w:rFonts w:ascii="Arial" w:hAnsi="Arial" w:cs="Arial"/>
        </w:rPr>
        <w:t xml:space="preserve"> Entities</w:t>
      </w:r>
      <w:r w:rsidR="001E25B2" w:rsidRPr="0063622D">
        <w:rPr>
          <w:rFonts w:ascii="Arial" w:hAnsi="Arial" w:cs="Arial"/>
        </w:rPr>
        <w:t xml:space="preserve"> either adjusted rates, depleted reserves</w:t>
      </w:r>
      <w:r w:rsidR="008A6246">
        <w:rPr>
          <w:rFonts w:ascii="Arial" w:hAnsi="Arial" w:cs="Arial"/>
        </w:rPr>
        <w:t>,</w:t>
      </w:r>
      <w:r w:rsidR="001E25B2" w:rsidRPr="0063622D">
        <w:rPr>
          <w:rFonts w:ascii="Arial" w:hAnsi="Arial" w:cs="Arial"/>
        </w:rPr>
        <w:t xml:space="preserve"> or issued bonds, all of which are a testament to </w:t>
      </w:r>
      <w:r w:rsidR="00593694" w:rsidRPr="0063622D">
        <w:rPr>
          <w:rFonts w:ascii="Arial" w:hAnsi="Arial" w:cs="Arial"/>
        </w:rPr>
        <w:t>their</w:t>
      </w:r>
      <w:r w:rsidR="001E25B2" w:rsidRPr="0063622D">
        <w:rPr>
          <w:rFonts w:ascii="Arial" w:hAnsi="Arial" w:cs="Arial"/>
        </w:rPr>
        <w:t xml:space="preserve"> financial </w:t>
      </w:r>
      <w:r w:rsidR="00870DA9" w:rsidRPr="0063622D">
        <w:rPr>
          <w:rFonts w:ascii="Arial" w:hAnsi="Arial" w:cs="Arial"/>
        </w:rPr>
        <w:t>strength and wherewithal</w:t>
      </w:r>
      <w:r w:rsidR="00EC3D28" w:rsidRPr="0063622D">
        <w:rPr>
          <w:rFonts w:ascii="Arial" w:hAnsi="Arial" w:cs="Arial"/>
        </w:rPr>
        <w:t xml:space="preserve">, and why </w:t>
      </w:r>
      <w:r w:rsidR="00870DA9" w:rsidRPr="0063622D">
        <w:rPr>
          <w:rFonts w:ascii="Arial" w:hAnsi="Arial" w:cs="Arial"/>
        </w:rPr>
        <w:t xml:space="preserve">those </w:t>
      </w:r>
      <w:r w:rsidR="00593694" w:rsidRPr="0063622D">
        <w:rPr>
          <w:rFonts w:ascii="Arial" w:hAnsi="Arial" w:cs="Arial"/>
        </w:rPr>
        <w:t>Market Participants</w:t>
      </w:r>
      <w:r w:rsidR="00EC3D28" w:rsidRPr="0063622D">
        <w:rPr>
          <w:rFonts w:ascii="Arial" w:hAnsi="Arial" w:cs="Arial"/>
        </w:rPr>
        <w:t xml:space="preserve"> </w:t>
      </w:r>
      <w:r w:rsidR="00333326" w:rsidRPr="0063622D">
        <w:rPr>
          <w:rFonts w:ascii="Arial" w:hAnsi="Arial" w:cs="Arial"/>
        </w:rPr>
        <w:t>earned</w:t>
      </w:r>
      <w:r w:rsidR="00EC3D28" w:rsidRPr="0063622D">
        <w:rPr>
          <w:rFonts w:ascii="Arial" w:hAnsi="Arial" w:cs="Arial"/>
        </w:rPr>
        <w:t xml:space="preserve"> unsecured credit.</w:t>
      </w:r>
      <w:r w:rsidR="001E25B2" w:rsidRPr="0063622D">
        <w:rPr>
          <w:rFonts w:ascii="Arial" w:hAnsi="Arial" w:cs="Arial"/>
        </w:rPr>
        <w:t xml:space="preserve"> </w:t>
      </w:r>
    </w:p>
    <w:p w14:paraId="54F9F5F4" w14:textId="77777777" w:rsidR="007C3646" w:rsidRPr="0063622D" w:rsidRDefault="000626FB" w:rsidP="0063622D">
      <w:pPr>
        <w:pStyle w:val="BodyText"/>
        <w:rPr>
          <w:rFonts w:ascii="Arial" w:hAnsi="Arial" w:cs="Arial"/>
          <w:u w:val="single"/>
        </w:rPr>
      </w:pPr>
      <w:r w:rsidRPr="0063622D">
        <w:rPr>
          <w:rFonts w:ascii="Arial" w:hAnsi="Arial" w:cs="Arial"/>
          <w:u w:val="single"/>
        </w:rPr>
        <w:lastRenderedPageBreak/>
        <w:t>Impacts</w:t>
      </w:r>
    </w:p>
    <w:p w14:paraId="145D64E4" w14:textId="77777777" w:rsidR="00934AFE" w:rsidRPr="0063622D" w:rsidRDefault="000626FB" w:rsidP="0063622D">
      <w:pPr>
        <w:pStyle w:val="ListParagraph"/>
        <w:numPr>
          <w:ilvl w:val="0"/>
          <w:numId w:val="3"/>
        </w:numPr>
        <w:spacing w:before="120" w:after="120"/>
        <w:rPr>
          <w:rFonts w:ascii="Arial" w:eastAsia="Times New Roman" w:hAnsi="Arial" w:cs="Arial"/>
          <w:sz w:val="24"/>
          <w:szCs w:val="24"/>
        </w:rPr>
      </w:pPr>
      <w:r w:rsidRPr="0063622D">
        <w:rPr>
          <w:rFonts w:ascii="Arial" w:eastAsia="Times New Roman" w:hAnsi="Arial" w:cs="Arial"/>
          <w:sz w:val="24"/>
          <w:szCs w:val="24"/>
        </w:rPr>
        <w:t xml:space="preserve">Failure to Differentiate Creditworthiness </w:t>
      </w:r>
    </w:p>
    <w:p w14:paraId="5DF42ABC" w14:textId="53F5AC63" w:rsidR="00934AFE" w:rsidRPr="0063622D" w:rsidRDefault="000626FB" w:rsidP="0063622D">
      <w:pPr>
        <w:pStyle w:val="ListParagraph"/>
        <w:numPr>
          <w:ilvl w:val="1"/>
          <w:numId w:val="3"/>
        </w:numPr>
        <w:spacing w:before="120" w:after="120"/>
        <w:rPr>
          <w:rFonts w:ascii="Arial" w:eastAsia="Times New Roman" w:hAnsi="Arial" w:cs="Arial"/>
          <w:sz w:val="24"/>
          <w:szCs w:val="24"/>
        </w:rPr>
      </w:pPr>
      <w:r w:rsidRPr="0063622D">
        <w:rPr>
          <w:rFonts w:ascii="Arial" w:eastAsia="Times New Roman" w:hAnsi="Arial" w:cs="Arial"/>
          <w:sz w:val="24"/>
          <w:szCs w:val="24"/>
        </w:rPr>
        <w:t>Elimination of unsecured credit is ERCOT’s attempt to “provide a more level playing field”; however, this attempt eliminates the current process that recognizes a Market Participant’s creditworthiness and now effectively places an investment grade entity on par with a non</w:t>
      </w:r>
      <w:r w:rsidR="008A6246">
        <w:rPr>
          <w:rFonts w:ascii="Arial" w:eastAsia="Times New Roman" w:hAnsi="Arial" w:cs="Arial"/>
          <w:sz w:val="24"/>
          <w:szCs w:val="24"/>
        </w:rPr>
        <w:t>-</w:t>
      </w:r>
      <w:r w:rsidRPr="0063622D">
        <w:rPr>
          <w:rFonts w:ascii="Arial" w:eastAsia="Times New Roman" w:hAnsi="Arial" w:cs="Arial"/>
          <w:sz w:val="24"/>
          <w:szCs w:val="24"/>
        </w:rPr>
        <w:t xml:space="preserve">investment grade </w:t>
      </w:r>
      <w:r w:rsidR="008A6246">
        <w:rPr>
          <w:rFonts w:ascii="Arial" w:eastAsia="Times New Roman" w:hAnsi="Arial" w:cs="Arial"/>
          <w:sz w:val="24"/>
          <w:szCs w:val="24"/>
        </w:rPr>
        <w:t>E</w:t>
      </w:r>
      <w:r w:rsidRPr="0063622D">
        <w:rPr>
          <w:rFonts w:ascii="Arial" w:eastAsia="Times New Roman" w:hAnsi="Arial" w:cs="Arial"/>
          <w:sz w:val="24"/>
          <w:szCs w:val="24"/>
        </w:rPr>
        <w:t xml:space="preserve">ntity.  For example, assuming equal financial exposure under the proposed </w:t>
      </w:r>
      <w:r w:rsidR="008A6246">
        <w:rPr>
          <w:rFonts w:ascii="Arial" w:eastAsia="Times New Roman" w:hAnsi="Arial" w:cs="Arial"/>
          <w:sz w:val="24"/>
          <w:szCs w:val="24"/>
        </w:rPr>
        <w:t>P</w:t>
      </w:r>
      <w:r w:rsidRPr="0063622D">
        <w:rPr>
          <w:rFonts w:ascii="Arial" w:eastAsia="Times New Roman" w:hAnsi="Arial" w:cs="Arial"/>
          <w:sz w:val="24"/>
          <w:szCs w:val="24"/>
        </w:rPr>
        <w:t>rotocol calculations, a Market Participant with a non</w:t>
      </w:r>
      <w:r w:rsidR="008A6246">
        <w:rPr>
          <w:rFonts w:ascii="Arial" w:eastAsia="Times New Roman" w:hAnsi="Arial" w:cs="Arial"/>
          <w:sz w:val="24"/>
          <w:szCs w:val="24"/>
        </w:rPr>
        <w:t>-</w:t>
      </w:r>
      <w:r w:rsidRPr="0063622D">
        <w:rPr>
          <w:rFonts w:ascii="Arial" w:eastAsia="Times New Roman" w:hAnsi="Arial" w:cs="Arial"/>
          <w:sz w:val="24"/>
          <w:szCs w:val="24"/>
        </w:rPr>
        <w:t xml:space="preserve">investment grade credit rating would only be required to post the same security as a Market Participant with a AAA credit rating.  This does not seem to align with ERCOT’s comment that they are committed to “credit best practices to reduce the risk of future under-collateralization.”  If ERCOT’s intent is to have all Market Participants post secured credit, then it seems that those with lower credit ratings or less financial wherewithal would need to post additional security relative to those with higher credit ratings or better financial wherewithal.  This would most likely increase the cost to participate in the ERCOT </w:t>
      </w:r>
      <w:r w:rsidR="008A6246">
        <w:rPr>
          <w:rFonts w:ascii="Arial" w:eastAsia="Times New Roman" w:hAnsi="Arial" w:cs="Arial"/>
          <w:sz w:val="24"/>
          <w:szCs w:val="24"/>
        </w:rPr>
        <w:t>m</w:t>
      </w:r>
      <w:r w:rsidRPr="0063622D">
        <w:rPr>
          <w:rFonts w:ascii="Arial" w:eastAsia="Times New Roman" w:hAnsi="Arial" w:cs="Arial"/>
          <w:sz w:val="24"/>
          <w:szCs w:val="24"/>
        </w:rPr>
        <w:t>arket and could result in fewer participants in the ERCOT Market and additional cost passed along to electric consumers in ERCOT.</w:t>
      </w:r>
    </w:p>
    <w:p w14:paraId="7B185911" w14:textId="780F50AD" w:rsidR="00934AFE" w:rsidRPr="0063622D" w:rsidRDefault="000626FB" w:rsidP="0063622D">
      <w:pPr>
        <w:pStyle w:val="ListParagraph"/>
        <w:numPr>
          <w:ilvl w:val="1"/>
          <w:numId w:val="3"/>
        </w:numPr>
        <w:spacing w:before="120" w:after="120"/>
        <w:rPr>
          <w:rFonts w:ascii="Arial" w:eastAsia="Times New Roman" w:hAnsi="Arial" w:cs="Arial"/>
          <w:sz w:val="24"/>
          <w:szCs w:val="24"/>
        </w:rPr>
      </w:pPr>
      <w:r w:rsidRPr="0063622D">
        <w:rPr>
          <w:rFonts w:ascii="Arial" w:eastAsia="Times New Roman" w:hAnsi="Arial" w:cs="Arial"/>
          <w:sz w:val="24"/>
          <w:szCs w:val="24"/>
        </w:rPr>
        <w:t xml:space="preserve">Although the </w:t>
      </w:r>
      <w:r w:rsidR="00397245">
        <w:rPr>
          <w:rFonts w:ascii="Arial" w:eastAsia="Times New Roman" w:hAnsi="Arial" w:cs="Arial"/>
          <w:sz w:val="24"/>
          <w:szCs w:val="24"/>
        </w:rPr>
        <w:t>P</w:t>
      </w:r>
      <w:r w:rsidRPr="0063622D">
        <w:rPr>
          <w:rFonts w:ascii="Arial" w:eastAsia="Times New Roman" w:hAnsi="Arial" w:cs="Arial"/>
          <w:sz w:val="24"/>
          <w:szCs w:val="24"/>
        </w:rPr>
        <w:t xml:space="preserve">rotocols currently give ERCOT the discretion to adjust a Market Participant’s potential financial exposure based on the calculations used by ERCOT to determine exposure, there are no specific or explicit calculations on how that adjustment is calculated; however, the current </w:t>
      </w:r>
      <w:r w:rsidR="00397245">
        <w:rPr>
          <w:rFonts w:ascii="Arial" w:eastAsia="Times New Roman" w:hAnsi="Arial" w:cs="Arial"/>
          <w:sz w:val="24"/>
          <w:szCs w:val="24"/>
        </w:rPr>
        <w:t>P</w:t>
      </w:r>
      <w:r w:rsidRPr="0063622D">
        <w:rPr>
          <w:rFonts w:ascii="Arial" w:eastAsia="Times New Roman" w:hAnsi="Arial" w:cs="Arial"/>
          <w:sz w:val="24"/>
          <w:szCs w:val="24"/>
        </w:rPr>
        <w:t xml:space="preserve">rotocols do provide </w:t>
      </w:r>
      <w:r w:rsidRPr="0063622D">
        <w:rPr>
          <w:rFonts w:ascii="Arial" w:hAnsi="Arial" w:cs="Arial"/>
          <w:sz w:val="24"/>
          <w:szCs w:val="24"/>
        </w:rPr>
        <w:t xml:space="preserve">recognition and specific determination of how Market Participants are differentiated based on creditworthiness. </w:t>
      </w:r>
    </w:p>
    <w:p w14:paraId="701DDB28" w14:textId="77777777" w:rsidR="001E25B2" w:rsidRPr="0063622D" w:rsidRDefault="000626FB" w:rsidP="0063622D">
      <w:pPr>
        <w:pStyle w:val="ListParagraph"/>
        <w:numPr>
          <w:ilvl w:val="0"/>
          <w:numId w:val="3"/>
        </w:numPr>
        <w:spacing w:before="120" w:after="120"/>
        <w:rPr>
          <w:rFonts w:ascii="Arial" w:eastAsia="Times New Roman" w:hAnsi="Arial" w:cs="Arial"/>
          <w:sz w:val="24"/>
          <w:szCs w:val="24"/>
        </w:rPr>
      </w:pPr>
      <w:r w:rsidRPr="0063622D">
        <w:rPr>
          <w:rFonts w:ascii="Arial" w:hAnsi="Arial" w:cs="Arial"/>
          <w:sz w:val="24"/>
          <w:szCs w:val="24"/>
        </w:rPr>
        <w:t xml:space="preserve"> </w:t>
      </w:r>
      <w:r w:rsidRPr="0063622D">
        <w:rPr>
          <w:rFonts w:ascii="Arial" w:eastAsia="Times New Roman" w:hAnsi="Arial" w:cs="Arial"/>
          <w:sz w:val="24"/>
          <w:szCs w:val="24"/>
        </w:rPr>
        <w:t xml:space="preserve">Increased Cost for Secured Credit </w:t>
      </w:r>
    </w:p>
    <w:p w14:paraId="446D82A5" w14:textId="7EBCACA3" w:rsidR="001E25B2" w:rsidRPr="0063622D" w:rsidRDefault="000626FB" w:rsidP="0063622D">
      <w:pPr>
        <w:pStyle w:val="ListParagraph"/>
        <w:numPr>
          <w:ilvl w:val="1"/>
          <w:numId w:val="3"/>
        </w:numPr>
        <w:spacing w:before="120" w:after="120"/>
        <w:rPr>
          <w:rFonts w:ascii="Arial" w:eastAsia="Times New Roman" w:hAnsi="Arial" w:cs="Arial"/>
          <w:sz w:val="24"/>
          <w:szCs w:val="24"/>
        </w:rPr>
      </w:pPr>
      <w:r w:rsidRPr="0063622D">
        <w:rPr>
          <w:rFonts w:ascii="Arial" w:eastAsia="Times New Roman" w:hAnsi="Arial" w:cs="Arial"/>
          <w:sz w:val="24"/>
          <w:szCs w:val="24"/>
        </w:rPr>
        <w:t>For Market Participants currently receiving unsecured credit</w:t>
      </w:r>
      <w:r w:rsidR="0062287B" w:rsidRPr="0063622D">
        <w:rPr>
          <w:rFonts w:ascii="Arial" w:eastAsia="Times New Roman" w:hAnsi="Arial" w:cs="Arial"/>
          <w:sz w:val="24"/>
          <w:szCs w:val="24"/>
        </w:rPr>
        <w:t>, they</w:t>
      </w:r>
      <w:r w:rsidRPr="0063622D">
        <w:rPr>
          <w:rFonts w:ascii="Arial" w:eastAsia="Times New Roman" w:hAnsi="Arial" w:cs="Arial"/>
          <w:sz w:val="24"/>
          <w:szCs w:val="24"/>
        </w:rPr>
        <w:t xml:space="preserve"> </w:t>
      </w:r>
      <w:r w:rsidR="00333326" w:rsidRPr="0063622D">
        <w:rPr>
          <w:rFonts w:ascii="Arial" w:eastAsia="Times New Roman" w:hAnsi="Arial" w:cs="Arial"/>
          <w:sz w:val="24"/>
          <w:szCs w:val="24"/>
        </w:rPr>
        <w:t xml:space="preserve">will bear </w:t>
      </w:r>
      <w:r w:rsidRPr="0063622D">
        <w:rPr>
          <w:rFonts w:ascii="Arial" w:eastAsia="Times New Roman" w:hAnsi="Arial" w:cs="Arial"/>
          <w:sz w:val="24"/>
          <w:szCs w:val="24"/>
        </w:rPr>
        <w:t>additional costs</w:t>
      </w:r>
      <w:r w:rsidR="0062287B" w:rsidRPr="0063622D">
        <w:rPr>
          <w:rFonts w:ascii="Arial" w:eastAsia="Times New Roman" w:hAnsi="Arial" w:cs="Arial"/>
          <w:sz w:val="24"/>
          <w:szCs w:val="24"/>
        </w:rPr>
        <w:t xml:space="preserve"> (with mi</w:t>
      </w:r>
      <w:r w:rsidR="00543FBC" w:rsidRPr="0063622D">
        <w:rPr>
          <w:rFonts w:ascii="Arial" w:eastAsia="Times New Roman" w:hAnsi="Arial" w:cs="Arial"/>
          <w:sz w:val="24"/>
          <w:szCs w:val="24"/>
        </w:rPr>
        <w:t>n</w:t>
      </w:r>
      <w:r w:rsidR="0062287B" w:rsidRPr="0063622D">
        <w:rPr>
          <w:rFonts w:ascii="Arial" w:eastAsia="Times New Roman" w:hAnsi="Arial" w:cs="Arial"/>
          <w:sz w:val="24"/>
          <w:szCs w:val="24"/>
        </w:rPr>
        <w:t>imal to no benefit)</w:t>
      </w:r>
      <w:r w:rsidRPr="0063622D">
        <w:rPr>
          <w:rFonts w:ascii="Arial" w:eastAsia="Times New Roman" w:hAnsi="Arial" w:cs="Arial"/>
          <w:sz w:val="24"/>
          <w:szCs w:val="24"/>
        </w:rPr>
        <w:t xml:space="preserve"> </w:t>
      </w:r>
      <w:r w:rsidR="00547854" w:rsidRPr="0063622D">
        <w:rPr>
          <w:rFonts w:ascii="Arial" w:eastAsia="Times New Roman" w:hAnsi="Arial" w:cs="Arial"/>
          <w:sz w:val="24"/>
          <w:szCs w:val="24"/>
        </w:rPr>
        <w:t xml:space="preserve">which </w:t>
      </w:r>
      <w:r w:rsidRPr="0063622D">
        <w:rPr>
          <w:rFonts w:ascii="Arial" w:eastAsia="Times New Roman" w:hAnsi="Arial" w:cs="Arial"/>
          <w:sz w:val="24"/>
          <w:szCs w:val="24"/>
        </w:rPr>
        <w:t xml:space="preserve">will most likely </w:t>
      </w:r>
      <w:r w:rsidR="00870DA9" w:rsidRPr="0063622D">
        <w:rPr>
          <w:rFonts w:ascii="Arial" w:eastAsia="Times New Roman" w:hAnsi="Arial" w:cs="Arial"/>
          <w:sz w:val="24"/>
          <w:szCs w:val="24"/>
        </w:rPr>
        <w:t xml:space="preserve">be </w:t>
      </w:r>
      <w:r w:rsidRPr="0063622D">
        <w:rPr>
          <w:rFonts w:ascii="Arial" w:eastAsia="Times New Roman" w:hAnsi="Arial" w:cs="Arial"/>
          <w:sz w:val="24"/>
          <w:szCs w:val="24"/>
        </w:rPr>
        <w:t xml:space="preserve">passed through to electric consumers.  </w:t>
      </w:r>
      <w:r w:rsidR="00A9691B" w:rsidRPr="0063622D">
        <w:rPr>
          <w:rFonts w:ascii="Arial" w:eastAsia="Times New Roman" w:hAnsi="Arial" w:cs="Arial"/>
          <w:sz w:val="24"/>
          <w:szCs w:val="24"/>
        </w:rPr>
        <w:t xml:space="preserve">These costs will be in addition to the costs they are already bearing </w:t>
      </w:r>
      <w:r w:rsidR="004F47B9" w:rsidRPr="0063622D">
        <w:rPr>
          <w:rFonts w:ascii="Arial" w:eastAsia="Times New Roman" w:hAnsi="Arial" w:cs="Arial"/>
          <w:sz w:val="24"/>
          <w:szCs w:val="24"/>
        </w:rPr>
        <w:t>because of</w:t>
      </w:r>
      <w:r w:rsidR="00A9691B" w:rsidRPr="0063622D">
        <w:rPr>
          <w:rFonts w:ascii="Arial" w:eastAsia="Times New Roman" w:hAnsi="Arial" w:cs="Arial"/>
          <w:sz w:val="24"/>
          <w:szCs w:val="24"/>
        </w:rPr>
        <w:t xml:space="preserve"> winter storm Uri and on top of any default uplift </w:t>
      </w:r>
      <w:r w:rsidR="008D79FB" w:rsidRPr="0063622D">
        <w:rPr>
          <w:rFonts w:ascii="Arial" w:eastAsia="Times New Roman" w:hAnsi="Arial" w:cs="Arial"/>
          <w:sz w:val="24"/>
          <w:szCs w:val="24"/>
        </w:rPr>
        <w:t>that could potentially</w:t>
      </w:r>
      <w:r w:rsidR="00A9691B" w:rsidRPr="0063622D">
        <w:rPr>
          <w:rFonts w:ascii="Arial" w:eastAsia="Times New Roman" w:hAnsi="Arial" w:cs="Arial"/>
          <w:sz w:val="24"/>
          <w:szCs w:val="24"/>
        </w:rPr>
        <w:t xml:space="preserve"> be allocated to them. </w:t>
      </w:r>
    </w:p>
    <w:p w14:paraId="3839CA2F" w14:textId="6E3B066E" w:rsidR="001E25B2" w:rsidRPr="0063622D" w:rsidRDefault="000626FB" w:rsidP="0063622D">
      <w:pPr>
        <w:pStyle w:val="ListParagraph"/>
        <w:numPr>
          <w:ilvl w:val="1"/>
          <w:numId w:val="3"/>
        </w:numPr>
        <w:spacing w:before="120" w:after="120"/>
        <w:rPr>
          <w:rFonts w:ascii="Arial" w:eastAsia="Times New Roman" w:hAnsi="Arial" w:cs="Arial"/>
          <w:sz w:val="24"/>
          <w:szCs w:val="24"/>
        </w:rPr>
      </w:pPr>
      <w:r w:rsidRPr="0063622D">
        <w:rPr>
          <w:rFonts w:ascii="Arial" w:eastAsia="Times New Roman" w:hAnsi="Arial" w:cs="Arial"/>
          <w:sz w:val="24"/>
          <w:szCs w:val="24"/>
        </w:rPr>
        <w:t xml:space="preserve">Additional financial security through </w:t>
      </w:r>
      <w:r w:rsidR="00397245">
        <w:rPr>
          <w:rFonts w:ascii="Arial" w:eastAsia="Times New Roman" w:hAnsi="Arial" w:cs="Arial"/>
          <w:sz w:val="24"/>
          <w:szCs w:val="24"/>
        </w:rPr>
        <w:t xml:space="preserve">letters of credit </w:t>
      </w:r>
      <w:r w:rsidRPr="0063622D">
        <w:rPr>
          <w:rFonts w:ascii="Arial" w:eastAsia="Times New Roman" w:hAnsi="Arial" w:cs="Arial"/>
          <w:sz w:val="24"/>
          <w:szCs w:val="24"/>
        </w:rPr>
        <w:t xml:space="preserve">may cause a concentration of exposure for ERCOT from institutions providing </w:t>
      </w:r>
      <w:r w:rsidR="00397245">
        <w:rPr>
          <w:rFonts w:ascii="Arial" w:eastAsia="Times New Roman" w:hAnsi="Arial" w:cs="Arial"/>
          <w:sz w:val="24"/>
          <w:szCs w:val="24"/>
        </w:rPr>
        <w:t>letters of credit</w:t>
      </w:r>
      <w:r w:rsidR="00397245" w:rsidRPr="0063622D">
        <w:rPr>
          <w:rFonts w:ascii="Arial" w:eastAsia="Times New Roman" w:hAnsi="Arial" w:cs="Arial"/>
          <w:sz w:val="24"/>
          <w:szCs w:val="24"/>
        </w:rPr>
        <w:t xml:space="preserve"> </w:t>
      </w:r>
      <w:r w:rsidRPr="0063622D">
        <w:rPr>
          <w:rFonts w:ascii="Arial" w:eastAsia="Times New Roman" w:hAnsi="Arial" w:cs="Arial"/>
          <w:sz w:val="24"/>
          <w:szCs w:val="24"/>
        </w:rPr>
        <w:t xml:space="preserve">to Market Participants.  This concentration may be further exacerbated by recent state legislation that limits state governmental </w:t>
      </w:r>
      <w:r w:rsidR="00397245">
        <w:rPr>
          <w:rFonts w:ascii="Arial" w:eastAsia="Times New Roman" w:hAnsi="Arial" w:cs="Arial"/>
          <w:sz w:val="24"/>
          <w:szCs w:val="24"/>
        </w:rPr>
        <w:t>E</w:t>
      </w:r>
      <w:r w:rsidRPr="0063622D">
        <w:rPr>
          <w:rFonts w:ascii="Arial" w:eastAsia="Times New Roman" w:hAnsi="Arial" w:cs="Arial"/>
          <w:sz w:val="24"/>
          <w:szCs w:val="24"/>
        </w:rPr>
        <w:t xml:space="preserve">ntities from conducting business with institutions who limit their business activities with firearms, ammunition, </w:t>
      </w:r>
      <w:r w:rsidR="008D79FB" w:rsidRPr="0063622D">
        <w:rPr>
          <w:rFonts w:ascii="Arial" w:eastAsia="Times New Roman" w:hAnsi="Arial" w:cs="Arial"/>
          <w:sz w:val="24"/>
          <w:szCs w:val="24"/>
        </w:rPr>
        <w:t xml:space="preserve">or </w:t>
      </w:r>
      <w:r w:rsidRPr="0063622D">
        <w:rPr>
          <w:rFonts w:ascii="Arial" w:eastAsia="Times New Roman" w:hAnsi="Arial" w:cs="Arial"/>
          <w:sz w:val="24"/>
          <w:szCs w:val="24"/>
        </w:rPr>
        <w:t xml:space="preserve">oil and gas businesses.  If this legislation reduces the number of institutions that are eligible to provide </w:t>
      </w:r>
      <w:r w:rsidR="00397245">
        <w:rPr>
          <w:rFonts w:ascii="Arial" w:eastAsia="Times New Roman" w:hAnsi="Arial" w:cs="Arial"/>
          <w:sz w:val="24"/>
          <w:szCs w:val="24"/>
        </w:rPr>
        <w:t>letters of credit</w:t>
      </w:r>
      <w:r w:rsidRPr="0063622D">
        <w:rPr>
          <w:rFonts w:ascii="Arial" w:eastAsia="Times New Roman" w:hAnsi="Arial" w:cs="Arial"/>
          <w:sz w:val="24"/>
          <w:szCs w:val="24"/>
        </w:rPr>
        <w:t xml:space="preserve"> to Market Participants, there will not only be an increase in concentration risk for ERCOT, but also the eligible institutions will experience an increase in concentration risk to ERCOT; these increases in risk for both ERCOT and </w:t>
      </w:r>
      <w:r w:rsidRPr="0063622D">
        <w:rPr>
          <w:rFonts w:ascii="Arial" w:eastAsia="Times New Roman" w:hAnsi="Arial" w:cs="Arial"/>
          <w:sz w:val="24"/>
          <w:szCs w:val="24"/>
        </w:rPr>
        <w:lastRenderedPageBreak/>
        <w:t>institutions could lead to increase costs for Market Participants and electric consumers.</w:t>
      </w:r>
    </w:p>
    <w:p w14:paraId="1C0E498A" w14:textId="77777777" w:rsidR="001E25B2" w:rsidRPr="0063622D" w:rsidRDefault="000626FB" w:rsidP="0063622D">
      <w:pPr>
        <w:pStyle w:val="ListParagraph"/>
        <w:numPr>
          <w:ilvl w:val="0"/>
          <w:numId w:val="3"/>
        </w:numPr>
        <w:spacing w:before="120" w:after="120"/>
        <w:rPr>
          <w:rFonts w:ascii="Arial" w:eastAsia="Times New Roman" w:hAnsi="Arial" w:cs="Arial"/>
          <w:sz w:val="24"/>
          <w:szCs w:val="24"/>
        </w:rPr>
      </w:pPr>
      <w:r w:rsidRPr="0063622D">
        <w:rPr>
          <w:rFonts w:ascii="Arial" w:eastAsia="Times New Roman" w:hAnsi="Arial" w:cs="Arial"/>
          <w:sz w:val="24"/>
          <w:szCs w:val="24"/>
        </w:rPr>
        <w:t xml:space="preserve">Less Liquidity </w:t>
      </w:r>
    </w:p>
    <w:p w14:paraId="6B27EC27" w14:textId="6DE2EB6B" w:rsidR="001E25B2" w:rsidRPr="0063622D" w:rsidRDefault="000626FB" w:rsidP="0063622D">
      <w:pPr>
        <w:pStyle w:val="ListParagraph"/>
        <w:numPr>
          <w:ilvl w:val="1"/>
          <w:numId w:val="3"/>
        </w:numPr>
        <w:spacing w:before="120" w:after="120"/>
        <w:rPr>
          <w:rFonts w:ascii="Arial" w:eastAsia="Times New Roman" w:hAnsi="Arial" w:cs="Arial"/>
          <w:sz w:val="24"/>
          <w:szCs w:val="24"/>
        </w:rPr>
      </w:pPr>
      <w:r w:rsidRPr="0063622D">
        <w:rPr>
          <w:rFonts w:ascii="Arial" w:eastAsia="Times New Roman" w:hAnsi="Arial" w:cs="Arial"/>
          <w:sz w:val="24"/>
          <w:szCs w:val="24"/>
        </w:rPr>
        <w:t xml:space="preserve">Elimination of unsecured credit will reduce liquidity in the ERCOT </w:t>
      </w:r>
      <w:r w:rsidR="00397245">
        <w:rPr>
          <w:rFonts w:ascii="Arial" w:eastAsia="Times New Roman" w:hAnsi="Arial" w:cs="Arial"/>
          <w:sz w:val="24"/>
          <w:szCs w:val="24"/>
        </w:rPr>
        <w:t>m</w:t>
      </w:r>
      <w:r w:rsidRPr="0063622D">
        <w:rPr>
          <w:rFonts w:ascii="Arial" w:eastAsia="Times New Roman" w:hAnsi="Arial" w:cs="Arial"/>
          <w:sz w:val="24"/>
          <w:szCs w:val="24"/>
        </w:rPr>
        <w:t>arket, which could increase cost of transacting in ERCOT for Market Participants and electric consumers in ERCOT.</w:t>
      </w:r>
    </w:p>
    <w:p w14:paraId="759B76C5" w14:textId="4E15B486" w:rsidR="001E25B2" w:rsidRPr="0063622D" w:rsidRDefault="000626FB" w:rsidP="0063622D">
      <w:pPr>
        <w:pStyle w:val="ListParagraph"/>
        <w:numPr>
          <w:ilvl w:val="1"/>
          <w:numId w:val="3"/>
        </w:numPr>
        <w:spacing w:before="120" w:after="120"/>
        <w:rPr>
          <w:rFonts w:ascii="Arial" w:eastAsia="Times New Roman" w:hAnsi="Arial" w:cs="Arial"/>
          <w:sz w:val="24"/>
          <w:szCs w:val="24"/>
        </w:rPr>
      </w:pPr>
      <w:r w:rsidRPr="0063622D">
        <w:rPr>
          <w:rFonts w:ascii="Arial" w:eastAsia="Times New Roman" w:hAnsi="Arial" w:cs="Arial"/>
          <w:sz w:val="24"/>
          <w:szCs w:val="24"/>
        </w:rPr>
        <w:t xml:space="preserve">When </w:t>
      </w:r>
      <w:r w:rsidR="00397245">
        <w:rPr>
          <w:rFonts w:ascii="Arial" w:eastAsia="Times New Roman" w:hAnsi="Arial" w:cs="Arial"/>
          <w:sz w:val="24"/>
          <w:szCs w:val="24"/>
        </w:rPr>
        <w:t xml:space="preserve">the </w:t>
      </w:r>
      <w:r w:rsidR="00397245" w:rsidRPr="00397245">
        <w:rPr>
          <w:rFonts w:ascii="Arial" w:eastAsia="Times New Roman" w:hAnsi="Arial" w:cs="Arial"/>
          <w:sz w:val="24"/>
          <w:szCs w:val="24"/>
        </w:rPr>
        <w:t>Federal Energy Regulatory Commission</w:t>
      </w:r>
      <w:r w:rsidR="00397245" w:rsidRPr="00397245">
        <w:rPr>
          <w:rFonts w:ascii="Arial" w:eastAsia="Times New Roman" w:hAnsi="Arial" w:cs="Arial"/>
          <w:sz w:val="24"/>
          <w:szCs w:val="24"/>
        </w:rPr>
        <w:t xml:space="preserve"> </w:t>
      </w:r>
      <w:r w:rsidR="00397245">
        <w:rPr>
          <w:rFonts w:ascii="Arial" w:eastAsia="Times New Roman" w:hAnsi="Arial" w:cs="Arial"/>
          <w:sz w:val="24"/>
          <w:szCs w:val="24"/>
        </w:rPr>
        <w:t>(</w:t>
      </w:r>
      <w:r w:rsidRPr="0063622D">
        <w:rPr>
          <w:rFonts w:ascii="Arial" w:eastAsia="Times New Roman" w:hAnsi="Arial" w:cs="Arial"/>
          <w:sz w:val="24"/>
          <w:szCs w:val="24"/>
        </w:rPr>
        <w:t>FERC</w:t>
      </w:r>
      <w:r w:rsidR="00397245">
        <w:rPr>
          <w:rFonts w:ascii="Arial" w:eastAsia="Times New Roman" w:hAnsi="Arial" w:cs="Arial"/>
          <w:sz w:val="24"/>
          <w:szCs w:val="24"/>
        </w:rPr>
        <w:t>)</w:t>
      </w:r>
      <w:r w:rsidRPr="0063622D">
        <w:rPr>
          <w:rFonts w:ascii="Arial" w:eastAsia="Times New Roman" w:hAnsi="Arial" w:cs="Arial"/>
          <w:sz w:val="24"/>
          <w:szCs w:val="24"/>
        </w:rPr>
        <w:t xml:space="preserve"> set the current $50 million unsecured credit limit for the other </w:t>
      </w:r>
      <w:r w:rsidR="00397245" w:rsidRPr="00397245">
        <w:rPr>
          <w:rFonts w:ascii="Arial" w:eastAsia="Times New Roman" w:hAnsi="Arial" w:cs="Arial"/>
          <w:sz w:val="24"/>
          <w:szCs w:val="24"/>
        </w:rPr>
        <w:t>Independent System Operators</w:t>
      </w:r>
      <w:r w:rsidR="00397245" w:rsidRPr="00397245">
        <w:rPr>
          <w:rFonts w:ascii="Arial" w:eastAsia="Times New Roman" w:hAnsi="Arial" w:cs="Arial"/>
          <w:sz w:val="24"/>
          <w:szCs w:val="24"/>
        </w:rPr>
        <w:t xml:space="preserve"> </w:t>
      </w:r>
      <w:r w:rsidR="00397245">
        <w:rPr>
          <w:rFonts w:ascii="Arial" w:eastAsia="Times New Roman" w:hAnsi="Arial" w:cs="Arial"/>
          <w:sz w:val="24"/>
          <w:szCs w:val="24"/>
        </w:rPr>
        <w:t>(</w:t>
      </w:r>
      <w:r w:rsidRPr="0063622D">
        <w:rPr>
          <w:rFonts w:ascii="Arial" w:eastAsia="Times New Roman" w:hAnsi="Arial" w:cs="Arial"/>
          <w:sz w:val="24"/>
          <w:szCs w:val="24"/>
        </w:rPr>
        <w:t>ISOs</w:t>
      </w:r>
      <w:r w:rsidR="00397245">
        <w:rPr>
          <w:rFonts w:ascii="Arial" w:eastAsia="Times New Roman" w:hAnsi="Arial" w:cs="Arial"/>
          <w:sz w:val="24"/>
          <w:szCs w:val="24"/>
        </w:rPr>
        <w:t>)</w:t>
      </w:r>
      <w:r w:rsidRPr="0063622D">
        <w:rPr>
          <w:rFonts w:ascii="Arial" w:eastAsia="Times New Roman" w:hAnsi="Arial" w:cs="Arial"/>
          <w:sz w:val="24"/>
          <w:szCs w:val="24"/>
        </w:rPr>
        <w:t xml:space="preserve">, FERC recognized that unsecured credit provides liquidity to wholesale energy markets and that the $50 million cap was an appropriate balance between the costs that would need to be incurred by </w:t>
      </w:r>
      <w:r w:rsidR="00397245">
        <w:rPr>
          <w:rFonts w:ascii="Arial" w:eastAsia="Times New Roman" w:hAnsi="Arial" w:cs="Arial"/>
          <w:sz w:val="24"/>
          <w:szCs w:val="24"/>
        </w:rPr>
        <w:t>M</w:t>
      </w:r>
      <w:r w:rsidRPr="0063622D">
        <w:rPr>
          <w:rFonts w:ascii="Arial" w:eastAsia="Times New Roman" w:hAnsi="Arial" w:cs="Arial"/>
          <w:sz w:val="24"/>
          <w:szCs w:val="24"/>
        </w:rPr>
        <w:t xml:space="preserve">arket </w:t>
      </w:r>
      <w:r w:rsidR="00397245">
        <w:rPr>
          <w:rFonts w:ascii="Arial" w:eastAsia="Times New Roman" w:hAnsi="Arial" w:cs="Arial"/>
          <w:sz w:val="24"/>
          <w:szCs w:val="24"/>
        </w:rPr>
        <w:t>P</w:t>
      </w:r>
      <w:r w:rsidRPr="0063622D">
        <w:rPr>
          <w:rFonts w:ascii="Arial" w:eastAsia="Times New Roman" w:hAnsi="Arial" w:cs="Arial"/>
          <w:sz w:val="24"/>
          <w:szCs w:val="24"/>
        </w:rPr>
        <w:t xml:space="preserve">articipants to provide this level of secured credit and the effects of potential market disruption under a </w:t>
      </w:r>
      <w:r w:rsidR="00397245">
        <w:rPr>
          <w:rFonts w:ascii="Arial" w:eastAsia="Times New Roman" w:hAnsi="Arial" w:cs="Arial"/>
          <w:sz w:val="24"/>
          <w:szCs w:val="24"/>
        </w:rPr>
        <w:t>M</w:t>
      </w:r>
      <w:r w:rsidRPr="0063622D">
        <w:rPr>
          <w:rFonts w:ascii="Arial" w:eastAsia="Times New Roman" w:hAnsi="Arial" w:cs="Arial"/>
          <w:sz w:val="24"/>
          <w:szCs w:val="24"/>
        </w:rPr>
        <w:t xml:space="preserve">arket </w:t>
      </w:r>
      <w:r w:rsidR="00397245">
        <w:rPr>
          <w:rFonts w:ascii="Arial" w:eastAsia="Times New Roman" w:hAnsi="Arial" w:cs="Arial"/>
          <w:sz w:val="24"/>
          <w:szCs w:val="24"/>
        </w:rPr>
        <w:t>P</w:t>
      </w:r>
      <w:r w:rsidRPr="0063622D">
        <w:rPr>
          <w:rFonts w:ascii="Arial" w:eastAsia="Times New Roman" w:hAnsi="Arial" w:cs="Arial"/>
          <w:sz w:val="24"/>
          <w:szCs w:val="24"/>
        </w:rPr>
        <w:t>articipant default event.</w:t>
      </w:r>
    </w:p>
    <w:p w14:paraId="70C1CBB9" w14:textId="114E3A0C" w:rsidR="00BD7258" w:rsidRPr="0063622D" w:rsidRDefault="00593694" w:rsidP="0063622D">
      <w:pPr>
        <w:pStyle w:val="NormalArial"/>
        <w:spacing w:before="120" w:after="120"/>
        <w:rPr>
          <w:rFonts w:cs="Arial"/>
        </w:rPr>
      </w:pPr>
      <w:r w:rsidRPr="0063622D">
        <w:rPr>
          <w:rFonts w:cs="Arial"/>
        </w:rPr>
        <w:t>Joint Commenters</w:t>
      </w:r>
      <w:r w:rsidR="000626FB" w:rsidRPr="0063622D">
        <w:rPr>
          <w:rFonts w:cs="Arial"/>
        </w:rPr>
        <w:t xml:space="preserve"> urge PRS to </w:t>
      </w:r>
      <w:r w:rsidR="00E906C0" w:rsidRPr="0063622D">
        <w:rPr>
          <w:rFonts w:cs="Arial"/>
        </w:rPr>
        <w:t xml:space="preserve">continue to support </w:t>
      </w:r>
      <w:r w:rsidR="000626FB" w:rsidRPr="0063622D">
        <w:rPr>
          <w:rFonts w:cs="Arial"/>
        </w:rPr>
        <w:t>the language</w:t>
      </w:r>
      <w:r w:rsidR="0057666A" w:rsidRPr="0063622D">
        <w:rPr>
          <w:rFonts w:cs="Arial"/>
        </w:rPr>
        <w:t xml:space="preserve"> it approved</w:t>
      </w:r>
      <w:r w:rsidR="00E906C0" w:rsidRPr="0063622D">
        <w:rPr>
          <w:rFonts w:cs="Arial"/>
        </w:rPr>
        <w:t xml:space="preserve"> in March</w:t>
      </w:r>
      <w:r w:rsidR="0057666A" w:rsidRPr="0063622D">
        <w:rPr>
          <w:rFonts w:cs="Arial"/>
        </w:rPr>
        <w:t xml:space="preserve">, </w:t>
      </w:r>
      <w:r w:rsidR="00E906C0" w:rsidRPr="0063622D">
        <w:rPr>
          <w:rFonts w:cs="Arial"/>
        </w:rPr>
        <w:t xml:space="preserve">and </w:t>
      </w:r>
      <w:r w:rsidR="0057666A" w:rsidRPr="0063622D">
        <w:rPr>
          <w:rFonts w:cs="Arial"/>
        </w:rPr>
        <w:t xml:space="preserve">as </w:t>
      </w:r>
      <w:r w:rsidR="000626FB" w:rsidRPr="0063622D">
        <w:rPr>
          <w:rFonts w:cs="Arial"/>
        </w:rPr>
        <w:t xml:space="preserve">recommended by </w:t>
      </w:r>
      <w:r w:rsidR="00E906C0" w:rsidRPr="0063622D">
        <w:rPr>
          <w:rFonts w:cs="Arial"/>
        </w:rPr>
        <w:t>t</w:t>
      </w:r>
      <w:r w:rsidR="000626FB" w:rsidRPr="0063622D">
        <w:rPr>
          <w:rFonts w:cs="Arial"/>
        </w:rPr>
        <w:t>he Credit Work Group</w:t>
      </w:r>
      <w:r w:rsidR="00E906C0" w:rsidRPr="0063622D">
        <w:rPr>
          <w:rFonts w:cs="Arial"/>
        </w:rPr>
        <w:t xml:space="preserve">.  That language will </w:t>
      </w:r>
      <w:r w:rsidR="000626FB" w:rsidRPr="0063622D">
        <w:rPr>
          <w:rFonts w:cs="Arial"/>
        </w:rPr>
        <w:t>reduce unsecured credit to $30 million (the lowest of any ISO in the country).</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902A5" w14:paraId="4474E8DB" w14:textId="77777777" w:rsidTr="00B5080A">
        <w:trPr>
          <w:trHeight w:val="350"/>
        </w:trPr>
        <w:tc>
          <w:tcPr>
            <w:tcW w:w="10440" w:type="dxa"/>
            <w:tcBorders>
              <w:bottom w:val="single" w:sz="4" w:space="0" w:color="auto"/>
            </w:tcBorders>
            <w:shd w:val="clear" w:color="auto" w:fill="FFFFFF"/>
            <w:vAlign w:val="center"/>
          </w:tcPr>
          <w:p w14:paraId="1484C48C" w14:textId="77777777" w:rsidR="00BD7258" w:rsidRDefault="000626FB" w:rsidP="00B5080A">
            <w:pPr>
              <w:pStyle w:val="Header"/>
              <w:jc w:val="center"/>
            </w:pPr>
            <w:r>
              <w:t>Revised Cover Page Language</w:t>
            </w:r>
          </w:p>
        </w:tc>
      </w:tr>
    </w:tbl>
    <w:p w14:paraId="311A18EC" w14:textId="0E584BA9" w:rsidR="00BD7258" w:rsidRPr="00C7260F" w:rsidRDefault="000626FB" w:rsidP="00C7260F">
      <w:pPr>
        <w:pStyle w:val="BodyText"/>
        <w:rPr>
          <w:rFonts w:ascii="Arial" w:hAnsi="Arial" w:cs="Arial"/>
        </w:rPr>
      </w:pPr>
      <w:r w:rsidRPr="00C7260F">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902A5" w14:paraId="5AFD637B" w14:textId="77777777">
        <w:trPr>
          <w:trHeight w:val="350"/>
        </w:trPr>
        <w:tc>
          <w:tcPr>
            <w:tcW w:w="10440" w:type="dxa"/>
            <w:tcBorders>
              <w:bottom w:val="single" w:sz="4" w:space="0" w:color="auto"/>
            </w:tcBorders>
            <w:shd w:val="clear" w:color="auto" w:fill="FFFFFF"/>
            <w:vAlign w:val="center"/>
          </w:tcPr>
          <w:p w14:paraId="513AE203" w14:textId="77777777" w:rsidR="00152993" w:rsidRDefault="000626FB">
            <w:pPr>
              <w:pStyle w:val="Header"/>
              <w:jc w:val="center"/>
            </w:pPr>
            <w:r>
              <w:t>Revised Proposed Protocol Language</w:t>
            </w:r>
          </w:p>
        </w:tc>
      </w:tr>
    </w:tbl>
    <w:p w14:paraId="45DE5015" w14:textId="40C37D57" w:rsidR="00152993" w:rsidRPr="00C7260F" w:rsidRDefault="00C7260F" w:rsidP="00C7260F">
      <w:pPr>
        <w:pStyle w:val="BodyText"/>
        <w:rPr>
          <w:rFonts w:ascii="Arial" w:hAnsi="Arial" w:cs="Arial"/>
        </w:rPr>
      </w:pPr>
      <w:r w:rsidRPr="00C7260F">
        <w:rPr>
          <w:rFonts w:ascii="Arial" w:hAnsi="Arial" w:cs="Arial"/>
        </w:rPr>
        <w:t>None</w:t>
      </w:r>
    </w:p>
    <w:sectPr w:rsidR="00152993" w:rsidRPr="00C7260F" w:rsidSect="00752A86">
      <w:headerReference w:type="default" r:id="rId17"/>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09734" w14:textId="77777777" w:rsidR="0068234D" w:rsidRDefault="0068234D">
      <w:r>
        <w:separator/>
      </w:r>
    </w:p>
  </w:endnote>
  <w:endnote w:type="continuationSeparator" w:id="0">
    <w:p w14:paraId="51D09606" w14:textId="77777777" w:rsidR="0068234D" w:rsidRDefault="00682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1346" w14:textId="3132A54F" w:rsidR="00EE6681" w:rsidRDefault="008C393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397245">
      <w:rPr>
        <w:rFonts w:ascii="Arial" w:hAnsi="Arial"/>
        <w:noProof/>
        <w:sz w:val="18"/>
      </w:rPr>
      <w:t>1112NPRR-18 Joint Commenters Comments 040422</w:t>
    </w:r>
    <w:r>
      <w:rPr>
        <w:rFonts w:ascii="Arial" w:hAnsi="Arial"/>
        <w:sz w:val="18"/>
      </w:rPr>
      <w:fldChar w:fldCharType="end"/>
    </w:r>
    <w:r w:rsidR="000626FB">
      <w:rPr>
        <w:rFonts w:ascii="Arial" w:hAnsi="Arial"/>
        <w:sz w:val="18"/>
      </w:rPr>
      <w:tab/>
      <w:t xml:space="preserve">Page </w:t>
    </w:r>
    <w:r w:rsidR="000626FB">
      <w:rPr>
        <w:rFonts w:ascii="Arial" w:hAnsi="Arial"/>
        <w:sz w:val="18"/>
      </w:rPr>
      <w:fldChar w:fldCharType="begin"/>
    </w:r>
    <w:r w:rsidR="000626FB">
      <w:rPr>
        <w:rFonts w:ascii="Arial" w:hAnsi="Arial"/>
        <w:sz w:val="18"/>
      </w:rPr>
      <w:instrText xml:space="preserve"> PAGE </w:instrText>
    </w:r>
    <w:r w:rsidR="000626FB">
      <w:rPr>
        <w:rFonts w:ascii="Arial" w:hAnsi="Arial"/>
        <w:sz w:val="18"/>
      </w:rPr>
      <w:fldChar w:fldCharType="separate"/>
    </w:r>
    <w:r w:rsidR="000626FB">
      <w:rPr>
        <w:rFonts w:ascii="Arial" w:hAnsi="Arial"/>
        <w:noProof/>
        <w:sz w:val="18"/>
      </w:rPr>
      <w:t>1</w:t>
    </w:r>
    <w:r w:rsidR="000626FB">
      <w:rPr>
        <w:rFonts w:ascii="Arial" w:hAnsi="Arial"/>
        <w:sz w:val="18"/>
      </w:rPr>
      <w:fldChar w:fldCharType="end"/>
    </w:r>
    <w:r w:rsidR="000626FB">
      <w:rPr>
        <w:rFonts w:ascii="Arial" w:hAnsi="Arial"/>
        <w:sz w:val="18"/>
      </w:rPr>
      <w:t xml:space="preserve"> of </w:t>
    </w:r>
    <w:r w:rsidR="000626FB">
      <w:rPr>
        <w:rFonts w:ascii="Arial" w:hAnsi="Arial"/>
        <w:sz w:val="18"/>
      </w:rPr>
      <w:fldChar w:fldCharType="begin"/>
    </w:r>
    <w:r w:rsidR="000626FB">
      <w:rPr>
        <w:rFonts w:ascii="Arial" w:hAnsi="Arial"/>
        <w:sz w:val="18"/>
      </w:rPr>
      <w:instrText xml:space="preserve"> NUMPAGES </w:instrText>
    </w:r>
    <w:r w:rsidR="000626FB">
      <w:rPr>
        <w:rFonts w:ascii="Arial" w:hAnsi="Arial"/>
        <w:sz w:val="18"/>
      </w:rPr>
      <w:fldChar w:fldCharType="separate"/>
    </w:r>
    <w:r w:rsidR="000626FB">
      <w:rPr>
        <w:rFonts w:ascii="Arial" w:hAnsi="Arial"/>
        <w:noProof/>
        <w:sz w:val="18"/>
      </w:rPr>
      <w:t>1</w:t>
    </w:r>
    <w:r w:rsidR="000626FB">
      <w:rPr>
        <w:rFonts w:ascii="Arial" w:hAnsi="Arial"/>
        <w:sz w:val="18"/>
      </w:rPr>
      <w:fldChar w:fldCharType="end"/>
    </w:r>
  </w:p>
  <w:p w14:paraId="0FD4511E" w14:textId="77777777" w:rsidR="00EE6681" w:rsidRDefault="000626FB"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004E8" w14:textId="77777777" w:rsidR="0068234D" w:rsidRDefault="0068234D">
      <w:r>
        <w:separator/>
      </w:r>
    </w:p>
  </w:footnote>
  <w:footnote w:type="continuationSeparator" w:id="0">
    <w:p w14:paraId="27F3D261" w14:textId="77777777" w:rsidR="0068234D" w:rsidRDefault="0068234D">
      <w:r>
        <w:continuationSeparator/>
      </w:r>
    </w:p>
  </w:footnote>
  <w:footnote w:id="1">
    <w:p w14:paraId="39735AE4" w14:textId="55C1170E" w:rsidR="00A54308" w:rsidRDefault="000626FB">
      <w:pPr>
        <w:pStyle w:val="FootnoteText"/>
      </w:pPr>
      <w:r>
        <w:rPr>
          <w:rStyle w:val="FootnoteReference"/>
        </w:rPr>
        <w:footnoteRef/>
      </w:r>
      <w:r>
        <w:t xml:space="preserve"> </w:t>
      </w:r>
      <w:r w:rsidR="00E96D64">
        <w:t>While</w:t>
      </w:r>
      <w:r>
        <w:t xml:space="preserve"> the list of </w:t>
      </w:r>
      <w:r w:rsidR="008A6246">
        <w:t>C</w:t>
      </w:r>
      <w:r>
        <w:t>ounter</w:t>
      </w:r>
      <w:r w:rsidR="008A6246">
        <w:t>-Pa</w:t>
      </w:r>
      <w:r>
        <w:t xml:space="preserve">rties and the amount of unsecured credit is confidential information, </w:t>
      </w:r>
      <w:r w:rsidR="00E96D64">
        <w:t>this list is</w:t>
      </w:r>
      <w:r>
        <w:t xml:space="preserve"> </w:t>
      </w:r>
      <w:r w:rsidR="00E96D64">
        <w:t xml:space="preserve">comprised of </w:t>
      </w:r>
      <w:r>
        <w:t xml:space="preserve">the </w:t>
      </w:r>
      <w:r w:rsidR="00E96D64">
        <w:t>J</w:t>
      </w:r>
      <w:r>
        <w:t xml:space="preserve">oint </w:t>
      </w:r>
      <w:r w:rsidR="00E96D64">
        <w:t>C</w:t>
      </w:r>
      <w:r>
        <w:t xml:space="preserve">ommentors </w:t>
      </w:r>
      <w:r w:rsidR="00E72EC5">
        <w:t>who are</w:t>
      </w:r>
      <w:r w:rsidR="00E96D64">
        <w:t xml:space="preserve"> known to </w:t>
      </w:r>
      <w:r>
        <w:t xml:space="preserve">have </w:t>
      </w:r>
      <w:r w:rsidR="00E96D64">
        <w:t xml:space="preserve">been extended </w:t>
      </w:r>
      <w:r>
        <w:t xml:space="preserve">unsecured credit </w:t>
      </w:r>
      <w:r w:rsidR="00E96D64">
        <w:t>by</w:t>
      </w:r>
      <w:r>
        <w:t xml:space="preserve"> ERCOT.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6B72A" w14:textId="7706A2B5" w:rsidR="00EE6681" w:rsidRPr="00C7260F" w:rsidRDefault="000626FB" w:rsidP="00C7260F">
    <w:pPr>
      <w:pStyle w:val="Header"/>
      <w:jc w:val="center"/>
      <w:rPr>
        <w:sz w:val="32"/>
      </w:rPr>
    </w:pPr>
    <w:r>
      <w:rPr>
        <w:sz w:val="32"/>
      </w:rPr>
      <w:t>NPRR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6FE73C02"/>
    <w:multiLevelType w:val="multilevel"/>
    <w:tmpl w:val="9418D1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76060C90"/>
    <w:multiLevelType w:val="hybridMultilevel"/>
    <w:tmpl w:val="246208DE"/>
    <w:lvl w:ilvl="0" w:tplc="71485A30">
      <w:start w:val="1"/>
      <w:numFmt w:val="bullet"/>
      <w:pStyle w:val="Bullet"/>
      <w:lvlText w:val=""/>
      <w:lvlJc w:val="left"/>
      <w:pPr>
        <w:tabs>
          <w:tab w:val="num" w:pos="1080"/>
        </w:tabs>
        <w:ind w:left="1080" w:hanging="360"/>
      </w:pPr>
      <w:rPr>
        <w:rFonts w:ascii="Symbol" w:hAnsi="Symbol" w:hint="default"/>
      </w:rPr>
    </w:lvl>
    <w:lvl w:ilvl="1" w:tplc="7D885F72" w:tentative="1">
      <w:start w:val="1"/>
      <w:numFmt w:val="bullet"/>
      <w:lvlText w:val="o"/>
      <w:lvlJc w:val="left"/>
      <w:pPr>
        <w:tabs>
          <w:tab w:val="num" w:pos="1800"/>
        </w:tabs>
        <w:ind w:left="1800" w:hanging="360"/>
      </w:pPr>
      <w:rPr>
        <w:rFonts w:ascii="Courier New" w:hAnsi="Courier New" w:hint="default"/>
      </w:rPr>
    </w:lvl>
    <w:lvl w:ilvl="2" w:tplc="0ED09426" w:tentative="1">
      <w:start w:val="1"/>
      <w:numFmt w:val="bullet"/>
      <w:lvlText w:val=""/>
      <w:lvlJc w:val="left"/>
      <w:pPr>
        <w:tabs>
          <w:tab w:val="num" w:pos="2520"/>
        </w:tabs>
        <w:ind w:left="2520" w:hanging="360"/>
      </w:pPr>
      <w:rPr>
        <w:rFonts w:ascii="Wingdings" w:hAnsi="Wingdings" w:hint="default"/>
      </w:rPr>
    </w:lvl>
    <w:lvl w:ilvl="3" w:tplc="048E35F0" w:tentative="1">
      <w:start w:val="1"/>
      <w:numFmt w:val="bullet"/>
      <w:lvlText w:val=""/>
      <w:lvlJc w:val="left"/>
      <w:pPr>
        <w:tabs>
          <w:tab w:val="num" w:pos="3240"/>
        </w:tabs>
        <w:ind w:left="3240" w:hanging="360"/>
      </w:pPr>
      <w:rPr>
        <w:rFonts w:ascii="Symbol" w:hAnsi="Symbol" w:hint="default"/>
      </w:rPr>
    </w:lvl>
    <w:lvl w:ilvl="4" w:tplc="C16AA4AC" w:tentative="1">
      <w:start w:val="1"/>
      <w:numFmt w:val="bullet"/>
      <w:lvlText w:val="o"/>
      <w:lvlJc w:val="left"/>
      <w:pPr>
        <w:tabs>
          <w:tab w:val="num" w:pos="3960"/>
        </w:tabs>
        <w:ind w:left="3960" w:hanging="360"/>
      </w:pPr>
      <w:rPr>
        <w:rFonts w:ascii="Courier New" w:hAnsi="Courier New" w:hint="default"/>
      </w:rPr>
    </w:lvl>
    <w:lvl w:ilvl="5" w:tplc="EFA4F112" w:tentative="1">
      <w:start w:val="1"/>
      <w:numFmt w:val="bullet"/>
      <w:lvlText w:val=""/>
      <w:lvlJc w:val="left"/>
      <w:pPr>
        <w:tabs>
          <w:tab w:val="num" w:pos="4680"/>
        </w:tabs>
        <w:ind w:left="4680" w:hanging="360"/>
      </w:pPr>
      <w:rPr>
        <w:rFonts w:ascii="Wingdings" w:hAnsi="Wingdings" w:hint="default"/>
      </w:rPr>
    </w:lvl>
    <w:lvl w:ilvl="6" w:tplc="C49A051E" w:tentative="1">
      <w:start w:val="1"/>
      <w:numFmt w:val="bullet"/>
      <w:lvlText w:val=""/>
      <w:lvlJc w:val="left"/>
      <w:pPr>
        <w:tabs>
          <w:tab w:val="num" w:pos="5400"/>
        </w:tabs>
        <w:ind w:left="5400" w:hanging="360"/>
      </w:pPr>
      <w:rPr>
        <w:rFonts w:ascii="Symbol" w:hAnsi="Symbol" w:hint="default"/>
      </w:rPr>
    </w:lvl>
    <w:lvl w:ilvl="7" w:tplc="CE1A7866" w:tentative="1">
      <w:start w:val="1"/>
      <w:numFmt w:val="bullet"/>
      <w:lvlText w:val="o"/>
      <w:lvlJc w:val="left"/>
      <w:pPr>
        <w:tabs>
          <w:tab w:val="num" w:pos="6120"/>
        </w:tabs>
        <w:ind w:left="6120" w:hanging="360"/>
      </w:pPr>
      <w:rPr>
        <w:rFonts w:ascii="Courier New" w:hAnsi="Courier New" w:hint="default"/>
      </w:rPr>
    </w:lvl>
    <w:lvl w:ilvl="8" w:tplc="3D042DF0"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66FE"/>
    <w:rsid w:val="0002125C"/>
    <w:rsid w:val="00037668"/>
    <w:rsid w:val="000626FB"/>
    <w:rsid w:val="000656E1"/>
    <w:rsid w:val="00075A94"/>
    <w:rsid w:val="000A3EEC"/>
    <w:rsid w:val="000A4492"/>
    <w:rsid w:val="000A46CD"/>
    <w:rsid w:val="000C01C3"/>
    <w:rsid w:val="000C6176"/>
    <w:rsid w:val="00132855"/>
    <w:rsid w:val="00143EED"/>
    <w:rsid w:val="00152993"/>
    <w:rsid w:val="00170297"/>
    <w:rsid w:val="001A227D"/>
    <w:rsid w:val="001E2032"/>
    <w:rsid w:val="001E25B2"/>
    <w:rsid w:val="00224249"/>
    <w:rsid w:val="002323E0"/>
    <w:rsid w:val="00246BDE"/>
    <w:rsid w:val="002647BD"/>
    <w:rsid w:val="002842B1"/>
    <w:rsid w:val="003010C0"/>
    <w:rsid w:val="00332A97"/>
    <w:rsid w:val="00333326"/>
    <w:rsid w:val="00335CA3"/>
    <w:rsid w:val="00342FFE"/>
    <w:rsid w:val="0034393B"/>
    <w:rsid w:val="00350C00"/>
    <w:rsid w:val="00365DBB"/>
    <w:rsid w:val="00366113"/>
    <w:rsid w:val="00397245"/>
    <w:rsid w:val="003C270C"/>
    <w:rsid w:val="003D0994"/>
    <w:rsid w:val="0041181D"/>
    <w:rsid w:val="00423824"/>
    <w:rsid w:val="0043567D"/>
    <w:rsid w:val="004545C2"/>
    <w:rsid w:val="00491798"/>
    <w:rsid w:val="004B101E"/>
    <w:rsid w:val="004B1715"/>
    <w:rsid w:val="004B7B90"/>
    <w:rsid w:val="004E2C19"/>
    <w:rsid w:val="004F47B9"/>
    <w:rsid w:val="00521A54"/>
    <w:rsid w:val="00543FBC"/>
    <w:rsid w:val="00547854"/>
    <w:rsid w:val="0057666A"/>
    <w:rsid w:val="00593694"/>
    <w:rsid w:val="005D1FEB"/>
    <w:rsid w:val="005D284C"/>
    <w:rsid w:val="005D5E22"/>
    <w:rsid w:val="00604512"/>
    <w:rsid w:val="0062287B"/>
    <w:rsid w:val="00633E23"/>
    <w:rsid w:val="0063622D"/>
    <w:rsid w:val="00643F14"/>
    <w:rsid w:val="00673B94"/>
    <w:rsid w:val="00680AC6"/>
    <w:rsid w:val="0068234D"/>
    <w:rsid w:val="006835D8"/>
    <w:rsid w:val="006A77B9"/>
    <w:rsid w:val="006C316E"/>
    <w:rsid w:val="006D0F7C"/>
    <w:rsid w:val="007269C4"/>
    <w:rsid w:val="0074209E"/>
    <w:rsid w:val="007459C3"/>
    <w:rsid w:val="00752A86"/>
    <w:rsid w:val="007902A5"/>
    <w:rsid w:val="007A0301"/>
    <w:rsid w:val="007B56F0"/>
    <w:rsid w:val="007C3646"/>
    <w:rsid w:val="007C6895"/>
    <w:rsid w:val="007F2CA8"/>
    <w:rsid w:val="007F7161"/>
    <w:rsid w:val="00806972"/>
    <w:rsid w:val="008114D3"/>
    <w:rsid w:val="0085559E"/>
    <w:rsid w:val="00870DA9"/>
    <w:rsid w:val="00896B1B"/>
    <w:rsid w:val="008A6246"/>
    <w:rsid w:val="008C0EA1"/>
    <w:rsid w:val="008C3932"/>
    <w:rsid w:val="008D79FB"/>
    <w:rsid w:val="008E559E"/>
    <w:rsid w:val="008F0261"/>
    <w:rsid w:val="00913C89"/>
    <w:rsid w:val="00916080"/>
    <w:rsid w:val="00921A68"/>
    <w:rsid w:val="009221B3"/>
    <w:rsid w:val="00934AFE"/>
    <w:rsid w:val="009460AC"/>
    <w:rsid w:val="009849CF"/>
    <w:rsid w:val="00A015C4"/>
    <w:rsid w:val="00A15172"/>
    <w:rsid w:val="00A54308"/>
    <w:rsid w:val="00A65B45"/>
    <w:rsid w:val="00A9691B"/>
    <w:rsid w:val="00AA610F"/>
    <w:rsid w:val="00AC0C07"/>
    <w:rsid w:val="00B36DBB"/>
    <w:rsid w:val="00B460EC"/>
    <w:rsid w:val="00B5080A"/>
    <w:rsid w:val="00B51C38"/>
    <w:rsid w:val="00B71F61"/>
    <w:rsid w:val="00B943AE"/>
    <w:rsid w:val="00BC0CDD"/>
    <w:rsid w:val="00BD7258"/>
    <w:rsid w:val="00C0598D"/>
    <w:rsid w:val="00C10925"/>
    <w:rsid w:val="00C11956"/>
    <w:rsid w:val="00C602E5"/>
    <w:rsid w:val="00C7260F"/>
    <w:rsid w:val="00C73B87"/>
    <w:rsid w:val="00C748FD"/>
    <w:rsid w:val="00C77903"/>
    <w:rsid w:val="00C922A6"/>
    <w:rsid w:val="00CC1761"/>
    <w:rsid w:val="00D00FE8"/>
    <w:rsid w:val="00D4046E"/>
    <w:rsid w:val="00D4362F"/>
    <w:rsid w:val="00D47E21"/>
    <w:rsid w:val="00D803D1"/>
    <w:rsid w:val="00DC3117"/>
    <w:rsid w:val="00DD4739"/>
    <w:rsid w:val="00DE5F33"/>
    <w:rsid w:val="00DF3E56"/>
    <w:rsid w:val="00E07B54"/>
    <w:rsid w:val="00E11F78"/>
    <w:rsid w:val="00E575F5"/>
    <w:rsid w:val="00E621E1"/>
    <w:rsid w:val="00E72EC5"/>
    <w:rsid w:val="00E83F1B"/>
    <w:rsid w:val="00E906C0"/>
    <w:rsid w:val="00E96D64"/>
    <w:rsid w:val="00EC0509"/>
    <w:rsid w:val="00EC3D28"/>
    <w:rsid w:val="00EC55B3"/>
    <w:rsid w:val="00EE6681"/>
    <w:rsid w:val="00F05368"/>
    <w:rsid w:val="00F24AD1"/>
    <w:rsid w:val="00F96FB2"/>
    <w:rsid w:val="00FB51D8"/>
    <w:rsid w:val="00FD08E8"/>
    <w:rsid w:val="00FD4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141549"/>
  <w15:chartTrackingRefBased/>
  <w15:docId w15:val="{80A21202-915E-43B8-B14D-586A70A80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Body Text Char Char,Char Char Char Char Char Char,Char Char Char Char Char Char Char,Char Char Char Char Char Char Charh2,Char Char Char Char Char Char1,Char Char Char Char Char1,Char Char Char Char Char2"/>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customStyle="1" w:styleId="UnresolvedMention1">
    <w:name w:val="Unresolved Mention1"/>
    <w:uiPriority w:val="99"/>
    <w:semiHidden/>
    <w:unhideWhenUsed/>
    <w:rsid w:val="009460AC"/>
    <w:rPr>
      <w:color w:val="605E5C"/>
      <w:shd w:val="clear" w:color="auto" w:fill="E1DFDD"/>
    </w:rPr>
  </w:style>
  <w:style w:type="character" w:customStyle="1" w:styleId="NormalArialChar">
    <w:name w:val="Normal+Arial Char"/>
    <w:link w:val="NormalArial"/>
    <w:locked/>
    <w:rsid w:val="007459C3"/>
    <w:rPr>
      <w:rFonts w:ascii="Arial" w:hAnsi="Arial"/>
      <w:sz w:val="24"/>
      <w:szCs w:val="24"/>
    </w:rPr>
  </w:style>
  <w:style w:type="paragraph" w:styleId="FootnoteText">
    <w:name w:val="footnote text"/>
    <w:basedOn w:val="Normal"/>
    <w:link w:val="FootnoteTextChar"/>
    <w:rsid w:val="00A54308"/>
    <w:rPr>
      <w:sz w:val="20"/>
      <w:szCs w:val="20"/>
    </w:rPr>
  </w:style>
  <w:style w:type="character" w:customStyle="1" w:styleId="FootnoteTextChar">
    <w:name w:val="Footnote Text Char"/>
    <w:basedOn w:val="DefaultParagraphFont"/>
    <w:link w:val="FootnoteText"/>
    <w:rsid w:val="00A54308"/>
  </w:style>
  <w:style w:type="character" w:styleId="FootnoteReference">
    <w:name w:val="footnote reference"/>
    <w:rsid w:val="00A54308"/>
    <w:rPr>
      <w:vertAlign w:val="superscript"/>
    </w:rPr>
  </w:style>
  <w:style w:type="paragraph" w:styleId="ListParagraph">
    <w:name w:val="List Paragraph"/>
    <w:basedOn w:val="Normal"/>
    <w:uiPriority w:val="34"/>
    <w:qFormat/>
    <w:rsid w:val="001E25B2"/>
    <w:pPr>
      <w:ind w:left="720"/>
    </w:pPr>
    <w:rPr>
      <w:rFonts w:ascii="Calibri" w:eastAsia="Calibri" w:hAnsi="Calibri" w:cs="Calibri"/>
      <w:sz w:val="22"/>
      <w:szCs w:val="22"/>
    </w:rPr>
  </w:style>
  <w:style w:type="character" w:customStyle="1" w:styleId="spelle">
    <w:name w:val="spelle"/>
    <w:basedOn w:val="DefaultParagraphFont"/>
    <w:rsid w:val="001E25B2"/>
  </w:style>
  <w:style w:type="character" w:styleId="UnresolvedMention">
    <w:name w:val="Unresolved Mention"/>
    <w:basedOn w:val="DefaultParagraphFont"/>
    <w:rsid w:val="00CC17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112" TargetMode="External"/><Relationship Id="rId13" Type="http://schemas.openxmlformats.org/officeDocument/2006/relationships/hyperlink" Target="mailto:KRich@gsec.coop"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Bailey@gpltexas.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hooks@geus.org" TargetMode="External"/><Relationship Id="rId5" Type="http://schemas.openxmlformats.org/officeDocument/2006/relationships/webSettings" Target="webSettings.xml"/><Relationship Id="rId15" Type="http://schemas.openxmlformats.org/officeDocument/2006/relationships/hyperlink" Target="mailto:bob@longhornpwr.com" TargetMode="External"/><Relationship Id="rId10" Type="http://schemas.openxmlformats.org/officeDocument/2006/relationships/hyperlink" Target="mailto:Alicia.Loving@austinenergy.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errance.Naulty@cityofdenton.com" TargetMode="External"/><Relationship Id="rId14" Type="http://schemas.openxmlformats.org/officeDocument/2006/relationships/hyperlink" Target="mailto:clif@ste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32771-96A2-49A5-9517-9772D3D79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1902</Words>
  <Characters>10904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Wittmeyer</dc:creator>
  <cp:lastModifiedBy>ERCOT 04XX22</cp:lastModifiedBy>
  <cp:revision>3</cp:revision>
  <dcterms:created xsi:type="dcterms:W3CDTF">2022-04-04T23:21:00Z</dcterms:created>
  <dcterms:modified xsi:type="dcterms:W3CDTF">2022-04-05T00:01:00Z</dcterms:modified>
</cp:coreProperties>
</file>