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C6E5EE2" w:rsidR="00C97625" w:rsidRPr="00595DDC" w:rsidRDefault="00114CA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80A7F" w:rsidRPr="00080A7F">
                <w:rPr>
                  <w:rStyle w:val="Hyperlink"/>
                </w:rPr>
                <w:t>1092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4928F97" w:rsidR="00C97625" w:rsidRPr="009F3D0E" w:rsidRDefault="00080A7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80A7F">
              <w:rPr>
                <w:szCs w:val="23"/>
              </w:rPr>
              <w:t>Reduce RUC Offer Floor and Remove RUC Opt-Out Provision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D85ED04" w:rsidR="00FC0BDC" w:rsidRPr="009F3D0E" w:rsidRDefault="001A06D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22,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93346D1" w14:textId="77777777" w:rsidR="00080A7F" w:rsidRPr="00080A7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080A7F">
              <w:rPr>
                <w:rFonts w:ascii="Arial" w:hAnsi="Arial" w:cs="Arial"/>
                <w:u w:val="single"/>
              </w:rPr>
              <w:t xml:space="preserve">Phase 1: </w:t>
            </w:r>
          </w:p>
          <w:p w14:paraId="7F309950" w14:textId="77777777" w:rsidR="00080A7F" w:rsidRPr="00080A7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080A7F">
              <w:rPr>
                <w:rFonts w:ascii="Arial" w:hAnsi="Arial" w:cs="Arial"/>
              </w:rPr>
              <w:t>Less than $5k O&amp;M</w:t>
            </w:r>
          </w:p>
          <w:p w14:paraId="6F5C7E57" w14:textId="77777777" w:rsidR="00080A7F" w:rsidRDefault="00080A7F" w:rsidP="00080A7F">
            <w:pPr>
              <w:spacing w:before="100" w:beforeAutospacing="1" w:after="100" w:afterAutospacing="1"/>
              <w:rPr>
                <w:rFonts w:ascii="Arial" w:hAnsi="Arial" w:cs="Arial"/>
                <w:u w:val="single"/>
              </w:rPr>
            </w:pPr>
          </w:p>
          <w:p w14:paraId="0F8AF8CC" w14:textId="07E4CB6B" w:rsidR="00080A7F" w:rsidRPr="00080A7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080A7F">
              <w:rPr>
                <w:rFonts w:ascii="Arial" w:hAnsi="Arial" w:cs="Arial"/>
                <w:u w:val="single"/>
              </w:rPr>
              <w:t xml:space="preserve">Phase 2: </w:t>
            </w:r>
          </w:p>
          <w:p w14:paraId="61775784" w14:textId="77777777" w:rsidR="00080A7F" w:rsidRPr="00080A7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080A7F">
              <w:rPr>
                <w:rFonts w:ascii="Arial" w:hAnsi="Arial" w:cs="Arial"/>
              </w:rPr>
              <w:t>Between $50k and $100k</w:t>
            </w:r>
          </w:p>
          <w:p w14:paraId="3A653FA4" w14:textId="77777777" w:rsidR="00080A7F" w:rsidRPr="00080A7F" w:rsidRDefault="00080A7F" w:rsidP="00080A7F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  <w:p w14:paraId="59474481" w14:textId="77777777" w:rsidR="00080A7F" w:rsidRPr="00080A7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080A7F">
              <w:rPr>
                <w:rFonts w:ascii="Arial" w:hAnsi="Arial" w:cs="Arial"/>
                <w:u w:val="single"/>
              </w:rPr>
              <w:t xml:space="preserve">Phase 3: </w:t>
            </w:r>
          </w:p>
          <w:p w14:paraId="5BCBE51D" w14:textId="77777777" w:rsidR="00124420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080A7F">
              <w:rPr>
                <w:rFonts w:ascii="Arial" w:hAnsi="Arial" w:cs="Arial"/>
              </w:rPr>
              <w:t>Between $80k and $120k</w:t>
            </w:r>
          </w:p>
          <w:p w14:paraId="649B203D" w14:textId="489373BD" w:rsidR="00080A7F" w:rsidRPr="002D68CF" w:rsidRDefault="00080A7F" w:rsidP="00080A7F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61DA" w14:textId="77777777" w:rsidR="00080A7F" w:rsidRPr="00080A7F" w:rsidRDefault="00080A7F" w:rsidP="00080A7F">
            <w:pPr>
              <w:pStyle w:val="NormalArial"/>
              <w:rPr>
                <w:rFonts w:cs="Arial"/>
                <w:u w:val="single"/>
              </w:rPr>
            </w:pPr>
            <w:r w:rsidRPr="00080A7F">
              <w:rPr>
                <w:rFonts w:cs="Arial"/>
                <w:u w:val="single"/>
              </w:rPr>
              <w:t xml:space="preserve">Phase 1: </w:t>
            </w:r>
          </w:p>
          <w:p w14:paraId="3666959A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 xml:space="preserve">Changing the Reliability Unit Commitment (RUC) offer floor from its current value to a new value with units of dollars per MWh, through a parameter update.  </w:t>
            </w:r>
          </w:p>
          <w:p w14:paraId="188611A2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</w:p>
          <w:p w14:paraId="6A5F41C6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 xml:space="preserve">No project required.  Phase 1 of the NPRR can be implemented following Public Utility Commission of Texas (PUCT) approval.  </w:t>
            </w:r>
          </w:p>
          <w:p w14:paraId="636B4589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</w:p>
          <w:p w14:paraId="2557753C" w14:textId="77777777" w:rsidR="00080A7F" w:rsidRPr="00080A7F" w:rsidRDefault="00080A7F" w:rsidP="00080A7F">
            <w:pPr>
              <w:pStyle w:val="NormalArial"/>
              <w:rPr>
                <w:rFonts w:cs="Arial"/>
                <w:u w:val="single"/>
              </w:rPr>
            </w:pPr>
            <w:r w:rsidRPr="00080A7F">
              <w:rPr>
                <w:rFonts w:cs="Arial"/>
                <w:u w:val="single"/>
              </w:rPr>
              <w:t xml:space="preserve">Phase 2: </w:t>
            </w:r>
          </w:p>
          <w:p w14:paraId="273937D2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>4 to 6 months</w:t>
            </w:r>
          </w:p>
          <w:p w14:paraId="591F2F88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>Removal of the RUC opt-out provision from upstream systems to effectively prevent the opt-out logic from triggering</w:t>
            </w:r>
          </w:p>
          <w:p w14:paraId="1C6F4FBF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</w:p>
          <w:p w14:paraId="755315F8" w14:textId="4862E762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 xml:space="preserve">Phase 2 of the NPRR is dependent upon PUCT prioritization and approval.   </w:t>
            </w:r>
          </w:p>
          <w:p w14:paraId="0F7EC528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</w:p>
          <w:p w14:paraId="0D5E3EF7" w14:textId="77777777" w:rsidR="00080A7F" w:rsidRPr="00080A7F" w:rsidRDefault="00080A7F" w:rsidP="00080A7F">
            <w:pPr>
              <w:pStyle w:val="NormalArial"/>
              <w:rPr>
                <w:rFonts w:cs="Arial"/>
                <w:u w:val="single"/>
              </w:rPr>
            </w:pPr>
            <w:r w:rsidRPr="00080A7F">
              <w:rPr>
                <w:rFonts w:cs="Arial"/>
                <w:u w:val="single"/>
              </w:rPr>
              <w:t xml:space="preserve">Phase 3: </w:t>
            </w:r>
          </w:p>
          <w:p w14:paraId="73A23C61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>5 to 8 months</w:t>
            </w:r>
          </w:p>
          <w:p w14:paraId="31F34D59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>Removal of remaining RUC opt-out functionality that is no longer required from downstream systems.</w:t>
            </w:r>
          </w:p>
          <w:p w14:paraId="5DEB2FC3" w14:textId="77777777" w:rsidR="00080A7F" w:rsidRPr="00080A7F" w:rsidRDefault="00080A7F" w:rsidP="00080A7F">
            <w:pPr>
              <w:pStyle w:val="NormalArial"/>
              <w:rPr>
                <w:rFonts w:cs="Arial"/>
              </w:rPr>
            </w:pPr>
          </w:p>
          <w:p w14:paraId="41FB88DC" w14:textId="0EF9946B" w:rsidR="0026620F" w:rsidRDefault="00080A7F" w:rsidP="00080A7F">
            <w:pPr>
              <w:pStyle w:val="NormalArial"/>
              <w:rPr>
                <w:rFonts w:cs="Arial"/>
              </w:rPr>
            </w:pPr>
            <w:r w:rsidRPr="00080A7F">
              <w:rPr>
                <w:rFonts w:cs="Arial"/>
              </w:rPr>
              <w:t xml:space="preserve">Phase 3 of the NPRR is dependent upon PUCT prioritization and approval.  </w:t>
            </w:r>
          </w:p>
          <w:p w14:paraId="7E6700E7" w14:textId="2A0CA3FA" w:rsidR="00080A7F" w:rsidRPr="00511748" w:rsidRDefault="00080A7F" w:rsidP="00080A7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FF773D1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80A7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2BD272B9" w14:textId="77777777" w:rsidR="004B1BFC" w:rsidRDefault="004B1BFC" w:rsidP="00080A7F">
            <w:pPr>
              <w:pStyle w:val="NormalArial"/>
              <w:ind w:left="720"/>
            </w:pPr>
            <w:r w:rsidRPr="00F02EB9">
              <w:t xml:space="preserve">                                                           </w:t>
            </w:r>
          </w:p>
          <w:p w14:paraId="3709E09F" w14:textId="401A9550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Credit, Settlements &amp; Billing Systems</w:t>
            </w:r>
            <w:r>
              <w:t xml:space="preserve">     </w:t>
            </w:r>
            <w:r w:rsidR="00EC5322">
              <w:t xml:space="preserve"> </w:t>
            </w:r>
            <w:r>
              <w:t xml:space="preserve">43%  </w:t>
            </w:r>
          </w:p>
          <w:p w14:paraId="25EBB12F" w14:textId="56DEF8BA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Data Management &amp; Analytic Systems</w:t>
            </w:r>
            <w:r>
              <w:t xml:space="preserve">   </w:t>
            </w:r>
            <w:r w:rsidR="00EC5322">
              <w:t xml:space="preserve"> </w:t>
            </w:r>
            <w:r>
              <w:t>19%</w:t>
            </w:r>
          </w:p>
          <w:p w14:paraId="7A5C73D2" w14:textId="42F8C92B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lastRenderedPageBreak/>
              <w:t>Energy Management Systems</w:t>
            </w:r>
            <w:r>
              <w:t xml:space="preserve">                </w:t>
            </w:r>
            <w:r w:rsidR="00EC5322">
              <w:t xml:space="preserve"> </w:t>
            </w:r>
            <w:r>
              <w:t>17%</w:t>
            </w:r>
          </w:p>
          <w:p w14:paraId="2A002DC3" w14:textId="5D4A490A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Market Operation Systems</w:t>
            </w:r>
            <w:r>
              <w:t xml:space="preserve">                      </w:t>
            </w:r>
            <w:r w:rsidR="00EC5322">
              <w:t xml:space="preserve"> </w:t>
            </w:r>
            <w:r>
              <w:t>12%</w:t>
            </w:r>
          </w:p>
          <w:p w14:paraId="33FF17DE" w14:textId="05E0FD59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Content Delivery Systems</w:t>
            </w:r>
            <w:r>
              <w:t xml:space="preserve">                         </w:t>
            </w:r>
            <w:r w:rsidR="00EC5322">
              <w:t xml:space="preserve"> </w:t>
            </w:r>
            <w:r>
              <w:t>4%</w:t>
            </w:r>
          </w:p>
          <w:p w14:paraId="494B114B" w14:textId="482FA7DF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Channel Management Systems</w:t>
            </w:r>
            <w:r>
              <w:t xml:space="preserve">               </w:t>
            </w:r>
            <w:r w:rsidR="00EC5322">
              <w:t xml:space="preserve">  </w:t>
            </w:r>
            <w:r w:rsidR="005002B7">
              <w:t>3</w:t>
            </w:r>
            <w:r>
              <w:t>%</w:t>
            </w:r>
          </w:p>
          <w:p w14:paraId="07F4A9FA" w14:textId="79EC2F80" w:rsidR="00080A7F" w:rsidRDefault="00080A7F" w:rsidP="00080A7F">
            <w:pPr>
              <w:pStyle w:val="NormalArial"/>
              <w:numPr>
                <w:ilvl w:val="0"/>
                <w:numId w:val="7"/>
              </w:numPr>
            </w:pPr>
            <w:r w:rsidRPr="00080A7F">
              <w:t>ERCOT Website and MIS Systems</w:t>
            </w:r>
            <w:r>
              <w:t xml:space="preserve">           </w:t>
            </w:r>
            <w:r w:rsidR="00EC5322">
              <w:t xml:space="preserve"> </w:t>
            </w:r>
            <w:r>
              <w:t>2%</w:t>
            </w:r>
          </w:p>
          <w:p w14:paraId="3F868CC6" w14:textId="32EB4CF9" w:rsidR="00080A7F" w:rsidRPr="00080A7F" w:rsidRDefault="00080A7F" w:rsidP="00080A7F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02525553" w:rsidR="004E7041" w:rsidRPr="00D54DC7" w:rsidRDefault="00EC5322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EC5322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35A84F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14CAF">
      <w:rPr>
        <w:rFonts w:ascii="Arial" w:hAnsi="Arial"/>
        <w:noProof/>
        <w:sz w:val="18"/>
      </w:rPr>
      <w:t>1092NPRR-21 Revised Impact Analysis 022222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B8BFFBA" w:rsidR="006B0C5E" w:rsidRDefault="00EC532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66645"/>
    <w:multiLevelType w:val="hybridMultilevel"/>
    <w:tmpl w:val="70607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0A7F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4CAF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6D9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02B7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5322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80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1967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2022-02-22T15:47:00Z</dcterms:created>
  <dcterms:modified xsi:type="dcterms:W3CDTF">2022-02-22T15:48:00Z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