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519C73F4" w14:textId="77777777">
        <w:tc>
          <w:tcPr>
            <w:tcW w:w="1620" w:type="dxa"/>
            <w:tcBorders>
              <w:bottom w:val="single" w:sz="4" w:space="0" w:color="auto"/>
            </w:tcBorders>
            <w:shd w:val="clear" w:color="auto" w:fill="FFFFFF"/>
            <w:vAlign w:val="center"/>
          </w:tcPr>
          <w:p w14:paraId="61469066"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6B1E8553" w14:textId="77777777" w:rsidR="00152993" w:rsidRDefault="00C216EA">
            <w:pPr>
              <w:pStyle w:val="Header"/>
            </w:pPr>
            <w:hyperlink r:id="rId8" w:history="1">
              <w:r w:rsidR="00AF4169" w:rsidRPr="00BC25BB">
                <w:rPr>
                  <w:rStyle w:val="Hyperlink"/>
                </w:rPr>
                <w:t>1096</w:t>
              </w:r>
            </w:hyperlink>
          </w:p>
        </w:tc>
        <w:tc>
          <w:tcPr>
            <w:tcW w:w="900" w:type="dxa"/>
            <w:tcBorders>
              <w:bottom w:val="single" w:sz="4" w:space="0" w:color="auto"/>
            </w:tcBorders>
            <w:shd w:val="clear" w:color="auto" w:fill="FFFFFF"/>
            <w:vAlign w:val="center"/>
          </w:tcPr>
          <w:p w14:paraId="0CEDAD0D" w14:textId="77777777" w:rsidR="00152993" w:rsidRDefault="00EE6681">
            <w:pPr>
              <w:pStyle w:val="Header"/>
            </w:pPr>
            <w:r>
              <w:t>N</w:t>
            </w:r>
            <w:r w:rsidR="00152993">
              <w:t>PRR Title</w:t>
            </w:r>
          </w:p>
        </w:tc>
        <w:tc>
          <w:tcPr>
            <w:tcW w:w="6660" w:type="dxa"/>
            <w:tcBorders>
              <w:bottom w:val="single" w:sz="4" w:space="0" w:color="auto"/>
            </w:tcBorders>
            <w:vAlign w:val="center"/>
          </w:tcPr>
          <w:p w14:paraId="151494C8" w14:textId="77777777" w:rsidR="00152993" w:rsidRDefault="00AF4169">
            <w:pPr>
              <w:pStyle w:val="Header"/>
            </w:pPr>
            <w:r>
              <w:t>Require Sustained Six Hour Capability for ECRS and Non-Spin</w:t>
            </w:r>
          </w:p>
        </w:tc>
      </w:tr>
      <w:tr w:rsidR="00152993" w14:paraId="520FF69B" w14:textId="77777777">
        <w:trPr>
          <w:trHeight w:val="413"/>
        </w:trPr>
        <w:tc>
          <w:tcPr>
            <w:tcW w:w="2880" w:type="dxa"/>
            <w:gridSpan w:val="2"/>
            <w:tcBorders>
              <w:top w:val="nil"/>
              <w:left w:val="nil"/>
              <w:bottom w:val="single" w:sz="4" w:space="0" w:color="auto"/>
              <w:right w:val="nil"/>
            </w:tcBorders>
            <w:vAlign w:val="center"/>
          </w:tcPr>
          <w:p w14:paraId="7A19336D"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33D6C9FE" w14:textId="77777777" w:rsidR="00152993" w:rsidRDefault="00152993">
            <w:pPr>
              <w:pStyle w:val="NormalArial"/>
            </w:pPr>
          </w:p>
        </w:tc>
      </w:tr>
      <w:tr w:rsidR="00152993" w14:paraId="1E01E372"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9747046"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30410B6" w14:textId="13C4423C" w:rsidR="00152993" w:rsidRDefault="00296B57">
            <w:pPr>
              <w:pStyle w:val="NormalArial"/>
            </w:pPr>
            <w:r>
              <w:t xml:space="preserve">March </w:t>
            </w:r>
            <w:r w:rsidR="003B5BDC">
              <w:t>28</w:t>
            </w:r>
            <w:r>
              <w:t>, 2022</w:t>
            </w:r>
          </w:p>
        </w:tc>
      </w:tr>
      <w:tr w:rsidR="00152993" w14:paraId="0BD50187" w14:textId="77777777">
        <w:trPr>
          <w:trHeight w:val="467"/>
        </w:trPr>
        <w:tc>
          <w:tcPr>
            <w:tcW w:w="2880" w:type="dxa"/>
            <w:gridSpan w:val="2"/>
            <w:tcBorders>
              <w:top w:val="single" w:sz="4" w:space="0" w:color="auto"/>
              <w:left w:val="nil"/>
              <w:bottom w:val="nil"/>
              <w:right w:val="nil"/>
            </w:tcBorders>
            <w:shd w:val="clear" w:color="auto" w:fill="FFFFFF"/>
            <w:vAlign w:val="center"/>
          </w:tcPr>
          <w:p w14:paraId="497F5146" w14:textId="77777777" w:rsidR="00152993" w:rsidRDefault="00152993">
            <w:pPr>
              <w:pStyle w:val="NormalArial"/>
            </w:pPr>
          </w:p>
        </w:tc>
        <w:tc>
          <w:tcPr>
            <w:tcW w:w="7560" w:type="dxa"/>
            <w:gridSpan w:val="2"/>
            <w:tcBorders>
              <w:top w:val="nil"/>
              <w:left w:val="nil"/>
              <w:bottom w:val="nil"/>
              <w:right w:val="nil"/>
            </w:tcBorders>
            <w:vAlign w:val="center"/>
          </w:tcPr>
          <w:p w14:paraId="345DC17F" w14:textId="77777777" w:rsidR="00152993" w:rsidRDefault="00152993">
            <w:pPr>
              <w:pStyle w:val="NormalArial"/>
            </w:pPr>
          </w:p>
        </w:tc>
      </w:tr>
      <w:tr w:rsidR="00152993" w14:paraId="242F6173" w14:textId="77777777">
        <w:trPr>
          <w:trHeight w:val="440"/>
        </w:trPr>
        <w:tc>
          <w:tcPr>
            <w:tcW w:w="10440" w:type="dxa"/>
            <w:gridSpan w:val="4"/>
            <w:tcBorders>
              <w:top w:val="single" w:sz="4" w:space="0" w:color="auto"/>
            </w:tcBorders>
            <w:shd w:val="clear" w:color="auto" w:fill="FFFFFF"/>
            <w:vAlign w:val="center"/>
          </w:tcPr>
          <w:p w14:paraId="05A84A19" w14:textId="77777777" w:rsidR="00152993" w:rsidRDefault="00152993">
            <w:pPr>
              <w:pStyle w:val="Header"/>
              <w:jc w:val="center"/>
            </w:pPr>
            <w:r>
              <w:t>Submitter’s Information</w:t>
            </w:r>
          </w:p>
        </w:tc>
      </w:tr>
      <w:tr w:rsidR="00301133" w14:paraId="224C7D45" w14:textId="77777777">
        <w:trPr>
          <w:trHeight w:val="350"/>
        </w:trPr>
        <w:tc>
          <w:tcPr>
            <w:tcW w:w="2880" w:type="dxa"/>
            <w:gridSpan w:val="2"/>
            <w:shd w:val="clear" w:color="auto" w:fill="FFFFFF"/>
            <w:vAlign w:val="center"/>
          </w:tcPr>
          <w:p w14:paraId="48BA2D60" w14:textId="77777777" w:rsidR="00301133" w:rsidRPr="00EC55B3" w:rsidRDefault="00301133" w:rsidP="00301133">
            <w:pPr>
              <w:pStyle w:val="Header"/>
            </w:pPr>
            <w:r w:rsidRPr="00EC55B3">
              <w:t>Name</w:t>
            </w:r>
          </w:p>
        </w:tc>
        <w:tc>
          <w:tcPr>
            <w:tcW w:w="7560" w:type="dxa"/>
            <w:gridSpan w:val="2"/>
            <w:vAlign w:val="center"/>
          </w:tcPr>
          <w:p w14:paraId="296BA959" w14:textId="5CB5E3F4" w:rsidR="00301133" w:rsidRDefault="005A31B2" w:rsidP="00301133">
            <w:pPr>
              <w:pStyle w:val="NormalArial"/>
            </w:pPr>
            <w:r>
              <w:t xml:space="preserve">Caitlin Smith </w:t>
            </w:r>
          </w:p>
        </w:tc>
      </w:tr>
      <w:tr w:rsidR="00301133" w14:paraId="3D6294ED" w14:textId="77777777">
        <w:trPr>
          <w:trHeight w:val="350"/>
        </w:trPr>
        <w:tc>
          <w:tcPr>
            <w:tcW w:w="2880" w:type="dxa"/>
            <w:gridSpan w:val="2"/>
            <w:shd w:val="clear" w:color="auto" w:fill="FFFFFF"/>
            <w:vAlign w:val="center"/>
          </w:tcPr>
          <w:p w14:paraId="6B6E93E9" w14:textId="77777777" w:rsidR="00301133" w:rsidRPr="00EC55B3" w:rsidRDefault="00301133" w:rsidP="00301133">
            <w:pPr>
              <w:pStyle w:val="Header"/>
            </w:pPr>
            <w:r w:rsidRPr="00EC55B3">
              <w:t>E-mail Address</w:t>
            </w:r>
          </w:p>
        </w:tc>
        <w:tc>
          <w:tcPr>
            <w:tcW w:w="7560" w:type="dxa"/>
            <w:gridSpan w:val="2"/>
            <w:vAlign w:val="center"/>
          </w:tcPr>
          <w:p w14:paraId="0C2D354D" w14:textId="314DC60E" w:rsidR="00301133" w:rsidRDefault="003E3AF4" w:rsidP="00301133">
            <w:pPr>
              <w:pStyle w:val="NormalArial"/>
            </w:pPr>
            <w:hyperlink r:id="rId9" w:history="1">
              <w:r w:rsidRPr="0001353B">
                <w:rPr>
                  <w:rStyle w:val="Hyperlink"/>
                </w:rPr>
                <w:t>Caitlin.Smith@jupiterpower.io</w:t>
              </w:r>
            </w:hyperlink>
          </w:p>
        </w:tc>
      </w:tr>
      <w:tr w:rsidR="00301133" w14:paraId="761A88AC" w14:textId="77777777">
        <w:trPr>
          <w:trHeight w:val="350"/>
        </w:trPr>
        <w:tc>
          <w:tcPr>
            <w:tcW w:w="2880" w:type="dxa"/>
            <w:gridSpan w:val="2"/>
            <w:shd w:val="clear" w:color="auto" w:fill="FFFFFF"/>
            <w:vAlign w:val="center"/>
          </w:tcPr>
          <w:p w14:paraId="09F82CA8" w14:textId="77777777" w:rsidR="00301133" w:rsidRPr="00EC55B3" w:rsidRDefault="00301133" w:rsidP="00301133">
            <w:pPr>
              <w:pStyle w:val="Header"/>
            </w:pPr>
            <w:r w:rsidRPr="00EC55B3">
              <w:t>Company</w:t>
            </w:r>
          </w:p>
        </w:tc>
        <w:tc>
          <w:tcPr>
            <w:tcW w:w="7560" w:type="dxa"/>
            <w:gridSpan w:val="2"/>
            <w:vAlign w:val="center"/>
          </w:tcPr>
          <w:p w14:paraId="10D5D35E" w14:textId="0135E299" w:rsidR="00301133" w:rsidRDefault="005A31B2" w:rsidP="00301133">
            <w:pPr>
              <w:pStyle w:val="NormalArial"/>
            </w:pPr>
            <w:r>
              <w:t>Jupiter Power</w:t>
            </w:r>
            <w:r w:rsidR="006B2814">
              <w:t xml:space="preserve"> </w:t>
            </w:r>
            <w:r w:rsidR="00A74695">
              <w:t>LLC</w:t>
            </w:r>
          </w:p>
        </w:tc>
      </w:tr>
      <w:tr w:rsidR="00301133" w14:paraId="4341DFC2" w14:textId="77777777">
        <w:trPr>
          <w:trHeight w:val="350"/>
        </w:trPr>
        <w:tc>
          <w:tcPr>
            <w:tcW w:w="2880" w:type="dxa"/>
            <w:gridSpan w:val="2"/>
            <w:tcBorders>
              <w:bottom w:val="single" w:sz="4" w:space="0" w:color="auto"/>
            </w:tcBorders>
            <w:shd w:val="clear" w:color="auto" w:fill="FFFFFF"/>
            <w:vAlign w:val="center"/>
          </w:tcPr>
          <w:p w14:paraId="72FA3248" w14:textId="77777777" w:rsidR="00301133" w:rsidRPr="00EC55B3" w:rsidRDefault="00301133" w:rsidP="00301133">
            <w:pPr>
              <w:pStyle w:val="Header"/>
            </w:pPr>
            <w:r w:rsidRPr="00EC55B3">
              <w:t>Phone Number</w:t>
            </w:r>
          </w:p>
        </w:tc>
        <w:tc>
          <w:tcPr>
            <w:tcW w:w="7560" w:type="dxa"/>
            <w:gridSpan w:val="2"/>
            <w:tcBorders>
              <w:bottom w:val="single" w:sz="4" w:space="0" w:color="auto"/>
            </w:tcBorders>
            <w:vAlign w:val="center"/>
          </w:tcPr>
          <w:p w14:paraId="0367E17B" w14:textId="71D74D72" w:rsidR="00301133" w:rsidRDefault="00301133" w:rsidP="00301133">
            <w:pPr>
              <w:pStyle w:val="NormalArial"/>
            </w:pPr>
          </w:p>
        </w:tc>
      </w:tr>
      <w:tr w:rsidR="00301133" w14:paraId="11FC2107" w14:textId="77777777">
        <w:trPr>
          <w:trHeight w:val="350"/>
        </w:trPr>
        <w:tc>
          <w:tcPr>
            <w:tcW w:w="2880" w:type="dxa"/>
            <w:gridSpan w:val="2"/>
            <w:shd w:val="clear" w:color="auto" w:fill="FFFFFF"/>
            <w:vAlign w:val="center"/>
          </w:tcPr>
          <w:p w14:paraId="5131F888" w14:textId="77777777" w:rsidR="00301133" w:rsidRPr="00EC55B3" w:rsidRDefault="00301133" w:rsidP="00301133">
            <w:pPr>
              <w:pStyle w:val="Header"/>
            </w:pPr>
            <w:r>
              <w:t>Cell</w:t>
            </w:r>
            <w:r w:rsidRPr="00EC55B3">
              <w:t xml:space="preserve"> Number</w:t>
            </w:r>
          </w:p>
        </w:tc>
        <w:tc>
          <w:tcPr>
            <w:tcW w:w="7560" w:type="dxa"/>
            <w:gridSpan w:val="2"/>
            <w:vAlign w:val="center"/>
          </w:tcPr>
          <w:p w14:paraId="05185832" w14:textId="5E151C71" w:rsidR="00301133" w:rsidRDefault="008D5620" w:rsidP="00301133">
            <w:pPr>
              <w:pStyle w:val="NormalArial"/>
            </w:pPr>
            <w:r>
              <w:t>832-326-1238</w:t>
            </w:r>
          </w:p>
        </w:tc>
      </w:tr>
      <w:tr w:rsidR="00301133" w14:paraId="3786247C" w14:textId="77777777">
        <w:trPr>
          <w:trHeight w:val="350"/>
        </w:trPr>
        <w:tc>
          <w:tcPr>
            <w:tcW w:w="2880" w:type="dxa"/>
            <w:gridSpan w:val="2"/>
            <w:tcBorders>
              <w:bottom w:val="single" w:sz="4" w:space="0" w:color="auto"/>
            </w:tcBorders>
            <w:shd w:val="clear" w:color="auto" w:fill="FFFFFF"/>
            <w:vAlign w:val="center"/>
          </w:tcPr>
          <w:p w14:paraId="108BB920" w14:textId="77777777" w:rsidR="00301133" w:rsidRPr="00EC55B3" w:rsidDel="00075A94" w:rsidRDefault="00301133" w:rsidP="00301133">
            <w:pPr>
              <w:pStyle w:val="Header"/>
            </w:pPr>
            <w:r>
              <w:t>Market Segment</w:t>
            </w:r>
          </w:p>
        </w:tc>
        <w:tc>
          <w:tcPr>
            <w:tcW w:w="7560" w:type="dxa"/>
            <w:gridSpan w:val="2"/>
            <w:tcBorders>
              <w:bottom w:val="single" w:sz="4" w:space="0" w:color="auto"/>
            </w:tcBorders>
            <w:vAlign w:val="center"/>
          </w:tcPr>
          <w:p w14:paraId="5B49C136" w14:textId="38523D89" w:rsidR="00301133" w:rsidRDefault="00A56BC4" w:rsidP="00301133">
            <w:pPr>
              <w:pStyle w:val="NormalArial"/>
            </w:pPr>
            <w:r>
              <w:t>I</w:t>
            </w:r>
            <w:r w:rsidR="00155E3B">
              <w:t xml:space="preserve">ndependent Generator </w:t>
            </w:r>
          </w:p>
        </w:tc>
      </w:tr>
    </w:tbl>
    <w:p w14:paraId="30328A28" w14:textId="5C994A51"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1133" w14:paraId="1025DD69" w14:textId="77777777" w:rsidTr="00364731">
        <w:trPr>
          <w:trHeight w:val="350"/>
        </w:trPr>
        <w:tc>
          <w:tcPr>
            <w:tcW w:w="10440" w:type="dxa"/>
            <w:tcBorders>
              <w:bottom w:val="single" w:sz="4" w:space="0" w:color="auto"/>
            </w:tcBorders>
            <w:shd w:val="clear" w:color="auto" w:fill="FFFFFF"/>
            <w:vAlign w:val="center"/>
          </w:tcPr>
          <w:p w14:paraId="4D033C1C" w14:textId="140D1873" w:rsidR="00301133" w:rsidRDefault="00301133" w:rsidP="00364731">
            <w:pPr>
              <w:pStyle w:val="Header"/>
              <w:jc w:val="center"/>
            </w:pPr>
            <w:r>
              <w:t>Comments</w:t>
            </w:r>
          </w:p>
        </w:tc>
      </w:tr>
    </w:tbl>
    <w:p w14:paraId="04272787" w14:textId="091224DB" w:rsidR="00291A83" w:rsidRPr="00BB1BCA" w:rsidRDefault="00291A83" w:rsidP="00C216EA">
      <w:pPr>
        <w:pStyle w:val="NormalArial"/>
        <w:spacing w:before="120" w:after="120"/>
        <w:rPr>
          <w:rFonts w:cs="Arial"/>
        </w:rPr>
      </w:pPr>
      <w:r w:rsidRPr="00BB1BCA">
        <w:rPr>
          <w:rFonts w:cs="Arial"/>
        </w:rPr>
        <w:t xml:space="preserve">Jupiter Power </w:t>
      </w:r>
      <w:r w:rsidR="00A74695" w:rsidRPr="00BB1BCA">
        <w:rPr>
          <w:rFonts w:cs="Arial"/>
        </w:rPr>
        <w:t>LLC</w:t>
      </w:r>
      <w:r w:rsidR="00F514B0" w:rsidRPr="00BB1BCA">
        <w:rPr>
          <w:rFonts w:cs="Arial"/>
        </w:rPr>
        <w:t xml:space="preserve"> (Jupiter</w:t>
      </w:r>
      <w:r w:rsidR="003B5BDC">
        <w:rPr>
          <w:rFonts w:cs="Arial"/>
        </w:rPr>
        <w:t xml:space="preserve"> Power</w:t>
      </w:r>
      <w:r w:rsidR="00F514B0" w:rsidRPr="00BB1BCA">
        <w:rPr>
          <w:rFonts w:cs="Arial"/>
        </w:rPr>
        <w:t>)</w:t>
      </w:r>
      <w:r w:rsidR="00A74695" w:rsidRPr="00BB1BCA">
        <w:rPr>
          <w:rFonts w:cs="Arial"/>
        </w:rPr>
        <w:t xml:space="preserve"> appreciates the opportunity to submit these comments </w:t>
      </w:r>
      <w:r w:rsidR="00F514B0" w:rsidRPr="00BB1BCA">
        <w:rPr>
          <w:rFonts w:cs="Arial"/>
        </w:rPr>
        <w:t>ahead of the March 30</w:t>
      </w:r>
      <w:r w:rsidR="00ED4D3D" w:rsidRPr="00ED4D3D">
        <w:rPr>
          <w:rFonts w:cs="Arial"/>
          <w:vertAlign w:val="superscript"/>
        </w:rPr>
        <w:t>th</w:t>
      </w:r>
      <w:r w:rsidR="00ED4D3D">
        <w:rPr>
          <w:rFonts w:cs="Arial"/>
        </w:rPr>
        <w:t>,</w:t>
      </w:r>
      <w:r w:rsidR="00F514B0" w:rsidRPr="00BB1BCA">
        <w:rPr>
          <w:rFonts w:cs="Arial"/>
        </w:rPr>
        <w:t xml:space="preserve"> Technical Advisory Committee (TAC) meeting. </w:t>
      </w:r>
      <w:r w:rsidR="006C1130">
        <w:rPr>
          <w:rFonts w:cs="Arial"/>
        </w:rPr>
        <w:t xml:space="preserve"> </w:t>
      </w:r>
    </w:p>
    <w:p w14:paraId="5F7F3A5E" w14:textId="3AAD98E4" w:rsidR="005F4094" w:rsidRPr="00BB1BCA" w:rsidRDefault="003E3AF4" w:rsidP="00C216EA">
      <w:pPr>
        <w:pStyle w:val="NormalArial"/>
        <w:spacing w:before="120" w:after="120"/>
        <w:rPr>
          <w:rFonts w:cs="Arial"/>
        </w:rPr>
      </w:pPr>
      <w:r>
        <w:rPr>
          <w:rFonts w:cs="Arial"/>
        </w:rPr>
        <w:t>Nodal Protocol Revision Request (</w:t>
      </w:r>
      <w:r w:rsidR="005F4094" w:rsidRPr="00BB1BCA">
        <w:rPr>
          <w:rFonts w:cs="Arial"/>
        </w:rPr>
        <w:t>NPRR</w:t>
      </w:r>
      <w:r>
        <w:rPr>
          <w:rFonts w:cs="Arial"/>
        </w:rPr>
        <w:t xml:space="preserve">) </w:t>
      </w:r>
      <w:r w:rsidR="005F4094" w:rsidRPr="00BB1BCA">
        <w:rPr>
          <w:rFonts w:cs="Arial"/>
        </w:rPr>
        <w:t>1096, as passed by the Protocol Revision Subcommittee</w:t>
      </w:r>
      <w:r w:rsidR="00756320" w:rsidRPr="00BB1BCA">
        <w:rPr>
          <w:rFonts w:cs="Arial"/>
        </w:rPr>
        <w:t xml:space="preserve"> </w:t>
      </w:r>
      <w:r>
        <w:rPr>
          <w:rFonts w:cs="Arial"/>
        </w:rPr>
        <w:t xml:space="preserve">(PRS) </w:t>
      </w:r>
      <w:r w:rsidR="00756320" w:rsidRPr="00BB1BCA">
        <w:rPr>
          <w:rFonts w:cs="Arial"/>
        </w:rPr>
        <w:t>on March 9</w:t>
      </w:r>
      <w:r w:rsidR="00756320" w:rsidRPr="00BB1BCA">
        <w:rPr>
          <w:rFonts w:cs="Arial"/>
          <w:vertAlign w:val="superscript"/>
        </w:rPr>
        <w:t>th</w:t>
      </w:r>
      <w:r w:rsidR="00756320" w:rsidRPr="00BB1BCA">
        <w:rPr>
          <w:rFonts w:cs="Arial"/>
        </w:rPr>
        <w:t xml:space="preserve">, </w:t>
      </w:r>
      <w:r w:rsidR="000F2337" w:rsidRPr="00BB1BCA">
        <w:rPr>
          <w:rFonts w:cs="Arial"/>
        </w:rPr>
        <w:t xml:space="preserve">will require </w:t>
      </w:r>
      <w:r>
        <w:rPr>
          <w:rFonts w:cs="Arial"/>
        </w:rPr>
        <w:t>R</w:t>
      </w:r>
      <w:r w:rsidR="000F2337" w:rsidRPr="00BB1BCA">
        <w:rPr>
          <w:rFonts w:cs="Arial"/>
        </w:rPr>
        <w:t>esources that provide ERCOT Contingency Reserve Service (ECRS) to limit their responsibility of ECRS to a quantity of capacity that the</w:t>
      </w:r>
      <w:r w:rsidR="00B07C1C">
        <w:rPr>
          <w:rFonts w:cs="Arial"/>
        </w:rPr>
        <w:t xml:space="preserve"> </w:t>
      </w:r>
      <w:r>
        <w:rPr>
          <w:rFonts w:cs="Arial"/>
        </w:rPr>
        <w:t>R</w:t>
      </w:r>
      <w:r w:rsidR="00B07C1C">
        <w:rPr>
          <w:rFonts w:cs="Arial"/>
        </w:rPr>
        <w:t>esource</w:t>
      </w:r>
      <w:r w:rsidR="000F2337" w:rsidRPr="00BB1BCA">
        <w:rPr>
          <w:rFonts w:cs="Arial"/>
        </w:rPr>
        <w:t xml:space="preserve"> can sustain for two consecutive hours and</w:t>
      </w:r>
      <w:r w:rsidR="00B21BA8">
        <w:rPr>
          <w:rFonts w:cs="Arial"/>
        </w:rPr>
        <w:t xml:space="preserve"> require </w:t>
      </w:r>
      <w:r>
        <w:rPr>
          <w:rFonts w:cs="Arial"/>
        </w:rPr>
        <w:t>R</w:t>
      </w:r>
      <w:r w:rsidR="00B21BA8">
        <w:rPr>
          <w:rFonts w:cs="Arial"/>
        </w:rPr>
        <w:t>esources that provide</w:t>
      </w:r>
      <w:r w:rsidR="000F2337" w:rsidRPr="00BB1BCA">
        <w:rPr>
          <w:rFonts w:cs="Arial"/>
        </w:rPr>
        <w:t xml:space="preserve"> Non-Spinning Reserve (Non-Spin) to limit their responsibility </w:t>
      </w:r>
      <w:r w:rsidR="00E242D6" w:rsidRPr="00BB1BCA">
        <w:rPr>
          <w:rFonts w:cs="Arial"/>
        </w:rPr>
        <w:t xml:space="preserve">of Non-Spin </w:t>
      </w:r>
      <w:r w:rsidR="000F2337" w:rsidRPr="00BB1BCA">
        <w:rPr>
          <w:rFonts w:cs="Arial"/>
        </w:rPr>
        <w:t xml:space="preserve">to a quantity of capacity that </w:t>
      </w:r>
      <w:r w:rsidR="00E242D6" w:rsidRPr="00BB1BCA">
        <w:rPr>
          <w:rFonts w:cs="Arial"/>
        </w:rPr>
        <w:t>they can</w:t>
      </w:r>
      <w:r w:rsidR="000F2337" w:rsidRPr="00BB1BCA">
        <w:rPr>
          <w:rFonts w:cs="Arial"/>
        </w:rPr>
        <w:t xml:space="preserve"> sustain for four consecutive hours.  </w:t>
      </w:r>
    </w:p>
    <w:p w14:paraId="4399ED91" w14:textId="30121B90" w:rsidR="00C03C0D" w:rsidRDefault="00034BD3" w:rsidP="00C216EA">
      <w:pPr>
        <w:pStyle w:val="NormalArial"/>
        <w:spacing w:before="120" w:after="120"/>
        <w:rPr>
          <w:rFonts w:cs="Arial"/>
        </w:rPr>
      </w:pPr>
      <w:r w:rsidRPr="00BB1BCA">
        <w:rPr>
          <w:rFonts w:cs="Arial"/>
        </w:rPr>
        <w:t xml:space="preserve">Jupiter Power is </w:t>
      </w:r>
      <w:r w:rsidR="00B47992" w:rsidRPr="00BB1BCA">
        <w:rPr>
          <w:rFonts w:cs="Arial"/>
        </w:rPr>
        <w:t xml:space="preserve">energy storage developer and operator </w:t>
      </w:r>
      <w:r w:rsidR="00F876C6" w:rsidRPr="00BB1BCA">
        <w:rPr>
          <w:rFonts w:cs="Arial"/>
        </w:rPr>
        <w:t>with current operating assets</w:t>
      </w:r>
      <w:r w:rsidR="00842BF5">
        <w:rPr>
          <w:rFonts w:cs="Arial"/>
        </w:rPr>
        <w:t xml:space="preserve"> in ERCOT</w:t>
      </w:r>
      <w:r w:rsidR="00F876C6" w:rsidRPr="00BB1BCA">
        <w:rPr>
          <w:rFonts w:cs="Arial"/>
        </w:rPr>
        <w:t xml:space="preserve"> and thus</w:t>
      </w:r>
      <w:r w:rsidR="00D7107E" w:rsidRPr="00BB1BCA">
        <w:rPr>
          <w:rFonts w:cs="Arial"/>
        </w:rPr>
        <w:t xml:space="preserve"> would be</w:t>
      </w:r>
      <w:r w:rsidR="00F876C6" w:rsidRPr="00BB1BCA">
        <w:rPr>
          <w:rFonts w:cs="Arial"/>
        </w:rPr>
        <w:t xml:space="preserve"> directly </w:t>
      </w:r>
      <w:r w:rsidR="00D7107E" w:rsidRPr="00BB1BCA">
        <w:rPr>
          <w:rFonts w:cs="Arial"/>
        </w:rPr>
        <w:t>a</w:t>
      </w:r>
      <w:r w:rsidR="00F876C6" w:rsidRPr="00BB1BCA">
        <w:rPr>
          <w:rFonts w:cs="Arial"/>
        </w:rPr>
        <w:t xml:space="preserve">ffected by </w:t>
      </w:r>
      <w:r w:rsidR="00D7107E" w:rsidRPr="00BB1BCA">
        <w:rPr>
          <w:rFonts w:cs="Arial"/>
        </w:rPr>
        <w:t xml:space="preserve">the passage of </w:t>
      </w:r>
      <w:r w:rsidR="00842BF5">
        <w:rPr>
          <w:rFonts w:cs="Arial"/>
        </w:rPr>
        <w:t>NPRR1</w:t>
      </w:r>
      <w:r w:rsidR="00D7107E" w:rsidRPr="00BB1BCA">
        <w:rPr>
          <w:rFonts w:cs="Arial"/>
        </w:rPr>
        <w:t>096</w:t>
      </w:r>
      <w:r w:rsidR="00025D69">
        <w:rPr>
          <w:rFonts w:cs="Arial"/>
        </w:rPr>
        <w:t xml:space="preserve">, as would other developers and operators of battery </w:t>
      </w:r>
      <w:r w:rsidR="003E3AF4">
        <w:rPr>
          <w:rFonts w:cs="Arial"/>
        </w:rPr>
        <w:t>E</w:t>
      </w:r>
      <w:r w:rsidR="00025D69">
        <w:rPr>
          <w:rFonts w:cs="Arial"/>
        </w:rPr>
        <w:t xml:space="preserve">nergy </w:t>
      </w:r>
      <w:r w:rsidR="003E3AF4">
        <w:rPr>
          <w:rFonts w:cs="Arial"/>
        </w:rPr>
        <w:t>S</w:t>
      </w:r>
      <w:r w:rsidR="00025D69">
        <w:rPr>
          <w:rFonts w:cs="Arial"/>
        </w:rPr>
        <w:t xml:space="preserve">torage </w:t>
      </w:r>
      <w:r w:rsidR="003E3AF4">
        <w:rPr>
          <w:rFonts w:cs="Arial"/>
        </w:rPr>
        <w:t>S</w:t>
      </w:r>
      <w:r w:rsidR="00025D69">
        <w:rPr>
          <w:rFonts w:cs="Arial"/>
        </w:rPr>
        <w:t>ystems</w:t>
      </w:r>
      <w:r w:rsidR="003E3AF4">
        <w:rPr>
          <w:rFonts w:cs="Arial"/>
        </w:rPr>
        <w:t xml:space="preserve"> (ESSs)</w:t>
      </w:r>
      <w:r w:rsidR="00025D69">
        <w:rPr>
          <w:rFonts w:cs="Arial"/>
        </w:rPr>
        <w:t xml:space="preserve">, </w:t>
      </w:r>
      <w:r w:rsidR="006F0E12">
        <w:rPr>
          <w:rFonts w:cs="Arial"/>
        </w:rPr>
        <w:t>as well as</w:t>
      </w:r>
      <w:r w:rsidR="00025D69">
        <w:rPr>
          <w:rFonts w:cs="Arial"/>
        </w:rPr>
        <w:t xml:space="preserve"> the </w:t>
      </w:r>
      <w:r w:rsidR="003E3AF4">
        <w:rPr>
          <w:rFonts w:cs="Arial"/>
        </w:rPr>
        <w:t>Qualified Scheduling Entities (</w:t>
      </w:r>
      <w:r w:rsidR="00025D69">
        <w:rPr>
          <w:rFonts w:cs="Arial"/>
        </w:rPr>
        <w:t>QSEs</w:t>
      </w:r>
      <w:r w:rsidR="003E3AF4">
        <w:rPr>
          <w:rFonts w:cs="Arial"/>
        </w:rPr>
        <w:t>)</w:t>
      </w:r>
      <w:r w:rsidR="00025D69">
        <w:rPr>
          <w:rFonts w:cs="Arial"/>
        </w:rPr>
        <w:t xml:space="preserve"> that repres</w:t>
      </w:r>
      <w:r w:rsidR="00B756B3">
        <w:rPr>
          <w:rFonts w:cs="Arial"/>
        </w:rPr>
        <w:t>ent</w:t>
      </w:r>
      <w:r w:rsidR="00025D69">
        <w:rPr>
          <w:rFonts w:cs="Arial"/>
        </w:rPr>
        <w:t xml:space="preserve"> </w:t>
      </w:r>
      <w:r w:rsidR="00B756B3">
        <w:rPr>
          <w:rFonts w:cs="Arial"/>
        </w:rPr>
        <w:t xml:space="preserve">battery </w:t>
      </w:r>
      <w:r w:rsidR="003E3AF4">
        <w:rPr>
          <w:rFonts w:cs="Arial"/>
        </w:rPr>
        <w:t>ESSs</w:t>
      </w:r>
      <w:r w:rsidR="00025D69">
        <w:rPr>
          <w:rFonts w:cs="Arial"/>
        </w:rPr>
        <w:t>.</w:t>
      </w:r>
    </w:p>
    <w:p w14:paraId="22F278D6" w14:textId="6A433028" w:rsidR="00C03C0D" w:rsidRDefault="00E90B5F" w:rsidP="00C216EA">
      <w:pPr>
        <w:pStyle w:val="NormalArial"/>
        <w:spacing w:before="120" w:after="120"/>
        <w:rPr>
          <w:rFonts w:cs="Arial"/>
        </w:rPr>
      </w:pPr>
      <w:r>
        <w:rPr>
          <w:rFonts w:cs="Arial"/>
        </w:rPr>
        <w:t xml:space="preserve">As stated in </w:t>
      </w:r>
      <w:r w:rsidR="006A28C6">
        <w:rPr>
          <w:rFonts w:cs="Arial"/>
        </w:rPr>
        <w:t>our January 5</w:t>
      </w:r>
      <w:r w:rsidR="006A28C6" w:rsidRPr="00A53B63">
        <w:rPr>
          <w:rFonts w:cs="Arial"/>
          <w:vertAlign w:val="superscript"/>
        </w:rPr>
        <w:t>th</w:t>
      </w:r>
      <w:r w:rsidR="006A28C6">
        <w:rPr>
          <w:rFonts w:cs="Arial"/>
        </w:rPr>
        <w:t xml:space="preserve"> comments (with Joint Commenters), Jupiter Power is </w:t>
      </w:r>
      <w:r w:rsidR="003030B1">
        <w:rPr>
          <w:rFonts w:cs="Arial"/>
        </w:rPr>
        <w:t>accepting</w:t>
      </w:r>
      <w:r w:rsidR="00BF5470">
        <w:rPr>
          <w:rFonts w:cs="Arial"/>
        </w:rPr>
        <w:t xml:space="preserve"> </w:t>
      </w:r>
      <w:r w:rsidR="0007150C">
        <w:rPr>
          <w:rFonts w:cs="Arial"/>
        </w:rPr>
        <w:t>of a requirement to provide two hour</w:t>
      </w:r>
      <w:r w:rsidR="00410DDD">
        <w:rPr>
          <w:rFonts w:cs="Arial"/>
        </w:rPr>
        <w:t>s of</w:t>
      </w:r>
      <w:r w:rsidR="0007150C">
        <w:rPr>
          <w:rFonts w:cs="Arial"/>
        </w:rPr>
        <w:t xml:space="preserve"> duration of capacity for ECRS.</w:t>
      </w:r>
      <w:r w:rsidR="003E3AF4">
        <w:rPr>
          <w:rFonts w:cs="Arial"/>
        </w:rPr>
        <w:t xml:space="preserve"> </w:t>
      </w:r>
      <w:r w:rsidR="004444B7">
        <w:rPr>
          <w:rFonts w:cs="Arial"/>
        </w:rPr>
        <w:t xml:space="preserve"> ECRS is a new </w:t>
      </w:r>
      <w:r w:rsidR="003E3AF4">
        <w:rPr>
          <w:rFonts w:cs="Arial"/>
        </w:rPr>
        <w:t>A</w:t>
      </w:r>
      <w:r w:rsidR="004444B7">
        <w:rPr>
          <w:rFonts w:cs="Arial"/>
        </w:rPr>
        <w:t xml:space="preserve">ncillary </w:t>
      </w:r>
      <w:r w:rsidR="003E3AF4">
        <w:rPr>
          <w:rFonts w:cs="Arial"/>
        </w:rPr>
        <w:t>S</w:t>
      </w:r>
      <w:r w:rsidR="004444B7">
        <w:rPr>
          <w:rFonts w:cs="Arial"/>
        </w:rPr>
        <w:t>ervice, yet to be implemented</w:t>
      </w:r>
      <w:r w:rsidR="003E3AF4">
        <w:rPr>
          <w:rFonts w:cs="Arial"/>
        </w:rPr>
        <w:t>,</w:t>
      </w:r>
      <w:r w:rsidR="004444B7">
        <w:rPr>
          <w:rFonts w:cs="Arial"/>
        </w:rPr>
        <w:t xml:space="preserve"> and often discussed by the Public Utility Commission of Texas (PUCT)</w:t>
      </w:r>
      <w:r w:rsidR="00BF5470">
        <w:rPr>
          <w:rFonts w:cs="Arial"/>
        </w:rPr>
        <w:t xml:space="preserve"> in the wake of Winter Storm Uri</w:t>
      </w:r>
      <w:r w:rsidR="004444B7">
        <w:rPr>
          <w:rFonts w:cs="Arial"/>
        </w:rPr>
        <w:t xml:space="preserve">. </w:t>
      </w:r>
      <w:r w:rsidR="0007150C">
        <w:rPr>
          <w:rFonts w:cs="Arial"/>
        </w:rPr>
        <w:t xml:space="preserve"> </w:t>
      </w:r>
      <w:r w:rsidR="004B2354" w:rsidRPr="004B2354">
        <w:rPr>
          <w:rFonts w:cs="Arial"/>
        </w:rPr>
        <w:t xml:space="preserve">ECRS is equipped to appropriately address two significant issues associated in particular ramp down of solar at sunset: the associated sudden frequency drop and the loss of capacity or change in net </w:t>
      </w:r>
      <w:r w:rsidR="003E3AF4">
        <w:rPr>
          <w:rFonts w:cs="Arial"/>
        </w:rPr>
        <w:t>L</w:t>
      </w:r>
      <w:r w:rsidR="004B2354" w:rsidRPr="004B2354">
        <w:rPr>
          <w:rFonts w:cs="Arial"/>
        </w:rPr>
        <w:t>oad</w:t>
      </w:r>
      <w:r w:rsidR="00392AA8">
        <w:rPr>
          <w:rFonts w:cs="Arial"/>
        </w:rPr>
        <w:t xml:space="preserve">. </w:t>
      </w:r>
      <w:r w:rsidR="003E3AF4">
        <w:rPr>
          <w:rFonts w:cs="Arial"/>
        </w:rPr>
        <w:t xml:space="preserve"> </w:t>
      </w:r>
      <w:r w:rsidR="00392AA8">
        <w:rPr>
          <w:rFonts w:cs="Arial"/>
        </w:rPr>
        <w:t xml:space="preserve">A </w:t>
      </w:r>
      <w:r w:rsidR="00794B8B">
        <w:rPr>
          <w:rFonts w:cs="Arial"/>
        </w:rPr>
        <w:t>two-hour</w:t>
      </w:r>
      <w:r w:rsidR="00392AA8">
        <w:rPr>
          <w:rFonts w:cs="Arial"/>
        </w:rPr>
        <w:t xml:space="preserve"> duration </w:t>
      </w:r>
      <w:r w:rsidR="00BF5470">
        <w:rPr>
          <w:rFonts w:cs="Arial"/>
        </w:rPr>
        <w:t>requirement</w:t>
      </w:r>
      <w:r w:rsidR="00392AA8">
        <w:rPr>
          <w:rFonts w:cs="Arial"/>
        </w:rPr>
        <w:t xml:space="preserve"> for a new service that has become associated with a specific event (t</w:t>
      </w:r>
      <w:r w:rsidR="00BF5470">
        <w:rPr>
          <w:rFonts w:cs="Arial"/>
        </w:rPr>
        <w:t>h</w:t>
      </w:r>
      <w:r w:rsidR="00392AA8">
        <w:rPr>
          <w:rFonts w:cs="Arial"/>
        </w:rPr>
        <w:t>e evening solar ramp) is appropriate as the circumstance that cause</w:t>
      </w:r>
      <w:r w:rsidR="00BF5470">
        <w:rPr>
          <w:rFonts w:cs="Arial"/>
        </w:rPr>
        <w:t>s</w:t>
      </w:r>
      <w:r w:rsidR="00392AA8">
        <w:rPr>
          <w:rFonts w:cs="Arial"/>
        </w:rPr>
        <w:t xml:space="preserve"> solar ramp, increased penetration of solar resources,</w:t>
      </w:r>
      <w:r w:rsidR="006B2ECC">
        <w:rPr>
          <w:rFonts w:cs="Arial"/>
        </w:rPr>
        <w:t xml:space="preserve"> will only </w:t>
      </w:r>
      <w:r w:rsidR="00CC4BAD">
        <w:rPr>
          <w:rFonts w:cs="Arial"/>
        </w:rPr>
        <w:t>increas</w:t>
      </w:r>
      <w:r w:rsidR="006B2ECC">
        <w:rPr>
          <w:rFonts w:cs="Arial"/>
        </w:rPr>
        <w:t>e</w:t>
      </w:r>
      <w:r w:rsidR="00CC4BAD">
        <w:rPr>
          <w:rFonts w:cs="Arial"/>
        </w:rPr>
        <w:t xml:space="preserve"> in the forecasted future.</w:t>
      </w:r>
    </w:p>
    <w:p w14:paraId="4A171D6B" w14:textId="4E6E346D" w:rsidR="009056E9" w:rsidRDefault="00600F75" w:rsidP="00C216EA">
      <w:pPr>
        <w:pStyle w:val="NormalArial"/>
        <w:spacing w:before="120" w:after="120"/>
        <w:rPr>
          <w:rFonts w:cs="Arial"/>
        </w:rPr>
      </w:pPr>
      <w:r>
        <w:rPr>
          <w:rFonts w:cs="Arial"/>
        </w:rPr>
        <w:t xml:space="preserve">However, </w:t>
      </w:r>
      <w:r w:rsidR="00BF5470">
        <w:rPr>
          <w:rFonts w:cs="Arial"/>
        </w:rPr>
        <w:t>Non-Spin is a long-</w:t>
      </w:r>
      <w:r w:rsidR="001A6A73">
        <w:rPr>
          <w:rFonts w:cs="Arial"/>
        </w:rPr>
        <w:t>existing product in ERCOT</w:t>
      </w:r>
      <w:r w:rsidR="00C36728">
        <w:rPr>
          <w:rFonts w:cs="Arial"/>
        </w:rPr>
        <w:t xml:space="preserve"> with an established procurement process</w:t>
      </w:r>
      <w:r w:rsidR="001A6A73">
        <w:rPr>
          <w:rFonts w:cs="Arial"/>
        </w:rPr>
        <w:t xml:space="preserve">. </w:t>
      </w:r>
      <w:r w:rsidR="003E3AF4">
        <w:rPr>
          <w:rFonts w:cs="Arial"/>
        </w:rPr>
        <w:t xml:space="preserve"> </w:t>
      </w:r>
      <w:r w:rsidR="00C36728">
        <w:rPr>
          <w:rFonts w:cs="Arial"/>
        </w:rPr>
        <w:t>Introducing a</w:t>
      </w:r>
      <w:r w:rsidR="00B21BA8" w:rsidRPr="00B21BA8">
        <w:rPr>
          <w:rFonts w:cs="Arial"/>
        </w:rPr>
        <w:t xml:space="preserve"> </w:t>
      </w:r>
      <w:r w:rsidR="00105620">
        <w:rPr>
          <w:rFonts w:cs="Arial"/>
        </w:rPr>
        <w:t>four</w:t>
      </w:r>
      <w:r w:rsidR="00E9201E">
        <w:rPr>
          <w:rFonts w:cs="Arial"/>
        </w:rPr>
        <w:t>-</w:t>
      </w:r>
      <w:r w:rsidR="00B21BA8" w:rsidRPr="00B21BA8">
        <w:rPr>
          <w:rFonts w:cs="Arial"/>
        </w:rPr>
        <w:t>hour duration requirement</w:t>
      </w:r>
      <w:r w:rsidR="00105620">
        <w:rPr>
          <w:rFonts w:cs="Arial"/>
        </w:rPr>
        <w:t xml:space="preserve"> for </w:t>
      </w:r>
      <w:r w:rsidR="00B6134D">
        <w:rPr>
          <w:rFonts w:cs="Arial"/>
        </w:rPr>
        <w:t xml:space="preserve">capacity that </w:t>
      </w:r>
      <w:r w:rsidR="00B6134D">
        <w:rPr>
          <w:rFonts w:cs="Arial"/>
        </w:rPr>
        <w:lastRenderedPageBreak/>
        <w:t>can be offered</w:t>
      </w:r>
      <w:r w:rsidR="00B21BA8" w:rsidRPr="00B21BA8">
        <w:rPr>
          <w:rFonts w:cs="Arial"/>
        </w:rPr>
        <w:t xml:space="preserve"> </w:t>
      </w:r>
      <w:r w:rsidR="00C36728">
        <w:rPr>
          <w:rFonts w:cs="Arial"/>
        </w:rPr>
        <w:t xml:space="preserve">for the </w:t>
      </w:r>
      <w:r>
        <w:rPr>
          <w:rFonts w:cs="Arial"/>
        </w:rPr>
        <w:t>existing</w:t>
      </w:r>
      <w:r w:rsidR="00B21BA8" w:rsidRPr="00B21BA8">
        <w:rPr>
          <w:rFonts w:cs="Arial"/>
        </w:rPr>
        <w:t xml:space="preserve"> </w:t>
      </w:r>
      <w:r w:rsidR="00B6134D">
        <w:rPr>
          <w:rFonts w:cs="Arial"/>
        </w:rPr>
        <w:t>one</w:t>
      </w:r>
      <w:r w:rsidR="00B21BA8" w:rsidRPr="00B21BA8">
        <w:rPr>
          <w:rFonts w:cs="Arial"/>
        </w:rPr>
        <w:t xml:space="preserve">-hour </w:t>
      </w:r>
      <w:r>
        <w:rPr>
          <w:rFonts w:cs="Arial"/>
        </w:rPr>
        <w:t>Non-Spin</w:t>
      </w:r>
      <w:r w:rsidR="00C36728">
        <w:rPr>
          <w:rFonts w:cs="Arial"/>
        </w:rPr>
        <w:t xml:space="preserve"> product</w:t>
      </w:r>
      <w:r>
        <w:rPr>
          <w:rFonts w:cs="Arial"/>
        </w:rPr>
        <w:t>,</w:t>
      </w:r>
      <w:r w:rsidR="00B21BA8" w:rsidRPr="00B21BA8">
        <w:rPr>
          <w:rFonts w:cs="Arial"/>
        </w:rPr>
        <w:t xml:space="preserve"> would </w:t>
      </w:r>
      <w:r w:rsidR="00B6134D">
        <w:rPr>
          <w:rFonts w:cs="Arial"/>
        </w:rPr>
        <w:t xml:space="preserve">mean that a </w:t>
      </w:r>
      <w:r w:rsidR="00E9201E">
        <w:rPr>
          <w:rFonts w:cs="Arial"/>
        </w:rPr>
        <w:t>battery with a two-hour duration</w:t>
      </w:r>
      <w:r w:rsidR="00B21BA8" w:rsidRPr="00B21BA8">
        <w:rPr>
          <w:rFonts w:cs="Arial"/>
        </w:rPr>
        <w:t xml:space="preserve"> would have to derate their offering </w:t>
      </w:r>
      <w:r w:rsidR="00E9201E">
        <w:rPr>
          <w:rFonts w:cs="Arial"/>
        </w:rPr>
        <w:t>in</w:t>
      </w:r>
      <w:r w:rsidR="00B21BA8" w:rsidRPr="00B21BA8">
        <w:rPr>
          <w:rFonts w:cs="Arial"/>
        </w:rPr>
        <w:t xml:space="preserve">to </w:t>
      </w:r>
      <w:r w:rsidR="00E9201E">
        <w:rPr>
          <w:rFonts w:cs="Arial"/>
        </w:rPr>
        <w:t xml:space="preserve">Non-Spin to ½ </w:t>
      </w:r>
      <w:r w:rsidR="00B21BA8" w:rsidRPr="00B21BA8">
        <w:rPr>
          <w:rFonts w:cs="Arial"/>
        </w:rPr>
        <w:t>their MWh capacity</w:t>
      </w:r>
      <w:r w:rsidR="00247054">
        <w:rPr>
          <w:rFonts w:cs="Arial"/>
        </w:rPr>
        <w:t>.</w:t>
      </w:r>
      <w:r w:rsidR="0033154D">
        <w:rPr>
          <w:rFonts w:cs="Arial"/>
        </w:rPr>
        <w:t xml:space="preserve"> </w:t>
      </w:r>
      <w:r w:rsidR="003E3AF4">
        <w:rPr>
          <w:rFonts w:cs="Arial"/>
        </w:rPr>
        <w:t xml:space="preserve"> </w:t>
      </w:r>
      <w:r w:rsidR="002A3124">
        <w:rPr>
          <w:rFonts w:cs="Arial"/>
        </w:rPr>
        <w:t xml:space="preserve">A 40MW battery with two-hour duration would qualify only </w:t>
      </w:r>
      <w:r w:rsidR="009C007F">
        <w:rPr>
          <w:rFonts w:cs="Arial"/>
        </w:rPr>
        <w:t xml:space="preserve">to provide 20MW of Non-Spin, even though Non-Spin is awarded and paid on a one-hour basis. </w:t>
      </w:r>
    </w:p>
    <w:p w14:paraId="06110EEA" w14:textId="74DE177B" w:rsidR="007A115A" w:rsidRPr="00BB1BCA" w:rsidRDefault="00562210" w:rsidP="00C216EA">
      <w:pPr>
        <w:pStyle w:val="NormalArial"/>
        <w:spacing w:before="120" w:after="120"/>
        <w:rPr>
          <w:rFonts w:cs="Arial"/>
        </w:rPr>
      </w:pPr>
      <w:r w:rsidRPr="00BB1BCA">
        <w:rPr>
          <w:rFonts w:cs="Arial"/>
        </w:rPr>
        <w:t>Jupiter</w:t>
      </w:r>
      <w:r w:rsidR="00F62DC7">
        <w:rPr>
          <w:rFonts w:cs="Arial"/>
        </w:rPr>
        <w:t xml:space="preserve"> Power is respectful of the March 9</w:t>
      </w:r>
      <w:r w:rsidR="00F62DC7" w:rsidRPr="009D4188">
        <w:rPr>
          <w:rFonts w:cs="Arial"/>
          <w:vertAlign w:val="superscript"/>
        </w:rPr>
        <w:t>th</w:t>
      </w:r>
      <w:r w:rsidR="00F62DC7">
        <w:rPr>
          <w:rFonts w:cs="Arial"/>
        </w:rPr>
        <w:t xml:space="preserve"> PRS</w:t>
      </w:r>
      <w:r w:rsidR="005204AC">
        <w:rPr>
          <w:rFonts w:cs="Arial"/>
        </w:rPr>
        <w:t xml:space="preserve"> vot</w:t>
      </w:r>
      <w:r w:rsidR="00CE4A18">
        <w:rPr>
          <w:rFonts w:cs="Arial"/>
        </w:rPr>
        <w:t>e</w:t>
      </w:r>
      <w:r w:rsidR="00F62DC7">
        <w:rPr>
          <w:rFonts w:cs="Arial"/>
        </w:rPr>
        <w:t>, but</w:t>
      </w:r>
      <w:r w:rsidR="003A7A3C">
        <w:rPr>
          <w:rFonts w:cs="Arial"/>
        </w:rPr>
        <w:t>,</w:t>
      </w:r>
      <w:r w:rsidR="00F62DC7">
        <w:rPr>
          <w:rFonts w:cs="Arial"/>
        </w:rPr>
        <w:t xml:space="preserve"> as an affected party,</w:t>
      </w:r>
      <w:r w:rsidRPr="00BB1BCA">
        <w:rPr>
          <w:rFonts w:cs="Arial"/>
        </w:rPr>
        <w:t xml:space="preserve"> registers the </w:t>
      </w:r>
      <w:r w:rsidR="00247054">
        <w:rPr>
          <w:rFonts w:cs="Arial"/>
        </w:rPr>
        <w:t>following concerns with a four-hour duration requirement on Non-Spi</w:t>
      </w:r>
      <w:r w:rsidR="007A42CB">
        <w:rPr>
          <w:rFonts w:cs="Arial"/>
        </w:rPr>
        <w:t>n.</w:t>
      </w:r>
      <w:r w:rsidR="00BF5799">
        <w:rPr>
          <w:rFonts w:cs="Arial"/>
        </w:rPr>
        <w:t xml:space="preserve"> </w:t>
      </w:r>
      <w:r w:rsidR="003E3AF4">
        <w:rPr>
          <w:rFonts w:cs="Arial"/>
        </w:rPr>
        <w:t xml:space="preserve"> </w:t>
      </w:r>
      <w:r w:rsidR="00BF5799">
        <w:rPr>
          <w:rFonts w:cs="Arial"/>
        </w:rPr>
        <w:t>We appreciate</w:t>
      </w:r>
      <w:r w:rsidR="00BA1233">
        <w:rPr>
          <w:rFonts w:cs="Arial"/>
        </w:rPr>
        <w:t xml:space="preserve"> ERCOT’s</w:t>
      </w:r>
      <w:r w:rsidR="0022326A">
        <w:rPr>
          <w:rFonts w:cs="Arial"/>
        </w:rPr>
        <w:t xml:space="preserve"> time spent with us on NPRR1096 and continued</w:t>
      </w:r>
      <w:r w:rsidR="00BA1233">
        <w:rPr>
          <w:rFonts w:cs="Arial"/>
        </w:rPr>
        <w:t xml:space="preserve"> willingness to discuss thi</w:t>
      </w:r>
      <w:r w:rsidR="004F76ED">
        <w:rPr>
          <w:rFonts w:cs="Arial"/>
        </w:rPr>
        <w:t>s issue</w:t>
      </w:r>
      <w:r w:rsidR="00BA1233">
        <w:rPr>
          <w:rFonts w:cs="Arial"/>
        </w:rPr>
        <w:t xml:space="preserve"> in the future</w:t>
      </w:r>
      <w:r w:rsidR="00607E3B">
        <w:rPr>
          <w:rFonts w:cs="Arial"/>
        </w:rPr>
        <w:t>,</w:t>
      </w:r>
      <w:r w:rsidR="00BA1233">
        <w:rPr>
          <w:rFonts w:cs="Arial"/>
        </w:rPr>
        <w:t xml:space="preserve"> and </w:t>
      </w:r>
      <w:r w:rsidR="00607E3B">
        <w:rPr>
          <w:rFonts w:cs="Arial"/>
        </w:rPr>
        <w:t xml:space="preserve">we </w:t>
      </w:r>
      <w:r w:rsidR="00BA1233">
        <w:rPr>
          <w:rFonts w:cs="Arial"/>
        </w:rPr>
        <w:t>look forward to</w:t>
      </w:r>
      <w:r w:rsidR="004F76ED">
        <w:rPr>
          <w:rFonts w:cs="Arial"/>
        </w:rPr>
        <w:t xml:space="preserve"> participating in</w:t>
      </w:r>
      <w:r w:rsidR="00BA1233">
        <w:rPr>
          <w:rFonts w:cs="Arial"/>
        </w:rPr>
        <w:t xml:space="preserve"> those discussions. </w:t>
      </w:r>
      <w:r w:rsidR="00BF5799">
        <w:rPr>
          <w:rFonts w:cs="Arial"/>
        </w:rPr>
        <w:t xml:space="preserve"> </w:t>
      </w:r>
    </w:p>
    <w:p w14:paraId="450C6950" w14:textId="1B3C3840" w:rsidR="00F40E2E" w:rsidRPr="00BE48EF" w:rsidRDefault="00313EE0" w:rsidP="00C216EA">
      <w:pPr>
        <w:pStyle w:val="NormalArial"/>
        <w:numPr>
          <w:ilvl w:val="0"/>
          <w:numId w:val="8"/>
        </w:numPr>
        <w:spacing w:before="120" w:after="120"/>
        <w:ind w:left="360"/>
        <w:rPr>
          <w:rFonts w:cs="Arial"/>
          <w:b/>
          <w:bCs/>
          <w:u w:val="single"/>
        </w:rPr>
      </w:pPr>
      <w:r w:rsidRPr="00BE48EF">
        <w:rPr>
          <w:rFonts w:cs="Arial"/>
          <w:b/>
          <w:bCs/>
          <w:u w:val="single"/>
        </w:rPr>
        <w:t>A</w:t>
      </w:r>
      <w:r w:rsidR="00C36728">
        <w:rPr>
          <w:rFonts w:cs="Arial"/>
          <w:b/>
          <w:bCs/>
          <w:u w:val="single"/>
        </w:rPr>
        <w:t>n extended</w:t>
      </w:r>
      <w:r w:rsidRPr="00BE48EF">
        <w:rPr>
          <w:rFonts w:cs="Arial"/>
          <w:b/>
          <w:bCs/>
          <w:u w:val="single"/>
        </w:rPr>
        <w:t xml:space="preserve"> duration requirement </w:t>
      </w:r>
      <w:r w:rsidR="005801E6">
        <w:rPr>
          <w:rFonts w:cs="Arial"/>
          <w:b/>
          <w:bCs/>
          <w:u w:val="single"/>
        </w:rPr>
        <w:t xml:space="preserve">for </w:t>
      </w:r>
      <w:r w:rsidR="00CF1C5F">
        <w:rPr>
          <w:rFonts w:cs="Arial"/>
          <w:b/>
          <w:bCs/>
          <w:u w:val="single"/>
        </w:rPr>
        <w:t>N</w:t>
      </w:r>
      <w:r w:rsidR="003E3AF4">
        <w:rPr>
          <w:rFonts w:cs="Arial"/>
          <w:b/>
          <w:bCs/>
          <w:u w:val="single"/>
        </w:rPr>
        <w:t>on-Spin</w:t>
      </w:r>
      <w:r w:rsidR="005801E6">
        <w:rPr>
          <w:rFonts w:cs="Arial"/>
          <w:b/>
          <w:bCs/>
          <w:u w:val="single"/>
        </w:rPr>
        <w:t xml:space="preserve"> shifts the existing paradigm wherein a QSE or Resource </w:t>
      </w:r>
      <w:r w:rsidR="00A948A9">
        <w:rPr>
          <w:rFonts w:cs="Arial"/>
          <w:b/>
          <w:bCs/>
          <w:u w:val="single"/>
        </w:rPr>
        <w:t>manages their own risk</w:t>
      </w:r>
      <w:r w:rsidR="00854E95">
        <w:rPr>
          <w:rFonts w:cs="Arial"/>
          <w:b/>
          <w:bCs/>
          <w:u w:val="single"/>
        </w:rPr>
        <w:t xml:space="preserve"> for existing </w:t>
      </w:r>
      <w:r w:rsidR="003E3AF4">
        <w:rPr>
          <w:rFonts w:cs="Arial"/>
          <w:b/>
          <w:bCs/>
          <w:u w:val="single"/>
        </w:rPr>
        <w:t>A</w:t>
      </w:r>
      <w:r w:rsidR="00854E95">
        <w:rPr>
          <w:rFonts w:cs="Arial"/>
          <w:b/>
          <w:bCs/>
          <w:u w:val="single"/>
        </w:rPr>
        <w:t xml:space="preserve">ncillary </w:t>
      </w:r>
      <w:r w:rsidR="003E3AF4">
        <w:rPr>
          <w:rFonts w:cs="Arial"/>
          <w:b/>
          <w:bCs/>
          <w:u w:val="single"/>
        </w:rPr>
        <w:t>S</w:t>
      </w:r>
      <w:r w:rsidR="00854E95">
        <w:rPr>
          <w:rFonts w:cs="Arial"/>
          <w:b/>
          <w:bCs/>
          <w:u w:val="single"/>
        </w:rPr>
        <w:t xml:space="preserve">ervice </w:t>
      </w:r>
      <w:r w:rsidR="003E3AF4">
        <w:rPr>
          <w:rFonts w:cs="Arial"/>
          <w:b/>
          <w:bCs/>
          <w:u w:val="single"/>
        </w:rPr>
        <w:t>O</w:t>
      </w:r>
      <w:r w:rsidR="00854E95">
        <w:rPr>
          <w:rFonts w:cs="Arial"/>
          <w:b/>
          <w:bCs/>
          <w:u w:val="single"/>
        </w:rPr>
        <w:t>bligations</w:t>
      </w:r>
      <w:r w:rsidR="00A948A9">
        <w:rPr>
          <w:rFonts w:cs="Arial"/>
          <w:b/>
          <w:bCs/>
          <w:u w:val="single"/>
        </w:rPr>
        <w:t xml:space="preserve">. </w:t>
      </w:r>
      <w:r w:rsidR="005801E6">
        <w:rPr>
          <w:rFonts w:cs="Arial"/>
          <w:b/>
          <w:bCs/>
          <w:u w:val="single"/>
        </w:rPr>
        <w:t xml:space="preserve"> </w:t>
      </w:r>
    </w:p>
    <w:p w14:paraId="59397C12" w14:textId="1319DBDE" w:rsidR="000078AD" w:rsidRDefault="00EB0F19" w:rsidP="00C216EA">
      <w:pPr>
        <w:pStyle w:val="NormalArial"/>
        <w:spacing w:before="120" w:after="120"/>
        <w:rPr>
          <w:rFonts w:cs="Arial"/>
        </w:rPr>
      </w:pPr>
      <w:r w:rsidRPr="00EB0F19">
        <w:rPr>
          <w:rFonts w:cs="Arial"/>
        </w:rPr>
        <w:t xml:space="preserve">Currently, </w:t>
      </w:r>
      <w:r w:rsidR="00971C25">
        <w:rPr>
          <w:rFonts w:cs="Arial"/>
        </w:rPr>
        <w:t xml:space="preserve">in order to provide </w:t>
      </w:r>
      <w:r w:rsidR="00CF1C5F">
        <w:rPr>
          <w:rFonts w:cs="Arial"/>
        </w:rPr>
        <w:t>Non-Spin service</w:t>
      </w:r>
      <w:r w:rsidR="00971C25">
        <w:rPr>
          <w:rFonts w:cs="Arial"/>
        </w:rPr>
        <w:t xml:space="preserve">, </w:t>
      </w:r>
      <w:r w:rsidR="003E3AF4">
        <w:rPr>
          <w:rFonts w:cs="Arial"/>
        </w:rPr>
        <w:t>R</w:t>
      </w:r>
      <w:r w:rsidR="00971C25">
        <w:rPr>
          <w:rFonts w:cs="Arial"/>
        </w:rPr>
        <w:t>esources</w:t>
      </w:r>
      <w:r w:rsidR="00B96FD3">
        <w:rPr>
          <w:rFonts w:cs="Arial"/>
        </w:rPr>
        <w:t xml:space="preserve"> offer into the </w:t>
      </w:r>
      <w:r w:rsidR="007614B6">
        <w:rPr>
          <w:rFonts w:cs="Arial"/>
        </w:rPr>
        <w:t>Day-Ahead Market</w:t>
      </w:r>
      <w:r w:rsidR="003E3AF4">
        <w:rPr>
          <w:rFonts w:cs="Arial"/>
        </w:rPr>
        <w:t xml:space="preserve"> (DAM)</w:t>
      </w:r>
      <w:r w:rsidR="00436AB8">
        <w:rPr>
          <w:rFonts w:cs="Arial"/>
        </w:rPr>
        <w:t>,</w:t>
      </w:r>
      <w:r w:rsidR="007614B6">
        <w:rPr>
          <w:rFonts w:cs="Arial"/>
        </w:rPr>
        <w:t xml:space="preserve"> to be awarded and paid on a</w:t>
      </w:r>
      <w:r w:rsidR="00436AB8">
        <w:rPr>
          <w:rFonts w:cs="Arial"/>
        </w:rPr>
        <w:t xml:space="preserve"> basis of hourly awards</w:t>
      </w:r>
      <w:r w:rsidR="007614B6">
        <w:rPr>
          <w:rFonts w:cs="Arial"/>
        </w:rPr>
        <w:t xml:space="preserve">. </w:t>
      </w:r>
      <w:r w:rsidR="003E3AF4">
        <w:rPr>
          <w:rFonts w:cs="Arial"/>
        </w:rPr>
        <w:t xml:space="preserve"> </w:t>
      </w:r>
      <w:r w:rsidR="007614B6">
        <w:rPr>
          <w:rFonts w:cs="Arial"/>
        </w:rPr>
        <w:t xml:space="preserve">Thus, a </w:t>
      </w:r>
      <w:r w:rsidR="003E3AF4">
        <w:rPr>
          <w:rFonts w:cs="Arial"/>
        </w:rPr>
        <w:t>R</w:t>
      </w:r>
      <w:r w:rsidR="00385046">
        <w:rPr>
          <w:rFonts w:cs="Arial"/>
        </w:rPr>
        <w:t>esource</w:t>
      </w:r>
      <w:r w:rsidR="007614B6">
        <w:rPr>
          <w:rFonts w:cs="Arial"/>
        </w:rPr>
        <w:t xml:space="preserve"> providing Non-Spin</w:t>
      </w:r>
      <w:r w:rsidR="00971C25">
        <w:rPr>
          <w:rFonts w:cs="Arial"/>
        </w:rPr>
        <w:t xml:space="preserve"> currently</w:t>
      </w:r>
      <w:r w:rsidR="00385046">
        <w:rPr>
          <w:rFonts w:cs="Arial"/>
        </w:rPr>
        <w:t xml:space="preserve"> qualifi</w:t>
      </w:r>
      <w:r w:rsidR="009A0248">
        <w:rPr>
          <w:rFonts w:cs="Arial"/>
        </w:rPr>
        <w:t xml:space="preserve">es to provide </w:t>
      </w:r>
      <w:r w:rsidR="007614B6">
        <w:rPr>
          <w:rFonts w:cs="Arial"/>
        </w:rPr>
        <w:t>Non-Spin by</w:t>
      </w:r>
      <w:r w:rsidR="009A0248">
        <w:rPr>
          <w:rFonts w:cs="Arial"/>
        </w:rPr>
        <w:t xml:space="preserve"> testing </w:t>
      </w:r>
      <w:r w:rsidR="007614B6">
        <w:rPr>
          <w:rFonts w:cs="Arial"/>
        </w:rPr>
        <w:t>its capacity for one hour</w:t>
      </w:r>
      <w:r w:rsidR="0080272E">
        <w:rPr>
          <w:rFonts w:cs="Arial"/>
        </w:rPr>
        <w:t xml:space="preserve">. </w:t>
      </w:r>
      <w:r w:rsidR="003E3AF4">
        <w:rPr>
          <w:rFonts w:cs="Arial"/>
        </w:rPr>
        <w:t xml:space="preserve"> </w:t>
      </w:r>
      <w:r w:rsidR="00D44766">
        <w:rPr>
          <w:rFonts w:cs="Arial"/>
        </w:rPr>
        <w:t xml:space="preserve">If and when a </w:t>
      </w:r>
      <w:r w:rsidR="003E3AF4">
        <w:rPr>
          <w:rFonts w:cs="Arial"/>
        </w:rPr>
        <w:t>R</w:t>
      </w:r>
      <w:r w:rsidR="00D44766">
        <w:rPr>
          <w:rFonts w:cs="Arial"/>
        </w:rPr>
        <w:t xml:space="preserve">esource is awarded Non-Spin, that </w:t>
      </w:r>
      <w:r w:rsidR="00A948A9">
        <w:rPr>
          <w:rFonts w:cs="Arial"/>
        </w:rPr>
        <w:t>award is paid out</w:t>
      </w:r>
      <w:r w:rsidR="00D44766">
        <w:rPr>
          <w:rFonts w:cs="Arial"/>
        </w:rPr>
        <w:t xml:space="preserve"> on</w:t>
      </w:r>
      <w:r w:rsidR="00436AB8">
        <w:rPr>
          <w:rFonts w:cs="Arial"/>
        </w:rPr>
        <w:t xml:space="preserve"> an hourly basis, by the hour it was awarded for,</w:t>
      </w:r>
      <w:r w:rsidR="00D44766">
        <w:rPr>
          <w:rFonts w:cs="Arial"/>
        </w:rPr>
        <w:t xml:space="preserve"> to ensure that the Resource is pa</w:t>
      </w:r>
      <w:r w:rsidR="00337FB8">
        <w:rPr>
          <w:rFonts w:cs="Arial"/>
        </w:rPr>
        <w:t>id</w:t>
      </w:r>
      <w:r w:rsidR="00D44766">
        <w:rPr>
          <w:rFonts w:cs="Arial"/>
        </w:rPr>
        <w:t xml:space="preserve"> for providing Non-Spin </w:t>
      </w:r>
      <w:r w:rsidR="000078AD">
        <w:rPr>
          <w:rFonts w:cs="Arial"/>
        </w:rPr>
        <w:t xml:space="preserve">for </w:t>
      </w:r>
      <w:r w:rsidR="00D44766">
        <w:rPr>
          <w:rFonts w:cs="Arial"/>
        </w:rPr>
        <w:t xml:space="preserve">each hour that it does so. </w:t>
      </w:r>
      <w:r w:rsidR="003E3AF4">
        <w:rPr>
          <w:rFonts w:cs="Arial"/>
        </w:rPr>
        <w:t xml:space="preserve"> </w:t>
      </w:r>
      <w:r w:rsidR="00C97F26">
        <w:rPr>
          <w:rFonts w:cs="Arial"/>
        </w:rPr>
        <w:t>Passage of NPRR1096 implies that</w:t>
      </w:r>
      <w:r w:rsidR="00ED5D4D">
        <w:rPr>
          <w:rFonts w:cs="Arial"/>
        </w:rPr>
        <w:t>, for Non-Spin,</w:t>
      </w:r>
      <w:r w:rsidR="00C97F26">
        <w:rPr>
          <w:rFonts w:cs="Arial"/>
        </w:rPr>
        <w:t xml:space="preserve"> a </w:t>
      </w:r>
      <w:r w:rsidR="003E3AF4">
        <w:rPr>
          <w:rFonts w:cs="Arial"/>
        </w:rPr>
        <w:t>R</w:t>
      </w:r>
      <w:r w:rsidR="00C97F26">
        <w:rPr>
          <w:rFonts w:cs="Arial"/>
        </w:rPr>
        <w:t xml:space="preserve">esource may be </w:t>
      </w:r>
      <w:r w:rsidR="00541F56">
        <w:rPr>
          <w:rFonts w:cs="Arial"/>
        </w:rPr>
        <w:t>required to carry</w:t>
      </w:r>
      <w:r w:rsidR="00C97F26">
        <w:rPr>
          <w:rFonts w:cs="Arial"/>
        </w:rPr>
        <w:t xml:space="preserve"> four times the amount of capacity it is being paid to provide, in the hour it is awarded</w:t>
      </w:r>
      <w:r w:rsidR="00AD5C52">
        <w:rPr>
          <w:rFonts w:cs="Arial"/>
        </w:rPr>
        <w:t xml:space="preserve">. </w:t>
      </w:r>
      <w:r w:rsidR="003E3AF4">
        <w:rPr>
          <w:rFonts w:cs="Arial"/>
        </w:rPr>
        <w:t xml:space="preserve"> </w:t>
      </w:r>
      <w:r w:rsidR="001A59E3">
        <w:rPr>
          <w:rFonts w:cs="Arial"/>
        </w:rPr>
        <w:t>This change will be made</w:t>
      </w:r>
      <w:r w:rsidR="0034799F">
        <w:rPr>
          <w:rFonts w:cs="Arial"/>
        </w:rPr>
        <w:t xml:space="preserve"> with no </w:t>
      </w:r>
      <w:r w:rsidR="001A59E3">
        <w:rPr>
          <w:rFonts w:cs="Arial"/>
        </w:rPr>
        <w:t xml:space="preserve">additional </w:t>
      </w:r>
      <w:r w:rsidR="0034799F">
        <w:rPr>
          <w:rFonts w:cs="Arial"/>
        </w:rPr>
        <w:t>incentive or payment to carry capacity beyond that hour</w:t>
      </w:r>
      <w:r w:rsidR="001A59E3">
        <w:rPr>
          <w:rFonts w:cs="Arial"/>
        </w:rPr>
        <w:t xml:space="preserve">, although the past and current </w:t>
      </w:r>
      <w:r w:rsidR="002809DA">
        <w:rPr>
          <w:rFonts w:cs="Arial"/>
        </w:rPr>
        <w:t>rule</w:t>
      </w:r>
      <w:r w:rsidR="000A3A4D">
        <w:rPr>
          <w:rFonts w:cs="Arial"/>
        </w:rPr>
        <w:t>s</w:t>
      </w:r>
      <w:r w:rsidR="002809DA">
        <w:rPr>
          <w:rFonts w:cs="Arial"/>
        </w:rPr>
        <w:t xml:space="preserve"> for Non-Spin require a </w:t>
      </w:r>
      <w:r w:rsidR="003E3AF4">
        <w:rPr>
          <w:rFonts w:cs="Arial"/>
        </w:rPr>
        <w:t>R</w:t>
      </w:r>
      <w:r w:rsidR="002809DA">
        <w:rPr>
          <w:rFonts w:cs="Arial"/>
        </w:rPr>
        <w:t xml:space="preserve">esource to carry one hour of capacity per one hour award. </w:t>
      </w:r>
    </w:p>
    <w:p w14:paraId="40ED8044" w14:textId="440E4939" w:rsidR="00556AED" w:rsidRDefault="00D44766" w:rsidP="00C216EA">
      <w:pPr>
        <w:pStyle w:val="NormalArial"/>
        <w:spacing w:before="120" w:after="120"/>
        <w:rPr>
          <w:rFonts w:cs="Arial"/>
        </w:rPr>
      </w:pPr>
      <w:r>
        <w:rPr>
          <w:rFonts w:cs="Arial"/>
        </w:rPr>
        <w:t>Currently, a</w:t>
      </w:r>
      <w:r w:rsidR="00EB0F19" w:rsidRPr="00EB0F19">
        <w:rPr>
          <w:rFonts w:cs="Arial"/>
        </w:rPr>
        <w:t xml:space="preserve"> QSE</w:t>
      </w:r>
      <w:r>
        <w:rPr>
          <w:rFonts w:cs="Arial"/>
        </w:rPr>
        <w:t xml:space="preserve"> </w:t>
      </w:r>
      <w:r w:rsidR="00337FB8">
        <w:rPr>
          <w:rFonts w:cs="Arial"/>
        </w:rPr>
        <w:t>scheduling</w:t>
      </w:r>
      <w:r>
        <w:rPr>
          <w:rFonts w:cs="Arial"/>
        </w:rPr>
        <w:t xml:space="preserve"> its </w:t>
      </w:r>
      <w:r w:rsidR="003E3AF4">
        <w:rPr>
          <w:rFonts w:cs="Arial"/>
        </w:rPr>
        <w:t>R</w:t>
      </w:r>
      <w:r>
        <w:rPr>
          <w:rFonts w:cs="Arial"/>
        </w:rPr>
        <w:t>esource(s)</w:t>
      </w:r>
      <w:r w:rsidR="00EB0F19" w:rsidRPr="00EB0F19">
        <w:rPr>
          <w:rFonts w:cs="Arial"/>
        </w:rPr>
        <w:t xml:space="preserve"> manages the risk associated with complying with their provision of </w:t>
      </w:r>
      <w:r w:rsidR="003E3AF4">
        <w:rPr>
          <w:rFonts w:cs="Arial"/>
        </w:rPr>
        <w:t>A</w:t>
      </w:r>
      <w:r w:rsidR="00EB0F19" w:rsidRPr="00EB0F19">
        <w:rPr>
          <w:rFonts w:cs="Arial"/>
        </w:rPr>
        <w:t xml:space="preserve">ncillary </w:t>
      </w:r>
      <w:r w:rsidR="003E3AF4">
        <w:rPr>
          <w:rFonts w:cs="Arial"/>
        </w:rPr>
        <w:t>S</w:t>
      </w:r>
      <w:r w:rsidR="00EB0F19" w:rsidRPr="00EB0F19">
        <w:rPr>
          <w:rFonts w:cs="Arial"/>
        </w:rPr>
        <w:t>ervices to that duration</w:t>
      </w:r>
      <w:r w:rsidR="00BE48EF">
        <w:rPr>
          <w:rFonts w:cs="Arial"/>
        </w:rPr>
        <w:t>.</w:t>
      </w:r>
      <w:r w:rsidR="00032A5C">
        <w:rPr>
          <w:rFonts w:cs="Arial"/>
        </w:rPr>
        <w:t xml:space="preserve"> </w:t>
      </w:r>
      <w:r w:rsidR="003E3AF4">
        <w:rPr>
          <w:rFonts w:cs="Arial"/>
        </w:rPr>
        <w:t xml:space="preserve"> </w:t>
      </w:r>
      <w:r w:rsidR="00E904A7">
        <w:rPr>
          <w:rFonts w:cs="Arial"/>
        </w:rPr>
        <w:t>For example, if a</w:t>
      </w:r>
      <w:r w:rsidR="00032A5C">
        <w:rPr>
          <w:rFonts w:cs="Arial"/>
        </w:rPr>
        <w:t xml:space="preserve"> QSE were to offer four hours of Non-Spin, and those were called</w:t>
      </w:r>
      <w:r w:rsidR="00E904A7">
        <w:rPr>
          <w:rFonts w:cs="Arial"/>
        </w:rPr>
        <w:t>, but</w:t>
      </w:r>
      <w:r w:rsidR="00792C6D">
        <w:rPr>
          <w:rFonts w:cs="Arial"/>
        </w:rPr>
        <w:t xml:space="preserve"> the QSE was only able to offer one hour of Non-Spin, there would be severe monetary and compliance penalties, via the </w:t>
      </w:r>
      <w:r w:rsidR="003E3AF4">
        <w:rPr>
          <w:rFonts w:cs="Arial"/>
        </w:rPr>
        <w:t>Supplemental Ancillary Services Market (</w:t>
      </w:r>
      <w:r w:rsidR="00792C6D">
        <w:rPr>
          <w:rFonts w:cs="Arial"/>
        </w:rPr>
        <w:t>SASM</w:t>
      </w:r>
      <w:r w:rsidR="003E3AF4">
        <w:rPr>
          <w:rFonts w:cs="Arial"/>
        </w:rPr>
        <w:t>)</w:t>
      </w:r>
      <w:r w:rsidR="00792C6D">
        <w:rPr>
          <w:rFonts w:cs="Arial"/>
        </w:rPr>
        <w:t xml:space="preserve"> and</w:t>
      </w:r>
      <w:r w:rsidR="007C6992">
        <w:rPr>
          <w:rFonts w:cs="Arial"/>
        </w:rPr>
        <w:t>/or subsequent</w:t>
      </w:r>
      <w:r w:rsidR="00792C6D">
        <w:rPr>
          <w:rFonts w:cs="Arial"/>
        </w:rPr>
        <w:t xml:space="preserve"> enforcement investigations by the Independent Market Monitor</w:t>
      </w:r>
      <w:r w:rsidR="003E3AF4">
        <w:rPr>
          <w:rFonts w:cs="Arial"/>
        </w:rPr>
        <w:t xml:space="preserve"> (IMM)</w:t>
      </w:r>
      <w:r w:rsidR="008F0F69">
        <w:rPr>
          <w:rFonts w:cs="Arial"/>
        </w:rPr>
        <w:t>, the reliability monitor, and the</w:t>
      </w:r>
      <w:r w:rsidR="00792C6D">
        <w:rPr>
          <w:rFonts w:cs="Arial"/>
        </w:rPr>
        <w:t xml:space="preserve"> </w:t>
      </w:r>
      <w:r w:rsidR="003E3AF4">
        <w:rPr>
          <w:rFonts w:cs="Arial"/>
        </w:rPr>
        <w:t>PUCT</w:t>
      </w:r>
      <w:r w:rsidR="00792C6D">
        <w:rPr>
          <w:rFonts w:cs="Arial"/>
        </w:rPr>
        <w:t xml:space="preserve">.  </w:t>
      </w:r>
      <w:r w:rsidR="00BE48EF">
        <w:rPr>
          <w:rFonts w:cs="Arial"/>
        </w:rPr>
        <w:t xml:space="preserve"> </w:t>
      </w:r>
    </w:p>
    <w:p w14:paraId="31D7A25C" w14:textId="62DE86B2" w:rsidR="00786875" w:rsidRDefault="002C5137" w:rsidP="00C216EA">
      <w:pPr>
        <w:pStyle w:val="NormalArial"/>
        <w:spacing w:before="120" w:after="120"/>
        <w:rPr>
          <w:rFonts w:cs="Arial"/>
        </w:rPr>
      </w:pPr>
      <w:r>
        <w:rPr>
          <w:rFonts w:cs="Arial"/>
        </w:rPr>
        <w:t xml:space="preserve">The benefit of a QSE or </w:t>
      </w:r>
      <w:r w:rsidR="003E3AF4">
        <w:rPr>
          <w:rFonts w:cs="Arial"/>
        </w:rPr>
        <w:t>R</w:t>
      </w:r>
      <w:r>
        <w:rPr>
          <w:rFonts w:cs="Arial"/>
        </w:rPr>
        <w:t xml:space="preserve">esource managing the risk on their own behalf is the ability to optimize </w:t>
      </w:r>
      <w:r w:rsidR="003E3AF4">
        <w:rPr>
          <w:rFonts w:cs="Arial"/>
        </w:rPr>
        <w:t>R</w:t>
      </w:r>
      <w:r>
        <w:rPr>
          <w:rFonts w:cs="Arial"/>
        </w:rPr>
        <w:t>esources in ERCO</w:t>
      </w:r>
      <w:r w:rsidR="00460710">
        <w:rPr>
          <w:rFonts w:cs="Arial"/>
        </w:rPr>
        <w:t>T</w:t>
      </w:r>
      <w:r>
        <w:rPr>
          <w:rFonts w:cs="Arial"/>
        </w:rPr>
        <w:t>.</w:t>
      </w:r>
      <w:r w:rsidR="00567FEB">
        <w:rPr>
          <w:rFonts w:cs="Arial"/>
        </w:rPr>
        <w:t xml:space="preserve"> </w:t>
      </w:r>
      <w:r w:rsidR="003E3AF4">
        <w:rPr>
          <w:rFonts w:cs="Arial"/>
        </w:rPr>
        <w:t xml:space="preserve"> </w:t>
      </w:r>
      <w:r w:rsidR="00460710">
        <w:rPr>
          <w:rFonts w:cs="Arial"/>
        </w:rPr>
        <w:t xml:space="preserve">The </w:t>
      </w:r>
      <w:r w:rsidR="009B0002">
        <w:rPr>
          <w:rFonts w:cs="Arial"/>
        </w:rPr>
        <w:t xml:space="preserve">NPRRs </w:t>
      </w:r>
      <w:r w:rsidR="00772223">
        <w:rPr>
          <w:rFonts w:cs="Arial"/>
        </w:rPr>
        <w:t>providing for Real-</w:t>
      </w:r>
      <w:r w:rsidR="003E3AF4">
        <w:rPr>
          <w:rFonts w:cs="Arial"/>
        </w:rPr>
        <w:t>T</w:t>
      </w:r>
      <w:r w:rsidR="00772223">
        <w:rPr>
          <w:rFonts w:cs="Arial"/>
        </w:rPr>
        <w:t>ime Co-optimization</w:t>
      </w:r>
      <w:r w:rsidR="003E3AF4">
        <w:rPr>
          <w:rFonts w:cs="Arial"/>
        </w:rPr>
        <w:t xml:space="preserve"> (RTC)</w:t>
      </w:r>
      <w:r w:rsidR="00772223">
        <w:rPr>
          <w:rFonts w:cs="Arial"/>
        </w:rPr>
        <w:t xml:space="preserve"> in the ERCOT market </w:t>
      </w:r>
      <w:r w:rsidR="009B0002">
        <w:rPr>
          <w:rFonts w:cs="Arial"/>
        </w:rPr>
        <w:t xml:space="preserve">were </w:t>
      </w:r>
      <w:r w:rsidR="00B86D0D">
        <w:rPr>
          <w:rFonts w:cs="Arial"/>
        </w:rPr>
        <w:t xml:space="preserve">unanimously approved </w:t>
      </w:r>
      <w:r w:rsidR="007C6992">
        <w:rPr>
          <w:rFonts w:cs="Arial"/>
        </w:rPr>
        <w:t xml:space="preserve">in </w:t>
      </w:r>
      <w:r w:rsidR="00B86D0D">
        <w:rPr>
          <w:rFonts w:cs="Arial"/>
        </w:rPr>
        <w:t>2020</w:t>
      </w:r>
      <w:r w:rsidR="00772223">
        <w:rPr>
          <w:rFonts w:cs="Arial"/>
        </w:rPr>
        <w:t>,</w:t>
      </w:r>
      <w:r w:rsidR="00B86D0D">
        <w:rPr>
          <w:rFonts w:cs="Arial"/>
        </w:rPr>
        <w:t xml:space="preserve"> but implementation has been stalled. </w:t>
      </w:r>
      <w:r w:rsidR="003E3AF4">
        <w:rPr>
          <w:rFonts w:cs="Arial"/>
        </w:rPr>
        <w:t xml:space="preserve"> </w:t>
      </w:r>
      <w:r w:rsidR="00B95D8C">
        <w:rPr>
          <w:rFonts w:cs="Arial"/>
        </w:rPr>
        <w:t xml:space="preserve">Implementing </w:t>
      </w:r>
      <w:r w:rsidR="003E3AF4">
        <w:rPr>
          <w:rFonts w:cs="Arial"/>
        </w:rPr>
        <w:t>RTC</w:t>
      </w:r>
      <w:r w:rsidR="00B95D8C">
        <w:rPr>
          <w:rFonts w:cs="Arial"/>
        </w:rPr>
        <w:t xml:space="preserve"> was a long</w:t>
      </w:r>
      <w:r w:rsidR="006B4894">
        <w:rPr>
          <w:rFonts w:cs="Arial"/>
        </w:rPr>
        <w:t>-</w:t>
      </w:r>
      <w:r w:rsidR="00B95D8C">
        <w:rPr>
          <w:rFonts w:cs="Arial"/>
        </w:rPr>
        <w:t xml:space="preserve">time recommendation of ERCOT’s </w:t>
      </w:r>
      <w:r w:rsidR="00772223">
        <w:rPr>
          <w:rFonts w:cs="Arial"/>
        </w:rPr>
        <w:t>IMM</w:t>
      </w:r>
      <w:r w:rsidR="00B95D8C">
        <w:rPr>
          <w:rFonts w:cs="Arial"/>
        </w:rPr>
        <w:t>, who</w:t>
      </w:r>
      <w:r w:rsidR="0037284D">
        <w:rPr>
          <w:rFonts w:cs="Arial"/>
        </w:rPr>
        <w:t xml:space="preserve"> shortly before</w:t>
      </w:r>
      <w:r w:rsidR="00E50986">
        <w:rPr>
          <w:rFonts w:cs="Arial"/>
        </w:rPr>
        <w:t xml:space="preserve"> the </w:t>
      </w:r>
      <w:r w:rsidR="003E3AF4">
        <w:rPr>
          <w:rFonts w:cs="Arial"/>
        </w:rPr>
        <w:t>PUCT</w:t>
      </w:r>
      <w:r w:rsidR="00E50986">
        <w:rPr>
          <w:rFonts w:cs="Arial"/>
        </w:rPr>
        <w:t>’s</w:t>
      </w:r>
      <w:r w:rsidR="0037284D">
        <w:rPr>
          <w:rFonts w:cs="Arial"/>
        </w:rPr>
        <w:t xml:space="preserve"> approval of </w:t>
      </w:r>
      <w:r w:rsidR="003E3AF4">
        <w:rPr>
          <w:rFonts w:cs="Arial"/>
        </w:rPr>
        <w:t>RTC</w:t>
      </w:r>
      <w:r w:rsidR="0037284D">
        <w:rPr>
          <w:rFonts w:cs="Arial"/>
        </w:rPr>
        <w:t xml:space="preserve">, </w:t>
      </w:r>
      <w:r w:rsidR="00B95D8C">
        <w:rPr>
          <w:rFonts w:cs="Arial"/>
        </w:rPr>
        <w:t xml:space="preserve">stated </w:t>
      </w:r>
      <w:r w:rsidR="0037284D">
        <w:rPr>
          <w:rFonts w:cs="Arial"/>
        </w:rPr>
        <w:t>that</w:t>
      </w:r>
      <w:r w:rsidR="00786875">
        <w:rPr>
          <w:rFonts w:cs="Arial"/>
        </w:rPr>
        <w:t>:</w:t>
      </w:r>
      <w:r w:rsidR="0037284D">
        <w:rPr>
          <w:rFonts w:cs="Arial"/>
        </w:rPr>
        <w:t xml:space="preserve"> </w:t>
      </w:r>
    </w:p>
    <w:p w14:paraId="07224743" w14:textId="49147BA1" w:rsidR="00786875" w:rsidRDefault="00181ADF" w:rsidP="00C216EA">
      <w:pPr>
        <w:pStyle w:val="NormalArial"/>
        <w:spacing w:before="120" w:after="120"/>
        <w:ind w:left="360" w:right="360"/>
        <w:jc w:val="both"/>
      </w:pPr>
      <w:r w:rsidRPr="000B0F33">
        <w:rPr>
          <w:rFonts w:cs="Arial"/>
          <w:i/>
          <w:iCs/>
        </w:rPr>
        <w:t>“</w:t>
      </w:r>
      <w:r w:rsidR="006B4894" w:rsidRPr="000B0F33">
        <w:rPr>
          <w:i/>
          <w:iCs/>
        </w:rPr>
        <w:t>…</w:t>
      </w:r>
      <w:r w:rsidRPr="000B0F33">
        <w:rPr>
          <w:i/>
          <w:iCs/>
        </w:rPr>
        <w:t xml:space="preserve">economic benefits would be achieved by allowing all suppliers to participate fully in ERCOT’s ancillary service markets. Currently, QSEs without large resource portfolios are effectively precluded from participating in ancillary service markets because of the replacement risk they face having to rely on a supplemental ancillary services market (SASM). For all of these reasons, implementing real-time </w:t>
      </w:r>
      <w:r w:rsidRPr="000B0F33">
        <w:rPr>
          <w:i/>
          <w:iCs/>
        </w:rPr>
        <w:lastRenderedPageBreak/>
        <w:t>co-optimization of energy and ancillary services is our highest priority recommendation.</w:t>
      </w:r>
      <w:r w:rsidR="000B0F33" w:rsidRPr="000B0F33">
        <w:rPr>
          <w:i/>
          <w:iCs/>
        </w:rPr>
        <w:t>”</w:t>
      </w:r>
      <w:r w:rsidR="00E470E2" w:rsidRPr="000B0F33">
        <w:rPr>
          <w:rStyle w:val="FootnoteReference"/>
          <w:i/>
          <w:iCs/>
        </w:rPr>
        <w:footnoteReference w:id="1"/>
      </w:r>
      <w:r w:rsidR="006B4894">
        <w:t xml:space="preserve"> </w:t>
      </w:r>
    </w:p>
    <w:p w14:paraId="7897C78B" w14:textId="68065EA7" w:rsidR="002C5137" w:rsidRPr="00BB1BCA" w:rsidRDefault="006B4894" w:rsidP="00C216EA">
      <w:pPr>
        <w:pStyle w:val="NormalArial"/>
        <w:spacing w:before="120" w:after="120"/>
        <w:rPr>
          <w:rFonts w:cs="Arial"/>
        </w:rPr>
      </w:pPr>
      <w:r>
        <w:t>The IMM acknowledge</w:t>
      </w:r>
      <w:r w:rsidR="0009254C">
        <w:t>d</w:t>
      </w:r>
      <w:r>
        <w:t xml:space="preserve"> that the risk of non-performance</w:t>
      </w:r>
      <w:r w:rsidR="00904CC9">
        <w:t xml:space="preserve">, of then existing </w:t>
      </w:r>
      <w:r w:rsidR="003E3AF4">
        <w:t>A</w:t>
      </w:r>
      <w:r w:rsidR="00904CC9">
        <w:t xml:space="preserve">ncillary </w:t>
      </w:r>
      <w:r w:rsidR="003E3AF4">
        <w:t>S</w:t>
      </w:r>
      <w:r w:rsidR="00904CC9">
        <w:t>ervices,</w:t>
      </w:r>
      <w:r>
        <w:t xml:space="preserve"> </w:t>
      </w:r>
      <w:r w:rsidR="0009254C">
        <w:t>wa</w:t>
      </w:r>
      <w:r>
        <w:t xml:space="preserve">s high enough to </w:t>
      </w:r>
      <w:r w:rsidR="0009254C">
        <w:t xml:space="preserve">effectively </w:t>
      </w:r>
      <w:r>
        <w:t xml:space="preserve">preclude participation by QSEs and </w:t>
      </w:r>
      <w:r w:rsidR="003E3AF4">
        <w:t>R</w:t>
      </w:r>
      <w:r>
        <w:t>e</w:t>
      </w:r>
      <w:r w:rsidR="008A6D0B">
        <w:t>sources who c</w:t>
      </w:r>
      <w:r w:rsidR="0009254C">
        <w:t>ould</w:t>
      </w:r>
      <w:r w:rsidR="008A6D0B">
        <w:t xml:space="preserve"> not </w:t>
      </w:r>
      <w:r w:rsidR="0009254C">
        <w:t>adequately</w:t>
      </w:r>
      <w:r w:rsidR="008A6D0B">
        <w:t xml:space="preserve"> meet their </w:t>
      </w:r>
      <w:r w:rsidR="003E3AF4">
        <w:t>A</w:t>
      </w:r>
      <w:r w:rsidR="008A6D0B">
        <w:t xml:space="preserve">ncillary </w:t>
      </w:r>
      <w:r w:rsidR="003E3AF4">
        <w:t>S</w:t>
      </w:r>
      <w:r w:rsidR="008A6D0B">
        <w:t xml:space="preserve">ervice </w:t>
      </w:r>
      <w:r w:rsidR="003E3AF4">
        <w:t>O</w:t>
      </w:r>
      <w:r w:rsidR="008A6D0B">
        <w:t xml:space="preserve">bligations and awards. </w:t>
      </w:r>
      <w:r w:rsidR="003E3AF4">
        <w:t xml:space="preserve"> </w:t>
      </w:r>
      <w:r w:rsidR="009B76E3">
        <w:t>Without</w:t>
      </w:r>
      <w:r w:rsidR="009B76E3" w:rsidRPr="009B76E3">
        <w:t xml:space="preserve"> data that </w:t>
      </w:r>
      <w:r w:rsidR="00786875">
        <w:t>demonstrates that an</w:t>
      </w:r>
      <w:r w:rsidR="009B76E3" w:rsidRPr="009B76E3">
        <w:t xml:space="preserve"> increased </w:t>
      </w:r>
      <w:r w:rsidR="00786875">
        <w:t>presence</w:t>
      </w:r>
      <w:r w:rsidR="009B76E3" w:rsidRPr="009B76E3">
        <w:t xml:space="preserve"> of </w:t>
      </w:r>
      <w:r w:rsidR="009838F3">
        <w:t>limited</w:t>
      </w:r>
      <w:r w:rsidR="009B76E3" w:rsidRPr="009B76E3">
        <w:t xml:space="preserve">-duration </w:t>
      </w:r>
      <w:r w:rsidR="003E3AF4">
        <w:t>R</w:t>
      </w:r>
      <w:r w:rsidR="009B76E3" w:rsidRPr="009B76E3">
        <w:t xml:space="preserve">esources </w:t>
      </w:r>
      <w:r w:rsidR="003E3AF4">
        <w:t>O</w:t>
      </w:r>
      <w:r w:rsidR="009B76E3" w:rsidRPr="009B76E3">
        <w:t>n</w:t>
      </w:r>
      <w:r w:rsidR="003E3AF4">
        <w:t>-L</w:t>
      </w:r>
      <w:r w:rsidR="009B76E3" w:rsidRPr="009B76E3">
        <w:t>ine in ERCOT has led to a corresponding pattern of increased non-</w:t>
      </w:r>
      <w:r w:rsidR="00796A2A">
        <w:t xml:space="preserve">performance of Non-Spin obligation </w:t>
      </w:r>
      <w:r w:rsidR="004A53F7">
        <w:t>occurrences</w:t>
      </w:r>
      <w:r w:rsidR="009B76E3" w:rsidRPr="009B76E3">
        <w:t xml:space="preserve"> that threaten reliability</w:t>
      </w:r>
      <w:r w:rsidR="009B76E3">
        <w:t xml:space="preserve">, it is </w:t>
      </w:r>
      <w:r w:rsidR="00B20B72">
        <w:t>difficult</w:t>
      </w:r>
      <w:r w:rsidR="009B76E3">
        <w:t xml:space="preserve"> to understand why </w:t>
      </w:r>
      <w:r w:rsidR="00E448BC">
        <w:t xml:space="preserve">a longer duration requirement would be imposed on QSEs and </w:t>
      </w:r>
      <w:r w:rsidR="003E3AF4">
        <w:t>R</w:t>
      </w:r>
      <w:r w:rsidR="00E448BC">
        <w:t xml:space="preserve">esources who are already discouraged from participation. </w:t>
      </w:r>
    </w:p>
    <w:p w14:paraId="2EE17FE1" w14:textId="66F74A69" w:rsidR="0066630D" w:rsidRPr="00BB1BCA" w:rsidRDefault="00052903" w:rsidP="00C216EA">
      <w:pPr>
        <w:pStyle w:val="NormalArial"/>
        <w:spacing w:before="120" w:after="120"/>
        <w:rPr>
          <w:rFonts w:cs="Arial"/>
        </w:rPr>
      </w:pPr>
      <w:r w:rsidRPr="00052903">
        <w:rPr>
          <w:rFonts w:cs="Arial"/>
        </w:rPr>
        <w:t>ERCOT stated that</w:t>
      </w:r>
      <w:r w:rsidR="003E3AF4">
        <w:rPr>
          <w:rFonts w:cs="Arial"/>
        </w:rPr>
        <w:t>,</w:t>
      </w:r>
      <w:r w:rsidRPr="00052903">
        <w:rPr>
          <w:rFonts w:cs="Arial"/>
        </w:rPr>
        <w:t xml:space="preserve"> “relying on Market Participants to self-regulate this presents ERCOT with an unacceptable risk.”</w:t>
      </w:r>
      <w:r w:rsidR="003E3AF4">
        <w:rPr>
          <w:rFonts w:cs="Arial"/>
        </w:rPr>
        <w:t xml:space="preserve"> </w:t>
      </w:r>
      <w:r w:rsidR="008551A4">
        <w:rPr>
          <w:rFonts w:cs="Arial"/>
        </w:rPr>
        <w:t xml:space="preserve"> </w:t>
      </w:r>
      <w:r w:rsidR="00164A69">
        <w:rPr>
          <w:rFonts w:cs="Arial"/>
        </w:rPr>
        <w:t xml:space="preserve">However, there are additionally NERC standards in place that monitor reliability risk. </w:t>
      </w:r>
      <w:r w:rsidR="003E3AF4">
        <w:rPr>
          <w:rFonts w:cs="Arial"/>
        </w:rPr>
        <w:t xml:space="preserve"> </w:t>
      </w:r>
      <w:r w:rsidR="0066630D" w:rsidRPr="004C22B2">
        <w:rPr>
          <w:rFonts w:cs="Arial"/>
        </w:rPr>
        <w:t xml:space="preserve">NERC’s BAL-002 requires ERCOT to recover </w:t>
      </w:r>
      <w:r w:rsidR="003E3AF4" w:rsidRPr="003E3AF4">
        <w:rPr>
          <w:rFonts w:cs="Arial"/>
        </w:rPr>
        <w:t>Physical Responsive Capability</w:t>
      </w:r>
      <w:r w:rsidR="003E3AF4">
        <w:rPr>
          <w:rFonts w:cs="Arial"/>
        </w:rPr>
        <w:t xml:space="preserve"> (</w:t>
      </w:r>
      <w:r w:rsidR="0066630D" w:rsidRPr="004C22B2">
        <w:rPr>
          <w:rFonts w:cs="Arial"/>
        </w:rPr>
        <w:t>PRC</w:t>
      </w:r>
      <w:r w:rsidR="003E3AF4">
        <w:rPr>
          <w:rFonts w:cs="Arial"/>
        </w:rPr>
        <w:t>)</w:t>
      </w:r>
      <w:r w:rsidR="0066630D" w:rsidRPr="004C22B2">
        <w:rPr>
          <w:rFonts w:cs="Arial"/>
        </w:rPr>
        <w:t xml:space="preserve"> within 90 minutes.</w:t>
      </w:r>
      <w:r w:rsidR="00017CA3">
        <w:rPr>
          <w:rFonts w:cs="Arial"/>
        </w:rPr>
        <w:t xml:space="preserve"> </w:t>
      </w:r>
      <w:r w:rsidR="003E3AF4">
        <w:rPr>
          <w:rFonts w:cs="Arial"/>
        </w:rPr>
        <w:t xml:space="preserve"> </w:t>
      </w:r>
      <w:r w:rsidR="0066630D" w:rsidRPr="00BB1BCA">
        <w:rPr>
          <w:rFonts w:cs="Arial"/>
        </w:rPr>
        <w:t>NERC BAL-002-3 requires that a Balancing Authority return its system area control error to zero or its pre-contingency value.</w:t>
      </w:r>
      <w:r w:rsidR="00017CA3">
        <w:rPr>
          <w:rFonts w:cs="Arial"/>
        </w:rPr>
        <w:t xml:space="preserve"> </w:t>
      </w:r>
      <w:r w:rsidR="003E3AF4">
        <w:rPr>
          <w:rFonts w:cs="Arial"/>
        </w:rPr>
        <w:t xml:space="preserve"> </w:t>
      </w:r>
      <w:r w:rsidR="001B7B9D">
        <w:rPr>
          <w:rFonts w:cs="Arial"/>
        </w:rPr>
        <w:t>T</w:t>
      </w:r>
      <w:r w:rsidR="00C13B01">
        <w:rPr>
          <w:rFonts w:cs="Arial"/>
        </w:rPr>
        <w:t>o</w:t>
      </w:r>
      <w:r w:rsidR="001B7B9D">
        <w:rPr>
          <w:rFonts w:cs="Arial"/>
        </w:rPr>
        <w:t xml:space="preserve"> date</w:t>
      </w:r>
      <w:r w:rsidR="00605147">
        <w:rPr>
          <w:rFonts w:cs="Arial"/>
        </w:rPr>
        <w:t xml:space="preserve"> </w:t>
      </w:r>
      <w:r w:rsidR="0066630D" w:rsidRPr="00BB1BCA">
        <w:rPr>
          <w:rFonts w:cs="Arial"/>
        </w:rPr>
        <w:t xml:space="preserve">NERC has a clear definition for Contingency Reserves but there is not a </w:t>
      </w:r>
      <w:r w:rsidR="001B7B9D">
        <w:rPr>
          <w:rFonts w:cs="Arial"/>
        </w:rPr>
        <w:t xml:space="preserve">NERC </w:t>
      </w:r>
      <w:r w:rsidR="0066630D" w:rsidRPr="00BB1BCA">
        <w:rPr>
          <w:rFonts w:cs="Arial"/>
        </w:rPr>
        <w:t xml:space="preserve">standard addressing Non-Spin Reserves. </w:t>
      </w:r>
      <w:r w:rsidR="003E3AF4">
        <w:rPr>
          <w:rFonts w:cs="Arial"/>
        </w:rPr>
        <w:t xml:space="preserve"> </w:t>
      </w:r>
      <w:r w:rsidR="0066630D" w:rsidRPr="00BB1BCA">
        <w:rPr>
          <w:rFonts w:cs="Arial"/>
        </w:rPr>
        <w:t>The BAL-002 Standard requires that the Balancing Authority’s area control error be returned to zero or its pre-contingency value within 15 minutes and the BA’s contingency reserves be returned in 90 minutes.</w:t>
      </w:r>
      <w:r w:rsidR="00D71391">
        <w:rPr>
          <w:rFonts w:cs="Arial"/>
        </w:rPr>
        <w:t xml:space="preserve"> As such, a</w:t>
      </w:r>
      <w:r w:rsidR="00CF1C5F">
        <w:rPr>
          <w:rFonts w:cs="Arial"/>
        </w:rPr>
        <w:t xml:space="preserve"> duration requirement longer than </w:t>
      </w:r>
      <w:r w:rsidR="00D71391">
        <w:rPr>
          <w:rFonts w:cs="Arial"/>
        </w:rPr>
        <w:t>90 minute</w:t>
      </w:r>
      <w:r w:rsidR="00CF1C5F">
        <w:rPr>
          <w:rFonts w:cs="Arial"/>
        </w:rPr>
        <w:t xml:space="preserve">s, such as </w:t>
      </w:r>
      <w:r w:rsidR="00B765B8">
        <w:rPr>
          <w:rFonts w:cs="Arial"/>
        </w:rPr>
        <w:t>two hours</w:t>
      </w:r>
      <w:r w:rsidR="00B748FB">
        <w:rPr>
          <w:rFonts w:cs="Arial"/>
        </w:rPr>
        <w:t>,</w:t>
      </w:r>
      <w:r w:rsidR="00B765B8">
        <w:rPr>
          <w:rFonts w:cs="Arial"/>
        </w:rPr>
        <w:t xml:space="preserve"> seems relevant for Contingency Reserves, or ECRS.</w:t>
      </w:r>
      <w:r w:rsidR="00753E41" w:rsidRPr="00753E41">
        <w:rPr>
          <w:rFonts w:cs="Arial"/>
        </w:rPr>
        <w:t xml:space="preserve"> </w:t>
      </w:r>
      <w:r w:rsidR="003E3AF4">
        <w:rPr>
          <w:rFonts w:cs="Arial"/>
        </w:rPr>
        <w:t xml:space="preserve"> </w:t>
      </w:r>
      <w:r w:rsidR="00B765B8">
        <w:rPr>
          <w:rFonts w:cs="Arial"/>
        </w:rPr>
        <w:t xml:space="preserve">However, as </w:t>
      </w:r>
      <w:r w:rsidR="00753E41" w:rsidRPr="00753E41">
        <w:rPr>
          <w:rFonts w:cs="Arial"/>
        </w:rPr>
        <w:t>ERCOT as a Balancing Authority has not been cited by the TRE for any violations of the BAL-002-3 Standard</w:t>
      </w:r>
      <w:r w:rsidR="00337696">
        <w:rPr>
          <w:rFonts w:cs="Arial"/>
        </w:rPr>
        <w:t xml:space="preserve">, it </w:t>
      </w:r>
      <w:r w:rsidR="00BC2E79">
        <w:rPr>
          <w:rFonts w:cs="Arial"/>
        </w:rPr>
        <w:t>do</w:t>
      </w:r>
      <w:r w:rsidR="00CF1C5F">
        <w:rPr>
          <w:rFonts w:cs="Arial"/>
        </w:rPr>
        <w:t xml:space="preserve">es </w:t>
      </w:r>
      <w:r w:rsidR="00BC2E79">
        <w:rPr>
          <w:rFonts w:cs="Arial"/>
        </w:rPr>
        <w:t xml:space="preserve">not seem to </w:t>
      </w:r>
      <w:r w:rsidR="00337696">
        <w:rPr>
          <w:rFonts w:cs="Arial"/>
        </w:rPr>
        <w:t xml:space="preserve">reason that </w:t>
      </w:r>
      <w:r w:rsidR="00A96600">
        <w:rPr>
          <w:rFonts w:cs="Arial"/>
        </w:rPr>
        <w:t xml:space="preserve">a </w:t>
      </w:r>
      <w:r w:rsidR="00CF1C5F">
        <w:rPr>
          <w:rFonts w:cs="Arial"/>
        </w:rPr>
        <w:t xml:space="preserve">requirement that is significantly </w:t>
      </w:r>
      <w:r w:rsidR="00A96600">
        <w:rPr>
          <w:rFonts w:cs="Arial"/>
        </w:rPr>
        <w:t xml:space="preserve">much longer than </w:t>
      </w:r>
      <w:r w:rsidR="00337696">
        <w:rPr>
          <w:rFonts w:cs="Arial"/>
        </w:rPr>
        <w:t>90 minute</w:t>
      </w:r>
      <w:r w:rsidR="00CF1C5F">
        <w:rPr>
          <w:rFonts w:cs="Arial"/>
        </w:rPr>
        <w:t xml:space="preserve">s </w:t>
      </w:r>
      <w:r w:rsidR="00BC2E79">
        <w:rPr>
          <w:rFonts w:cs="Arial"/>
        </w:rPr>
        <w:t>i</w:t>
      </w:r>
      <w:r w:rsidR="00B748FB">
        <w:rPr>
          <w:rFonts w:cs="Arial"/>
        </w:rPr>
        <w:t>s</w:t>
      </w:r>
      <w:r w:rsidR="00BC2E79">
        <w:rPr>
          <w:rFonts w:cs="Arial"/>
        </w:rPr>
        <w:t xml:space="preserve"> necessary</w:t>
      </w:r>
      <w:r w:rsidR="00337696">
        <w:rPr>
          <w:rFonts w:cs="Arial"/>
        </w:rPr>
        <w:t xml:space="preserve"> fo</w:t>
      </w:r>
      <w:r w:rsidR="00A77AD0">
        <w:rPr>
          <w:rFonts w:cs="Arial"/>
        </w:rPr>
        <w:t xml:space="preserve">r </w:t>
      </w:r>
      <w:r w:rsidR="009D4188">
        <w:rPr>
          <w:rFonts w:cs="Arial"/>
        </w:rPr>
        <w:t>reserves</w:t>
      </w:r>
      <w:r w:rsidR="00A77AD0">
        <w:rPr>
          <w:rFonts w:cs="Arial"/>
        </w:rPr>
        <w:t xml:space="preserve"> provided by Non-Spin</w:t>
      </w:r>
      <w:r w:rsidR="00BC2E79">
        <w:rPr>
          <w:rFonts w:cs="Arial"/>
        </w:rPr>
        <w:t xml:space="preserve">, </w:t>
      </w:r>
      <w:r w:rsidR="00B748FB">
        <w:rPr>
          <w:rFonts w:cs="Arial"/>
        </w:rPr>
        <w:t xml:space="preserve">especially in </w:t>
      </w:r>
      <w:r w:rsidR="00BC2E79">
        <w:rPr>
          <w:rFonts w:cs="Arial"/>
        </w:rPr>
        <w:t>addition to a new specific Contingency Reserve Service.</w:t>
      </w:r>
      <w:r w:rsidR="00A77AD0">
        <w:rPr>
          <w:rFonts w:cs="Arial"/>
        </w:rPr>
        <w:t xml:space="preserve"> </w:t>
      </w:r>
    </w:p>
    <w:p w14:paraId="28E59DBD" w14:textId="162C2DFA" w:rsidR="00F673F6" w:rsidRPr="000569E3" w:rsidRDefault="009274FB" w:rsidP="00C216EA">
      <w:pPr>
        <w:pStyle w:val="NormalArial"/>
        <w:numPr>
          <w:ilvl w:val="0"/>
          <w:numId w:val="8"/>
        </w:numPr>
        <w:spacing w:before="120" w:after="120"/>
        <w:ind w:left="360"/>
        <w:rPr>
          <w:rFonts w:cs="Arial"/>
          <w:b/>
          <w:bCs/>
          <w:u w:val="single"/>
        </w:rPr>
      </w:pPr>
      <w:r w:rsidRPr="000569E3">
        <w:rPr>
          <w:rFonts w:cs="Arial"/>
          <w:b/>
          <w:bCs/>
          <w:u w:val="single"/>
        </w:rPr>
        <w:t>Requiring a longer duration for a</w:t>
      </w:r>
      <w:r w:rsidR="00373283">
        <w:rPr>
          <w:rFonts w:cs="Arial"/>
          <w:b/>
          <w:bCs/>
          <w:u w:val="single"/>
        </w:rPr>
        <w:t>n existing</w:t>
      </w:r>
      <w:r w:rsidRPr="000569E3">
        <w:rPr>
          <w:rFonts w:cs="Arial"/>
          <w:b/>
          <w:bCs/>
          <w:u w:val="single"/>
        </w:rPr>
        <w:t xml:space="preserve"> </w:t>
      </w:r>
      <w:r w:rsidR="00CF1C5F">
        <w:rPr>
          <w:rFonts w:cs="Arial"/>
          <w:b/>
          <w:bCs/>
          <w:u w:val="single"/>
        </w:rPr>
        <w:t>service</w:t>
      </w:r>
      <w:r w:rsidR="00CF1C5F" w:rsidRPr="000569E3">
        <w:rPr>
          <w:rFonts w:cs="Arial"/>
          <w:b/>
          <w:bCs/>
          <w:u w:val="single"/>
        </w:rPr>
        <w:t xml:space="preserve"> </w:t>
      </w:r>
      <w:r w:rsidR="00CF1C5F">
        <w:rPr>
          <w:rFonts w:cs="Arial"/>
          <w:b/>
          <w:bCs/>
          <w:u w:val="single"/>
        </w:rPr>
        <w:t>that is currently awarded on an hourly basis</w:t>
      </w:r>
      <w:r w:rsidRPr="000569E3">
        <w:rPr>
          <w:rFonts w:cs="Arial"/>
          <w:b/>
          <w:bCs/>
          <w:u w:val="single"/>
        </w:rPr>
        <w:t xml:space="preserve"> results in policy that is not technology neutral</w:t>
      </w:r>
      <w:r w:rsidR="00A77AD0">
        <w:rPr>
          <w:rFonts w:cs="Arial"/>
          <w:b/>
          <w:bCs/>
          <w:u w:val="single"/>
        </w:rPr>
        <w:t>.</w:t>
      </w:r>
      <w:r w:rsidRPr="000569E3">
        <w:rPr>
          <w:rFonts w:cs="Arial"/>
          <w:b/>
          <w:bCs/>
          <w:u w:val="single"/>
        </w:rPr>
        <w:t xml:space="preserve"> </w:t>
      </w:r>
    </w:p>
    <w:p w14:paraId="307C5279" w14:textId="72D2C156" w:rsidR="001E058D" w:rsidRDefault="008B031A" w:rsidP="00C216EA">
      <w:pPr>
        <w:pStyle w:val="NormalArial"/>
        <w:spacing w:before="120" w:after="120"/>
        <w:rPr>
          <w:rFonts w:cs="Arial"/>
        </w:rPr>
      </w:pPr>
      <w:r w:rsidRPr="00B21BA8">
        <w:rPr>
          <w:rFonts w:cs="Arial"/>
        </w:rPr>
        <w:t xml:space="preserve">A </w:t>
      </w:r>
      <w:r>
        <w:rPr>
          <w:rFonts w:cs="Arial"/>
        </w:rPr>
        <w:t>four-</w:t>
      </w:r>
      <w:r w:rsidRPr="00B21BA8">
        <w:rPr>
          <w:rFonts w:cs="Arial"/>
        </w:rPr>
        <w:t>hour duration requirement</w:t>
      </w:r>
      <w:r>
        <w:rPr>
          <w:rFonts w:cs="Arial"/>
        </w:rPr>
        <w:t xml:space="preserve"> for </w:t>
      </w:r>
      <w:r w:rsidR="00373283">
        <w:rPr>
          <w:rFonts w:cs="Arial"/>
        </w:rPr>
        <w:t xml:space="preserve">Non-Spin service offered by QSEs representing limited duration resources creates a rule which adversely impacts QSEs which include limited duration resources in their portfolio, compared to QSEs which do not represent such </w:t>
      </w:r>
      <w:r w:rsidR="003E3AF4">
        <w:rPr>
          <w:rFonts w:cs="Arial"/>
        </w:rPr>
        <w:t>R</w:t>
      </w:r>
      <w:r w:rsidR="00373283">
        <w:rPr>
          <w:rFonts w:cs="Arial"/>
        </w:rPr>
        <w:t xml:space="preserve">esources. </w:t>
      </w:r>
      <w:r w:rsidR="003E3AF4">
        <w:rPr>
          <w:rFonts w:cs="Arial"/>
        </w:rPr>
        <w:t xml:space="preserve"> </w:t>
      </w:r>
      <w:r>
        <w:rPr>
          <w:rFonts w:cs="Arial"/>
        </w:rPr>
        <w:t xml:space="preserve">Where </w:t>
      </w:r>
      <w:r w:rsidR="00C47025">
        <w:rPr>
          <w:rFonts w:cs="Arial"/>
        </w:rPr>
        <w:t>a 40MW natural gas</w:t>
      </w:r>
      <w:r>
        <w:rPr>
          <w:rFonts w:cs="Arial"/>
        </w:rPr>
        <w:t xml:space="preserve"> resource may be constrained by fuel</w:t>
      </w:r>
      <w:r w:rsidR="00C47025">
        <w:rPr>
          <w:rFonts w:cs="Arial"/>
        </w:rPr>
        <w:t xml:space="preserve"> supply for</w:t>
      </w:r>
      <w:r>
        <w:rPr>
          <w:rFonts w:cs="Arial"/>
        </w:rPr>
        <w:t xml:space="preserve"> a certain number of hours,</w:t>
      </w:r>
      <w:r w:rsidR="00C33382">
        <w:rPr>
          <w:rFonts w:cs="Arial"/>
        </w:rPr>
        <w:t xml:space="preserve"> only a</w:t>
      </w:r>
      <w:r>
        <w:rPr>
          <w:rFonts w:cs="Arial"/>
        </w:rPr>
        <w:t xml:space="preserve"> </w:t>
      </w:r>
      <w:r w:rsidR="009051ED">
        <w:rPr>
          <w:rFonts w:cs="Arial"/>
        </w:rPr>
        <w:t>4</w:t>
      </w:r>
      <w:r>
        <w:rPr>
          <w:rFonts w:cs="Arial"/>
        </w:rPr>
        <w:t xml:space="preserve">0MW </w:t>
      </w:r>
      <w:r w:rsidR="008B3886">
        <w:rPr>
          <w:rFonts w:cs="Arial"/>
        </w:rPr>
        <w:t xml:space="preserve">battery </w:t>
      </w:r>
      <w:r w:rsidR="009051ED">
        <w:rPr>
          <w:rFonts w:cs="Arial"/>
        </w:rPr>
        <w:t xml:space="preserve">would </w:t>
      </w:r>
      <w:r w:rsidR="00C33382">
        <w:rPr>
          <w:rFonts w:cs="Arial"/>
        </w:rPr>
        <w:t>have its offer derated</w:t>
      </w:r>
      <w:r w:rsidR="009051ED">
        <w:rPr>
          <w:rFonts w:cs="Arial"/>
        </w:rPr>
        <w:t xml:space="preserve"> as if it was a 10MW </w:t>
      </w:r>
      <w:r w:rsidR="003E3AF4">
        <w:rPr>
          <w:rFonts w:cs="Arial"/>
        </w:rPr>
        <w:t>R</w:t>
      </w:r>
      <w:r w:rsidR="00373283">
        <w:rPr>
          <w:rFonts w:cs="Arial"/>
        </w:rPr>
        <w:t>esource</w:t>
      </w:r>
      <w:r w:rsidR="009051ED">
        <w:rPr>
          <w:rFonts w:cs="Arial"/>
        </w:rPr>
        <w:t xml:space="preserve">. </w:t>
      </w:r>
    </w:p>
    <w:p w14:paraId="4E82BD97" w14:textId="2A8A1315" w:rsidR="007523E9" w:rsidRDefault="00A64277" w:rsidP="00C216EA">
      <w:pPr>
        <w:pStyle w:val="NormalArial"/>
        <w:spacing w:before="120" w:after="120"/>
        <w:rPr>
          <w:rFonts w:cs="Arial"/>
        </w:rPr>
      </w:pPr>
      <w:r>
        <w:rPr>
          <w:rFonts w:cs="Arial"/>
        </w:rPr>
        <w:t>ERCOT rules have always provided for a technology-neutral market, with targeted reliability services.</w:t>
      </w:r>
      <w:r w:rsidR="003E3AF4">
        <w:rPr>
          <w:rFonts w:cs="Arial"/>
        </w:rPr>
        <w:t xml:space="preserve"> </w:t>
      </w:r>
      <w:r>
        <w:rPr>
          <w:rFonts w:cs="Arial"/>
        </w:rPr>
        <w:t xml:space="preserve"> </w:t>
      </w:r>
      <w:r w:rsidR="009051ED">
        <w:rPr>
          <w:rFonts w:cs="Arial"/>
        </w:rPr>
        <w:t>S</w:t>
      </w:r>
      <w:r w:rsidR="003020FA">
        <w:rPr>
          <w:rFonts w:cs="Arial"/>
        </w:rPr>
        <w:t>enat</w:t>
      </w:r>
      <w:r w:rsidR="00062A46">
        <w:rPr>
          <w:rFonts w:cs="Arial"/>
        </w:rPr>
        <w:t>e</w:t>
      </w:r>
      <w:r w:rsidR="003020FA">
        <w:rPr>
          <w:rFonts w:cs="Arial"/>
        </w:rPr>
        <w:t xml:space="preserve"> Bill 3, passed in 2021 at the end of the 87</w:t>
      </w:r>
      <w:r w:rsidR="003020FA" w:rsidRPr="003020FA">
        <w:rPr>
          <w:rFonts w:cs="Arial"/>
          <w:vertAlign w:val="superscript"/>
        </w:rPr>
        <w:t>th</w:t>
      </w:r>
      <w:r w:rsidR="003020FA">
        <w:rPr>
          <w:rFonts w:cs="Arial"/>
        </w:rPr>
        <w:t xml:space="preserve"> Regular Session,</w:t>
      </w:r>
      <w:r w:rsidR="009051ED">
        <w:rPr>
          <w:rFonts w:cs="Arial"/>
        </w:rPr>
        <w:t xml:space="preserve"> recently enforced </w:t>
      </w:r>
      <w:r w:rsidR="00062A46">
        <w:rPr>
          <w:rFonts w:cs="Arial"/>
        </w:rPr>
        <w:t>th</w:t>
      </w:r>
      <w:r w:rsidR="001E058D">
        <w:rPr>
          <w:rFonts w:cs="Arial"/>
        </w:rPr>
        <w:t xml:space="preserve">e </w:t>
      </w:r>
      <w:r w:rsidR="009051ED">
        <w:rPr>
          <w:rFonts w:cs="Arial"/>
        </w:rPr>
        <w:t>idea</w:t>
      </w:r>
      <w:r w:rsidR="001E058D">
        <w:rPr>
          <w:rFonts w:cs="Arial"/>
        </w:rPr>
        <w:t xml:space="preserve"> of technology neutral </w:t>
      </w:r>
      <w:r w:rsidR="00A50494">
        <w:rPr>
          <w:rFonts w:cs="Arial"/>
        </w:rPr>
        <w:t>procurement of</w:t>
      </w:r>
      <w:r w:rsidR="003E3AF4">
        <w:rPr>
          <w:rFonts w:cs="Arial"/>
        </w:rPr>
        <w:t xml:space="preserve"> A</w:t>
      </w:r>
      <w:r w:rsidR="00A50494">
        <w:rPr>
          <w:rFonts w:cs="Arial"/>
        </w:rPr>
        <w:t xml:space="preserve">ncillary </w:t>
      </w:r>
      <w:r w:rsidR="003E3AF4">
        <w:rPr>
          <w:rFonts w:cs="Arial"/>
        </w:rPr>
        <w:t>S</w:t>
      </w:r>
      <w:r w:rsidR="00A50494">
        <w:rPr>
          <w:rFonts w:cs="Arial"/>
        </w:rPr>
        <w:t>ervices</w:t>
      </w:r>
      <w:r w:rsidR="009051ED">
        <w:rPr>
          <w:rFonts w:cs="Arial"/>
        </w:rPr>
        <w:t xml:space="preserve"> </w:t>
      </w:r>
      <w:r w:rsidR="003020FA">
        <w:rPr>
          <w:rFonts w:cs="Arial"/>
        </w:rPr>
        <w:t>by stating that “</w:t>
      </w:r>
      <w:r w:rsidR="009D4188">
        <w:rPr>
          <w:rFonts w:cs="Arial"/>
        </w:rPr>
        <w:t>t</w:t>
      </w:r>
      <w:r w:rsidR="00CB77E6" w:rsidRPr="00CB77E6">
        <w:rPr>
          <w:rFonts w:cs="Arial"/>
        </w:rPr>
        <w:t xml:space="preserve">he commission shall require the independent organization certified under Section 39.151 for the ERCOT power region to modify the design, procurement, and </w:t>
      </w:r>
      <w:r w:rsidR="00CB77E6" w:rsidRPr="00CB77E6">
        <w:rPr>
          <w:rFonts w:cs="Arial"/>
        </w:rPr>
        <w:lastRenderedPageBreak/>
        <w:t>cost allocation of ancillary services for the region in a manner consistent with cost-causation principles and on a nondiscriminatory basis.</w:t>
      </w:r>
      <w:r w:rsidR="00C216EA">
        <w:rPr>
          <w:rFonts w:cs="Arial"/>
        </w:rPr>
        <w:t>”</w:t>
      </w:r>
      <w:r w:rsidR="00C80E4B">
        <w:rPr>
          <w:rStyle w:val="FootnoteReference"/>
          <w:rFonts w:cs="Arial"/>
        </w:rPr>
        <w:footnoteReference w:id="2"/>
      </w:r>
    </w:p>
    <w:p w14:paraId="0C40EAE4" w14:textId="2D700AF9" w:rsidR="00C939D9" w:rsidRPr="000569E3" w:rsidRDefault="00BB7097" w:rsidP="00C216EA">
      <w:pPr>
        <w:pStyle w:val="NormalArial"/>
        <w:numPr>
          <w:ilvl w:val="0"/>
          <w:numId w:val="8"/>
        </w:numPr>
        <w:spacing w:before="120" w:after="120"/>
        <w:rPr>
          <w:rFonts w:cs="Arial"/>
          <w:b/>
          <w:bCs/>
          <w:u w:val="single"/>
        </w:rPr>
      </w:pPr>
      <w:r w:rsidRPr="000569E3">
        <w:rPr>
          <w:rFonts w:cs="Arial"/>
          <w:b/>
          <w:bCs/>
          <w:u w:val="single"/>
        </w:rPr>
        <w:t xml:space="preserve">Narrowing the pool of Non-Spin suppliers </w:t>
      </w:r>
      <w:r w:rsidR="008E1CB1" w:rsidRPr="000569E3">
        <w:rPr>
          <w:rFonts w:cs="Arial"/>
          <w:b/>
          <w:bCs/>
          <w:u w:val="single"/>
        </w:rPr>
        <w:t xml:space="preserve">further distorts a costly market </w:t>
      </w:r>
    </w:p>
    <w:p w14:paraId="2F558BFC" w14:textId="5856CF0F" w:rsidR="00EE73FA" w:rsidRDefault="000F2C8B" w:rsidP="00C216EA">
      <w:pPr>
        <w:pStyle w:val="NormalArial"/>
        <w:spacing w:before="120" w:after="120"/>
        <w:rPr>
          <w:rFonts w:cs="Arial"/>
        </w:rPr>
      </w:pPr>
      <w:r>
        <w:rPr>
          <w:rFonts w:cs="Arial"/>
        </w:rPr>
        <w:t>Following Winter Storm Uri, and beginning in June of 2021, ERCOT began “conservative operations” to ensure adequate reserves in the market.</w:t>
      </w:r>
      <w:r w:rsidR="00C216EA">
        <w:rPr>
          <w:rFonts w:cs="Arial"/>
        </w:rPr>
        <w:t xml:space="preserve"> </w:t>
      </w:r>
      <w:r>
        <w:rPr>
          <w:rFonts w:cs="Arial"/>
        </w:rPr>
        <w:t xml:space="preserve"> Jupiter Power does not oppose operations </w:t>
      </w:r>
      <w:r w:rsidR="00062A46">
        <w:rPr>
          <w:rFonts w:cs="Arial"/>
        </w:rPr>
        <w:t xml:space="preserve">that are required for </w:t>
      </w:r>
      <w:r>
        <w:rPr>
          <w:rFonts w:cs="Arial"/>
        </w:rPr>
        <w:t>ERCOT to operate the market reliably</w:t>
      </w:r>
      <w:r w:rsidR="00062A46">
        <w:rPr>
          <w:rFonts w:cs="Arial"/>
        </w:rPr>
        <w:t>.</w:t>
      </w:r>
      <w:r w:rsidR="009D4188">
        <w:rPr>
          <w:rFonts w:cs="Arial"/>
        </w:rPr>
        <w:t xml:space="preserve"> </w:t>
      </w:r>
      <w:r w:rsidR="00062A46">
        <w:rPr>
          <w:rFonts w:cs="Arial"/>
        </w:rPr>
        <w:t>H</w:t>
      </w:r>
      <w:r>
        <w:rPr>
          <w:rFonts w:cs="Arial"/>
        </w:rPr>
        <w:t>owever</w:t>
      </w:r>
      <w:r w:rsidR="009D4188">
        <w:rPr>
          <w:rFonts w:cs="Arial"/>
        </w:rPr>
        <w:t>,</w:t>
      </w:r>
      <w:r>
        <w:rPr>
          <w:rFonts w:cs="Arial"/>
        </w:rPr>
        <w:t xml:space="preserve"> th</w:t>
      </w:r>
      <w:r w:rsidR="00BA22B0">
        <w:rPr>
          <w:rFonts w:cs="Arial"/>
        </w:rPr>
        <w:t xml:space="preserve">e ERCOT’s use of procuring “up reserves,” Non-Spin, and use of </w:t>
      </w:r>
      <w:r w:rsidR="00062A46">
        <w:rPr>
          <w:rFonts w:cs="Arial"/>
        </w:rPr>
        <w:t>Reliability</w:t>
      </w:r>
      <w:r w:rsidR="00BA22B0">
        <w:rPr>
          <w:rFonts w:cs="Arial"/>
        </w:rPr>
        <w:t xml:space="preserve"> Unit </w:t>
      </w:r>
      <w:r w:rsidR="00062A46">
        <w:rPr>
          <w:rFonts w:cs="Arial"/>
        </w:rPr>
        <w:t>Commitment</w:t>
      </w:r>
      <w:r w:rsidR="00BA22B0">
        <w:rPr>
          <w:rFonts w:cs="Arial"/>
        </w:rPr>
        <w:t xml:space="preserve"> (RUC) ha</w:t>
      </w:r>
      <w:r w:rsidR="00062A46">
        <w:rPr>
          <w:rFonts w:cs="Arial"/>
        </w:rPr>
        <w:t>ve</w:t>
      </w:r>
      <w:r w:rsidR="00BA22B0">
        <w:rPr>
          <w:rFonts w:cs="Arial"/>
        </w:rPr>
        <w:t xml:space="preserve"> been recognized as </w:t>
      </w:r>
      <w:r w:rsidR="00062A46">
        <w:rPr>
          <w:rFonts w:cs="Arial"/>
        </w:rPr>
        <w:t>interim</w:t>
      </w:r>
      <w:r w:rsidR="00BA22B0">
        <w:rPr>
          <w:rFonts w:cs="Arial"/>
        </w:rPr>
        <w:t xml:space="preserve"> measure that deviate </w:t>
      </w:r>
      <w:r w:rsidR="008203C3">
        <w:rPr>
          <w:rFonts w:cs="Arial"/>
        </w:rPr>
        <w:t xml:space="preserve">from </w:t>
      </w:r>
      <w:r w:rsidR="00BA22B0">
        <w:rPr>
          <w:rFonts w:cs="Arial"/>
        </w:rPr>
        <w:t xml:space="preserve">the </w:t>
      </w:r>
      <w:r w:rsidR="008203C3">
        <w:rPr>
          <w:rFonts w:cs="Arial"/>
        </w:rPr>
        <w:t xml:space="preserve">original or intended uses of those products. </w:t>
      </w:r>
      <w:r w:rsidR="00C216EA">
        <w:rPr>
          <w:rFonts w:cs="Arial"/>
        </w:rPr>
        <w:t xml:space="preserve"> </w:t>
      </w:r>
      <w:r w:rsidR="008203C3">
        <w:rPr>
          <w:rFonts w:cs="Arial"/>
        </w:rPr>
        <w:t xml:space="preserve">The below chart from the IMM’s </w:t>
      </w:r>
      <w:r w:rsidR="00CA1399">
        <w:rPr>
          <w:rFonts w:cs="Arial"/>
        </w:rPr>
        <w:t>“Wholesale Electricity Market Mo</w:t>
      </w:r>
      <w:r w:rsidR="009D4188">
        <w:rPr>
          <w:rFonts w:cs="Arial"/>
        </w:rPr>
        <w:t>nth</w:t>
      </w:r>
      <w:r w:rsidR="00CA1399">
        <w:rPr>
          <w:rFonts w:cs="Arial"/>
        </w:rPr>
        <w:t>ly Report – December 2021” demonstrates that procurement of Non-Spin beginning in the sixth month of 202</w:t>
      </w:r>
      <w:r w:rsidR="008341C8">
        <w:rPr>
          <w:rFonts w:cs="Arial"/>
        </w:rPr>
        <w:t>1 was elevated, and si</w:t>
      </w:r>
      <w:r w:rsidR="009D4188">
        <w:rPr>
          <w:rFonts w:cs="Arial"/>
        </w:rPr>
        <w:t>n</w:t>
      </w:r>
      <w:r w:rsidR="008341C8">
        <w:rPr>
          <w:rFonts w:cs="Arial"/>
        </w:rPr>
        <w:t>ce the August, procu</w:t>
      </w:r>
      <w:r w:rsidR="009D4188">
        <w:rPr>
          <w:rFonts w:cs="Arial"/>
        </w:rPr>
        <w:t>re</w:t>
      </w:r>
      <w:r w:rsidR="008341C8">
        <w:rPr>
          <w:rFonts w:cs="Arial"/>
        </w:rPr>
        <w:t xml:space="preserve">ment of Non-Spin has been at about ~5,000MW, as opposed to 1,500MW for </w:t>
      </w:r>
      <w:r w:rsidR="008C12F8">
        <w:rPr>
          <w:rFonts w:cs="Arial"/>
        </w:rPr>
        <w:t>the preceding</w:t>
      </w:r>
      <w:r w:rsidR="008341C8">
        <w:rPr>
          <w:rFonts w:cs="Arial"/>
        </w:rPr>
        <w:t xml:space="preserve"> year</w:t>
      </w:r>
      <w:r w:rsidR="008C12F8">
        <w:rPr>
          <w:rFonts w:cs="Arial"/>
        </w:rPr>
        <w:t xml:space="preserve"> and a half.</w:t>
      </w:r>
      <w:r w:rsidR="008341C8">
        <w:rPr>
          <w:rFonts w:cs="Arial"/>
        </w:rPr>
        <w:t xml:space="preserve"> </w:t>
      </w:r>
    </w:p>
    <w:p w14:paraId="745E98CA" w14:textId="4A3F82A7" w:rsidR="00EE73FA" w:rsidRDefault="00D17450" w:rsidP="00C216EA">
      <w:pPr>
        <w:pStyle w:val="NormalArial"/>
        <w:spacing w:before="120" w:after="120"/>
        <w:rPr>
          <w:rFonts w:cs="Arial"/>
        </w:rPr>
      </w:pPr>
      <w:r>
        <w:rPr>
          <w:noProof/>
        </w:rPr>
        <w:drawing>
          <wp:inline distT="0" distB="0" distL="0" distR="0" wp14:anchorId="33EA153A" wp14:editId="275F2433">
            <wp:extent cx="4552950" cy="2514848"/>
            <wp:effectExtent l="0" t="0" r="0" b="0"/>
            <wp:docPr id="2" name="Picture 2" descr="Chart, line 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 scatter ch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4628" cy="2521299"/>
                    </a:xfrm>
                    <a:prstGeom prst="rect">
                      <a:avLst/>
                    </a:prstGeom>
                    <a:noFill/>
                    <a:ln>
                      <a:noFill/>
                    </a:ln>
                  </pic:spPr>
                </pic:pic>
              </a:graphicData>
            </a:graphic>
          </wp:inline>
        </w:drawing>
      </w:r>
      <w:r w:rsidR="00D643F1">
        <w:rPr>
          <w:rStyle w:val="FootnoteReference"/>
          <w:rFonts w:cs="Arial"/>
        </w:rPr>
        <w:footnoteReference w:id="3"/>
      </w:r>
    </w:p>
    <w:p w14:paraId="77A26366" w14:textId="07E5584C" w:rsidR="00C55535" w:rsidRDefault="00401F4D" w:rsidP="00C216EA">
      <w:pPr>
        <w:pStyle w:val="NormalArial"/>
        <w:spacing w:before="120" w:after="120"/>
        <w:rPr>
          <w:rFonts w:cs="Arial"/>
        </w:rPr>
      </w:pPr>
      <w:r>
        <w:rPr>
          <w:rFonts w:cs="Arial"/>
        </w:rPr>
        <w:t xml:space="preserve">When desired supply of a product increases by over 300% and the number of suppliers stays the same, the result is an </w:t>
      </w:r>
      <w:r w:rsidR="008C25F5">
        <w:rPr>
          <w:rFonts w:cs="Arial"/>
        </w:rPr>
        <w:t xml:space="preserve">increased cost. </w:t>
      </w:r>
      <w:r w:rsidR="00C216EA">
        <w:rPr>
          <w:rFonts w:cs="Arial"/>
        </w:rPr>
        <w:t xml:space="preserve"> </w:t>
      </w:r>
      <w:r w:rsidR="008C25F5">
        <w:rPr>
          <w:rFonts w:cs="Arial"/>
        </w:rPr>
        <w:t xml:space="preserve">The chart below shows that for the month of October in 2021, a </w:t>
      </w:r>
      <w:r w:rsidR="00CC4FEF">
        <w:rPr>
          <w:rFonts w:cs="Arial"/>
        </w:rPr>
        <w:t xml:space="preserve">Non-Spin </w:t>
      </w:r>
      <w:r w:rsidR="009D4188">
        <w:rPr>
          <w:rFonts w:cs="Arial"/>
        </w:rPr>
        <w:t>procurement</w:t>
      </w:r>
      <w:r w:rsidR="008C25F5">
        <w:rPr>
          <w:rFonts w:cs="Arial"/>
        </w:rPr>
        <w:t xml:space="preserve"> increase of </w:t>
      </w:r>
      <w:r w:rsidR="00BF179C">
        <w:rPr>
          <w:rFonts w:cs="Arial"/>
        </w:rPr>
        <w:t xml:space="preserve">333.33% resulted in an average cost per MW increase of </w:t>
      </w:r>
      <w:r w:rsidR="00EC4809">
        <w:rPr>
          <w:rFonts w:cs="Arial"/>
        </w:rPr>
        <w:t xml:space="preserve">~500%, indicating that the number of suppliers of </w:t>
      </w:r>
      <w:r w:rsidR="00C216EA">
        <w:rPr>
          <w:rFonts w:cs="Arial"/>
        </w:rPr>
        <w:t>N</w:t>
      </w:r>
      <w:r w:rsidR="00EC4809">
        <w:rPr>
          <w:rFonts w:cs="Arial"/>
        </w:rPr>
        <w:t>on-</w:t>
      </w:r>
      <w:r w:rsidR="00C216EA">
        <w:rPr>
          <w:rFonts w:cs="Arial"/>
        </w:rPr>
        <w:t>S</w:t>
      </w:r>
      <w:r w:rsidR="00EC4809">
        <w:rPr>
          <w:rFonts w:cs="Arial"/>
        </w:rPr>
        <w:t xml:space="preserve">pin has not been able to increase. </w:t>
      </w:r>
      <w:r w:rsidR="00C216EA">
        <w:rPr>
          <w:rFonts w:cs="Arial"/>
        </w:rPr>
        <w:t xml:space="preserve"> </w:t>
      </w:r>
      <w:r w:rsidR="00EC4809">
        <w:rPr>
          <w:rFonts w:cs="Arial"/>
        </w:rPr>
        <w:t xml:space="preserve">The increased cost of </w:t>
      </w:r>
      <w:r w:rsidR="009A5411">
        <w:rPr>
          <w:rFonts w:cs="Arial"/>
        </w:rPr>
        <w:t xml:space="preserve">the “conservative operations” continues to be a topic of public discussion, including at the </w:t>
      </w:r>
      <w:r w:rsidR="00A910D6">
        <w:rPr>
          <w:rFonts w:cs="Arial"/>
        </w:rPr>
        <w:t>March 9</w:t>
      </w:r>
      <w:r w:rsidR="00A910D6" w:rsidRPr="00A910D6">
        <w:rPr>
          <w:rFonts w:cs="Arial"/>
          <w:vertAlign w:val="superscript"/>
        </w:rPr>
        <w:t>th</w:t>
      </w:r>
      <w:r w:rsidR="00A910D6">
        <w:rPr>
          <w:rFonts w:cs="Arial"/>
        </w:rPr>
        <w:t xml:space="preserve">, 2022, Senate Committee on Business &amp; Commerce hearing and the </w:t>
      </w:r>
      <w:r w:rsidR="0030677A">
        <w:rPr>
          <w:rFonts w:cs="Arial"/>
        </w:rPr>
        <w:t>Ma</w:t>
      </w:r>
      <w:r w:rsidR="009D4188">
        <w:rPr>
          <w:rFonts w:cs="Arial"/>
        </w:rPr>
        <w:t>rc</w:t>
      </w:r>
      <w:r w:rsidR="0030677A">
        <w:rPr>
          <w:rFonts w:cs="Arial"/>
        </w:rPr>
        <w:t>h 10</w:t>
      </w:r>
      <w:r w:rsidR="0030677A" w:rsidRPr="0030677A">
        <w:rPr>
          <w:rFonts w:cs="Arial"/>
          <w:vertAlign w:val="superscript"/>
        </w:rPr>
        <w:t>th</w:t>
      </w:r>
      <w:r w:rsidR="0030677A">
        <w:rPr>
          <w:rFonts w:cs="Arial"/>
        </w:rPr>
        <w:t>, 2022, Public Utility</w:t>
      </w:r>
      <w:r w:rsidR="00C55535">
        <w:rPr>
          <w:rFonts w:cs="Arial"/>
        </w:rPr>
        <w:t xml:space="preserve"> </w:t>
      </w:r>
      <w:r w:rsidR="0030677A">
        <w:rPr>
          <w:rFonts w:cs="Arial"/>
        </w:rPr>
        <w:t xml:space="preserve">Commission </w:t>
      </w:r>
      <w:r w:rsidR="006A0B7D">
        <w:rPr>
          <w:rFonts w:cs="Arial"/>
        </w:rPr>
        <w:t xml:space="preserve">of Texas Open Meeting. </w:t>
      </w:r>
      <w:r w:rsidR="00C55535">
        <w:rPr>
          <w:rFonts w:cs="Arial"/>
        </w:rPr>
        <w:t xml:space="preserve">  </w:t>
      </w:r>
    </w:p>
    <w:p w14:paraId="234F1D2F" w14:textId="10932295" w:rsidR="008203C3" w:rsidRDefault="00C55535" w:rsidP="00C216EA">
      <w:pPr>
        <w:pStyle w:val="NormalArial"/>
        <w:spacing w:before="120" w:after="120"/>
        <w:rPr>
          <w:rFonts w:cs="Arial"/>
        </w:rPr>
      </w:pPr>
      <w:r>
        <w:rPr>
          <w:rFonts w:cs="Arial"/>
        </w:rPr>
        <w:lastRenderedPageBreak/>
        <w:t xml:space="preserve"> </w:t>
      </w:r>
      <w:r w:rsidR="009D4188">
        <w:rPr>
          <w:rFonts w:cs="Arial"/>
        </w:rPr>
        <w:t xml:space="preserve"> </w:t>
      </w:r>
      <w:r w:rsidR="008203C3">
        <w:rPr>
          <w:rFonts w:cs="Arial"/>
          <w:noProof/>
        </w:rPr>
        <w:drawing>
          <wp:inline distT="0" distB="0" distL="0" distR="0" wp14:anchorId="14E19824" wp14:editId="6E39DBD2">
            <wp:extent cx="4470400" cy="2409523"/>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48629" cy="2451688"/>
                    </a:xfrm>
                    <a:prstGeom prst="rect">
                      <a:avLst/>
                    </a:prstGeom>
                    <a:noFill/>
                  </pic:spPr>
                </pic:pic>
              </a:graphicData>
            </a:graphic>
          </wp:inline>
        </w:drawing>
      </w:r>
      <w:r w:rsidR="00D3201E">
        <w:rPr>
          <w:rStyle w:val="FootnoteReference"/>
          <w:rFonts w:cs="Arial"/>
        </w:rPr>
        <w:footnoteReference w:id="4"/>
      </w:r>
    </w:p>
    <w:p w14:paraId="1B249648" w14:textId="49A00503" w:rsidR="00A50494" w:rsidRDefault="006A0B7D" w:rsidP="00C216EA">
      <w:pPr>
        <w:pStyle w:val="NormalArial"/>
        <w:spacing w:before="120" w:after="120"/>
        <w:rPr>
          <w:rFonts w:cs="Arial"/>
        </w:rPr>
      </w:pPr>
      <w:r>
        <w:rPr>
          <w:rFonts w:cs="Arial"/>
        </w:rPr>
        <w:t xml:space="preserve">If “conservative operations” continue to dictate an elevated procurement of Non-Spin, the way to preserve </w:t>
      </w:r>
      <w:r w:rsidR="00CC4FEF">
        <w:rPr>
          <w:rFonts w:cs="Arial"/>
        </w:rPr>
        <w:t>both</w:t>
      </w:r>
      <w:r w:rsidR="00D3201E">
        <w:rPr>
          <w:rFonts w:cs="Arial"/>
        </w:rPr>
        <w:t xml:space="preserve"> any added </w:t>
      </w:r>
      <w:r>
        <w:rPr>
          <w:rFonts w:cs="Arial"/>
        </w:rPr>
        <w:t>reliability</w:t>
      </w:r>
      <w:r w:rsidR="006F7E50">
        <w:rPr>
          <w:rFonts w:cs="Arial"/>
        </w:rPr>
        <w:t xml:space="preserve"> and lessen harmful cost increases to consumers is to </w:t>
      </w:r>
      <w:r w:rsidR="00FE261E">
        <w:rPr>
          <w:rFonts w:cs="Arial"/>
        </w:rPr>
        <w:t xml:space="preserve">increase the pool of suppliers. </w:t>
      </w:r>
      <w:r w:rsidR="00C216EA">
        <w:rPr>
          <w:rFonts w:cs="Arial"/>
        </w:rPr>
        <w:t xml:space="preserve"> </w:t>
      </w:r>
      <w:r w:rsidR="00FE261E">
        <w:rPr>
          <w:rFonts w:cs="Arial"/>
        </w:rPr>
        <w:t xml:space="preserve">To that end, </w:t>
      </w:r>
      <w:r w:rsidR="000569E3">
        <w:rPr>
          <w:rFonts w:cs="Arial"/>
        </w:rPr>
        <w:t>NPRR1093</w:t>
      </w:r>
      <w:r w:rsidR="00C216EA">
        <w:rPr>
          <w:rFonts w:cs="Arial"/>
        </w:rPr>
        <w:t>,</w:t>
      </w:r>
      <w:r w:rsidR="000569E3">
        <w:rPr>
          <w:rFonts w:cs="Arial"/>
        </w:rPr>
        <w:t xml:space="preserve"> Load Resource </w:t>
      </w:r>
      <w:r w:rsidR="00D3201E">
        <w:rPr>
          <w:rFonts w:cs="Arial"/>
        </w:rPr>
        <w:t>Participation</w:t>
      </w:r>
      <w:r w:rsidR="000569E3">
        <w:rPr>
          <w:rFonts w:cs="Arial"/>
        </w:rPr>
        <w:t xml:space="preserve"> In Non-Spinning Reserve</w:t>
      </w:r>
      <w:r w:rsidR="00FE261E">
        <w:rPr>
          <w:rFonts w:cs="Arial"/>
        </w:rPr>
        <w:t>, introduced by ERCO</w:t>
      </w:r>
      <w:r w:rsidR="00D3201E">
        <w:rPr>
          <w:rFonts w:cs="Arial"/>
        </w:rPr>
        <w:t>T</w:t>
      </w:r>
      <w:r w:rsidR="00FE261E">
        <w:rPr>
          <w:rFonts w:cs="Arial"/>
        </w:rPr>
        <w:t xml:space="preserve"> in </w:t>
      </w:r>
      <w:r w:rsidR="002A7CCD">
        <w:rPr>
          <w:rFonts w:cs="Arial"/>
        </w:rPr>
        <w:t xml:space="preserve">September of 2021 </w:t>
      </w:r>
      <w:r w:rsidR="00C03834">
        <w:rPr>
          <w:rFonts w:cs="Arial"/>
        </w:rPr>
        <w:t xml:space="preserve">and passed quickly by October of 2021, provides for adding supplies to the Non-Spin </w:t>
      </w:r>
      <w:r w:rsidR="00C216EA">
        <w:rPr>
          <w:rFonts w:cs="Arial"/>
        </w:rPr>
        <w:t>m</w:t>
      </w:r>
      <w:r w:rsidR="00C03834">
        <w:rPr>
          <w:rFonts w:cs="Arial"/>
        </w:rPr>
        <w:t>arket.</w:t>
      </w:r>
      <w:r w:rsidR="000569E3">
        <w:rPr>
          <w:rFonts w:cs="Arial"/>
        </w:rPr>
        <w:t xml:space="preserve"> </w:t>
      </w:r>
      <w:r w:rsidR="00C216EA">
        <w:rPr>
          <w:rFonts w:cs="Arial"/>
        </w:rPr>
        <w:t xml:space="preserve"> </w:t>
      </w:r>
      <w:r w:rsidR="00C03834">
        <w:rPr>
          <w:rFonts w:cs="Arial"/>
        </w:rPr>
        <w:t>ERCOT stated in the business case of that NPRR that “</w:t>
      </w:r>
      <w:r w:rsidR="00D3201E">
        <w:rPr>
          <w:rFonts w:cs="Arial"/>
        </w:rPr>
        <w:t>b</w:t>
      </w:r>
      <w:r w:rsidR="000569E3" w:rsidRPr="00011EC9">
        <w:rPr>
          <w:rFonts w:cs="Arial"/>
        </w:rPr>
        <w:t>y allowing for increased participation in Non-Spin, ERCOT can access additional capacity from Load Resource that otherwise would not be accessible.  Additionally, allowing for increased participation in Non-Spin will improve Non-Spin offer liquidity and will allow ERCOT to more competitively procure the required quantities of Non-Spin.</w:t>
      </w:r>
      <w:r w:rsidR="00C03834">
        <w:rPr>
          <w:rFonts w:cs="Arial"/>
        </w:rPr>
        <w:t>”</w:t>
      </w:r>
      <w:r w:rsidR="00F3174F">
        <w:rPr>
          <w:rFonts w:cs="Arial"/>
        </w:rPr>
        <w:t xml:space="preserve"> </w:t>
      </w:r>
      <w:r w:rsidR="00C216EA">
        <w:rPr>
          <w:rFonts w:cs="Arial"/>
        </w:rPr>
        <w:t xml:space="preserve"> </w:t>
      </w:r>
      <w:r w:rsidR="00F3174F">
        <w:rPr>
          <w:rFonts w:cs="Arial"/>
        </w:rPr>
        <w:t>To introduce one new subset of suppliers and then eliminate another subset of suppliers</w:t>
      </w:r>
      <w:r w:rsidR="00C03834">
        <w:rPr>
          <w:rFonts w:cs="Arial"/>
        </w:rPr>
        <w:t xml:space="preserve"> </w:t>
      </w:r>
      <w:r w:rsidR="00F3174F">
        <w:rPr>
          <w:rFonts w:cs="Arial"/>
        </w:rPr>
        <w:t xml:space="preserve">is contradictory and counter-productive to increasing suppliers and lowering </w:t>
      </w:r>
      <w:r w:rsidR="00D01905">
        <w:rPr>
          <w:rFonts w:cs="Arial"/>
        </w:rPr>
        <w:t xml:space="preserve">the </w:t>
      </w:r>
      <w:r w:rsidR="00F3174F">
        <w:rPr>
          <w:rFonts w:cs="Arial"/>
        </w:rPr>
        <w:t xml:space="preserve">cost of a service. </w:t>
      </w:r>
      <w:r w:rsidR="00C216EA">
        <w:rPr>
          <w:rFonts w:cs="Arial"/>
        </w:rPr>
        <w:t xml:space="preserve"> </w:t>
      </w:r>
      <w:r w:rsidR="00A44F93">
        <w:rPr>
          <w:rFonts w:cs="Arial"/>
        </w:rPr>
        <w:t xml:space="preserve">Competitive procurement of Non-Spin is necessary to maintain the lowest possible cost to consumers. </w:t>
      </w:r>
    </w:p>
    <w:p w14:paraId="596B222C" w14:textId="5A83EA54" w:rsidR="000569E3" w:rsidRDefault="00A44F93" w:rsidP="00C216EA">
      <w:pPr>
        <w:pStyle w:val="NormalArial"/>
        <w:spacing w:before="120" w:after="120"/>
        <w:rPr>
          <w:rFonts w:cs="Arial"/>
        </w:rPr>
      </w:pPr>
      <w:r>
        <w:rPr>
          <w:rFonts w:cs="Arial"/>
        </w:rPr>
        <w:t>The graphic below from the 202</w:t>
      </w:r>
      <w:r w:rsidR="001705BD">
        <w:rPr>
          <w:rFonts w:cs="Arial"/>
        </w:rPr>
        <w:t>0 State of the Market shows that</w:t>
      </w:r>
      <w:r w:rsidR="00D70A0C">
        <w:rPr>
          <w:rFonts w:cs="Arial"/>
        </w:rPr>
        <w:t xml:space="preserve"> the overall make up of</w:t>
      </w:r>
      <w:r w:rsidR="001705BD">
        <w:rPr>
          <w:rFonts w:cs="Arial"/>
        </w:rPr>
        <w:t xml:space="preserve"> Non-Spin</w:t>
      </w:r>
      <w:r w:rsidR="00D70A0C">
        <w:rPr>
          <w:rFonts w:cs="Arial"/>
        </w:rPr>
        <w:t xml:space="preserve"> procurement</w:t>
      </w:r>
      <w:r w:rsidR="00D4050B">
        <w:rPr>
          <w:rFonts w:cs="Arial"/>
        </w:rPr>
        <w:t xml:space="preserve"> is provided in large quanti</w:t>
      </w:r>
      <w:r w:rsidR="00D70A0C">
        <w:rPr>
          <w:rFonts w:cs="Arial"/>
        </w:rPr>
        <w:t>ties by a relatively small number of</w:t>
      </w:r>
      <w:r w:rsidR="001705BD">
        <w:rPr>
          <w:rFonts w:cs="Arial"/>
        </w:rPr>
        <w:t xml:space="preserve"> QSEs. </w:t>
      </w:r>
      <w:r w:rsidR="00C216EA">
        <w:rPr>
          <w:rFonts w:cs="Arial"/>
        </w:rPr>
        <w:t xml:space="preserve"> </w:t>
      </w:r>
      <w:r w:rsidR="00013D88">
        <w:rPr>
          <w:rFonts w:cs="Arial"/>
        </w:rPr>
        <w:t xml:space="preserve">Removing an entire pool of possible suppliers based on technology would result in larger market shares to single </w:t>
      </w:r>
      <w:r w:rsidR="00C216EA">
        <w:rPr>
          <w:rFonts w:cs="Arial"/>
        </w:rPr>
        <w:t>E</w:t>
      </w:r>
      <w:r w:rsidR="00013D88">
        <w:rPr>
          <w:rFonts w:cs="Arial"/>
        </w:rPr>
        <w:t xml:space="preserve">ntities and high costs. </w:t>
      </w:r>
    </w:p>
    <w:p w14:paraId="1647EEDA" w14:textId="1983F945" w:rsidR="000569E3" w:rsidRPr="00BB1BCA" w:rsidRDefault="00052903" w:rsidP="00C216EA">
      <w:pPr>
        <w:pStyle w:val="NormalArial"/>
        <w:spacing w:before="120" w:after="120"/>
        <w:rPr>
          <w:rFonts w:cs="Arial"/>
        </w:rPr>
      </w:pPr>
      <w:r>
        <w:rPr>
          <w:noProof/>
        </w:rPr>
        <w:lastRenderedPageBreak/>
        <w:drawing>
          <wp:inline distT="0" distB="0" distL="0" distR="0" wp14:anchorId="7C625972" wp14:editId="4DD0470D">
            <wp:extent cx="4375150" cy="2604256"/>
            <wp:effectExtent l="0" t="0" r="6350" b="5715"/>
            <wp:docPr id="4" name="Picture 4"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pie 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91128" cy="2613766"/>
                    </a:xfrm>
                    <a:prstGeom prst="rect">
                      <a:avLst/>
                    </a:prstGeom>
                    <a:noFill/>
                    <a:ln>
                      <a:noFill/>
                    </a:ln>
                  </pic:spPr>
                </pic:pic>
              </a:graphicData>
            </a:graphic>
          </wp:inline>
        </w:drawing>
      </w:r>
      <w:r w:rsidR="00D3201E">
        <w:rPr>
          <w:rStyle w:val="FootnoteReference"/>
          <w:rFonts w:cs="Arial"/>
        </w:rPr>
        <w:footnoteReference w:id="5"/>
      </w:r>
    </w:p>
    <w:p w14:paraId="0D464612" w14:textId="657A80FC" w:rsidR="0054013E" w:rsidRPr="00052903" w:rsidRDefault="00052903" w:rsidP="00C216EA">
      <w:pPr>
        <w:spacing w:before="120" w:after="120"/>
        <w:rPr>
          <w:rFonts w:ascii="Arial" w:hAnsi="Arial" w:cs="Arial"/>
          <w:b/>
          <w:bCs/>
          <w:color w:val="000000"/>
          <w:u w:val="single"/>
        </w:rPr>
      </w:pPr>
      <w:r w:rsidRPr="00052903">
        <w:rPr>
          <w:rFonts w:ascii="Arial" w:hAnsi="Arial" w:cs="Arial"/>
          <w:b/>
          <w:bCs/>
          <w:color w:val="000000"/>
          <w:u w:val="single"/>
        </w:rPr>
        <w:t>Conclusion and Request for TAC Action Item</w:t>
      </w:r>
    </w:p>
    <w:p w14:paraId="793106F5" w14:textId="281A7889" w:rsidR="0054013E" w:rsidRDefault="00F07780" w:rsidP="00C216EA">
      <w:pPr>
        <w:spacing w:before="120" w:after="120"/>
        <w:rPr>
          <w:rFonts w:ascii="Arial" w:hAnsi="Arial" w:cs="Arial"/>
        </w:rPr>
      </w:pPr>
      <w:r w:rsidRPr="00BB1BCA">
        <w:rPr>
          <w:rFonts w:ascii="Arial" w:hAnsi="Arial" w:cs="Arial"/>
        </w:rPr>
        <w:t xml:space="preserve">While Jupiter </w:t>
      </w:r>
      <w:r w:rsidR="00D3201E">
        <w:rPr>
          <w:rFonts w:ascii="Arial" w:hAnsi="Arial" w:cs="Arial"/>
        </w:rPr>
        <w:t>Power</w:t>
      </w:r>
      <w:r w:rsidRPr="00BB1BCA">
        <w:rPr>
          <w:rFonts w:ascii="Arial" w:hAnsi="Arial" w:cs="Arial"/>
        </w:rPr>
        <w:t xml:space="preserve"> respects</w:t>
      </w:r>
      <w:r w:rsidR="00052903">
        <w:rPr>
          <w:rFonts w:ascii="Arial" w:hAnsi="Arial" w:cs="Arial"/>
        </w:rPr>
        <w:t xml:space="preserve"> both the vote of the PRS and </w:t>
      </w:r>
      <w:r w:rsidR="00D3201E">
        <w:rPr>
          <w:rFonts w:ascii="Arial" w:hAnsi="Arial" w:cs="Arial"/>
        </w:rPr>
        <w:t>ERCOT’s</w:t>
      </w:r>
      <w:r w:rsidRPr="00BB1BCA">
        <w:rPr>
          <w:rFonts w:ascii="Arial" w:hAnsi="Arial" w:cs="Arial"/>
        </w:rPr>
        <w:t xml:space="preserve"> expressed desire to address their</w:t>
      </w:r>
      <w:r w:rsidR="00052903">
        <w:rPr>
          <w:rFonts w:ascii="Arial" w:hAnsi="Arial" w:cs="Arial"/>
        </w:rPr>
        <w:t xml:space="preserve"> </w:t>
      </w:r>
      <w:r w:rsidRPr="00BB1BCA">
        <w:rPr>
          <w:rFonts w:ascii="Arial" w:hAnsi="Arial" w:cs="Arial"/>
        </w:rPr>
        <w:t>reliability need</w:t>
      </w:r>
      <w:r w:rsidR="00052903">
        <w:rPr>
          <w:rFonts w:ascii="Arial" w:hAnsi="Arial" w:cs="Arial"/>
        </w:rPr>
        <w:t xml:space="preserve"> with an </w:t>
      </w:r>
      <w:r w:rsidR="00D3201E">
        <w:rPr>
          <w:rFonts w:ascii="Arial" w:hAnsi="Arial" w:cs="Arial"/>
        </w:rPr>
        <w:t>interim</w:t>
      </w:r>
      <w:r w:rsidR="00052903">
        <w:rPr>
          <w:rFonts w:ascii="Arial" w:hAnsi="Arial" w:cs="Arial"/>
        </w:rPr>
        <w:t xml:space="preserve"> tool</w:t>
      </w:r>
      <w:r w:rsidRPr="00BB1BCA">
        <w:rPr>
          <w:rFonts w:ascii="Arial" w:hAnsi="Arial" w:cs="Arial"/>
        </w:rPr>
        <w:t xml:space="preserve">, we request that if </w:t>
      </w:r>
      <w:r w:rsidR="00D3201E">
        <w:rPr>
          <w:rFonts w:ascii="Arial" w:hAnsi="Arial" w:cs="Arial"/>
        </w:rPr>
        <w:t>and when NPRR</w:t>
      </w:r>
      <w:r w:rsidRPr="00BB1BCA">
        <w:rPr>
          <w:rFonts w:ascii="Arial" w:hAnsi="Arial" w:cs="Arial"/>
        </w:rPr>
        <w:t>1096 passes</w:t>
      </w:r>
      <w:r w:rsidR="00D3201E">
        <w:rPr>
          <w:rFonts w:ascii="Arial" w:hAnsi="Arial" w:cs="Arial"/>
        </w:rPr>
        <w:t xml:space="preserve">, that </w:t>
      </w:r>
      <w:r w:rsidR="00C216EA">
        <w:rPr>
          <w:rFonts w:ascii="Arial" w:hAnsi="Arial" w:cs="Arial"/>
        </w:rPr>
        <w:t>TAC</w:t>
      </w:r>
      <w:r w:rsidR="00D3201E">
        <w:rPr>
          <w:rFonts w:ascii="Arial" w:hAnsi="Arial" w:cs="Arial"/>
        </w:rPr>
        <w:t xml:space="preserve"> take as an Action Item</w:t>
      </w:r>
      <w:r w:rsidRPr="00BB1BCA">
        <w:rPr>
          <w:rFonts w:ascii="Arial" w:hAnsi="Arial" w:cs="Arial"/>
        </w:rPr>
        <w:t xml:space="preserve">, </w:t>
      </w:r>
      <w:r w:rsidR="00052903">
        <w:rPr>
          <w:rFonts w:ascii="Arial" w:hAnsi="Arial" w:cs="Arial"/>
        </w:rPr>
        <w:t>t</w:t>
      </w:r>
      <w:r w:rsidRPr="00BB1BCA">
        <w:rPr>
          <w:rFonts w:ascii="Arial" w:hAnsi="Arial" w:cs="Arial"/>
        </w:rPr>
        <w:t>he further consideration of</w:t>
      </w:r>
      <w:r w:rsidR="00062340">
        <w:rPr>
          <w:rFonts w:ascii="Arial" w:hAnsi="Arial" w:cs="Arial"/>
        </w:rPr>
        <w:t xml:space="preserve"> method’s for ERCOT to manage </w:t>
      </w:r>
      <w:r w:rsidR="005443FC">
        <w:rPr>
          <w:rFonts w:ascii="Arial" w:hAnsi="Arial" w:cs="Arial"/>
        </w:rPr>
        <w:t>limited</w:t>
      </w:r>
      <w:r w:rsidR="00062340">
        <w:rPr>
          <w:rFonts w:ascii="Arial" w:hAnsi="Arial" w:cs="Arial"/>
        </w:rPr>
        <w:t xml:space="preserve">-duration </w:t>
      </w:r>
      <w:r w:rsidR="00C216EA">
        <w:rPr>
          <w:rFonts w:ascii="Arial" w:hAnsi="Arial" w:cs="Arial"/>
        </w:rPr>
        <w:t>R</w:t>
      </w:r>
      <w:r w:rsidR="00062340">
        <w:rPr>
          <w:rFonts w:ascii="Arial" w:hAnsi="Arial" w:cs="Arial"/>
        </w:rPr>
        <w:t xml:space="preserve">esource offers, </w:t>
      </w:r>
      <w:r w:rsidR="00D3201E">
        <w:rPr>
          <w:rFonts w:ascii="Arial" w:hAnsi="Arial" w:cs="Arial"/>
        </w:rPr>
        <w:t xml:space="preserve">including those </w:t>
      </w:r>
      <w:r w:rsidR="00062340">
        <w:rPr>
          <w:rFonts w:ascii="Arial" w:hAnsi="Arial" w:cs="Arial"/>
        </w:rPr>
        <w:t>that may require ERCOT system-</w:t>
      </w:r>
      <w:r w:rsidR="00D3201E">
        <w:rPr>
          <w:rFonts w:ascii="Arial" w:hAnsi="Arial" w:cs="Arial"/>
        </w:rPr>
        <w:t>changes</w:t>
      </w:r>
      <w:r w:rsidR="00062340">
        <w:rPr>
          <w:rFonts w:ascii="Arial" w:hAnsi="Arial" w:cs="Arial"/>
        </w:rPr>
        <w:t xml:space="preserve"> or larger scale market changes.</w:t>
      </w:r>
    </w:p>
    <w:p w14:paraId="398B9540" w14:textId="0E8F1389" w:rsidR="009930FB" w:rsidRDefault="00C74197" w:rsidP="00C216EA">
      <w:pPr>
        <w:spacing w:before="120" w:after="120"/>
        <w:rPr>
          <w:rFonts w:ascii="Arial" w:hAnsi="Arial" w:cs="Arial"/>
        </w:rPr>
      </w:pPr>
      <w:r>
        <w:rPr>
          <w:rFonts w:ascii="Arial" w:hAnsi="Arial" w:cs="Arial"/>
        </w:rPr>
        <w:t xml:space="preserve">Jupiter Power also requests that the </w:t>
      </w:r>
      <w:r w:rsidR="00D3201E">
        <w:rPr>
          <w:rFonts w:ascii="Arial" w:hAnsi="Arial" w:cs="Arial"/>
        </w:rPr>
        <w:t>method</w:t>
      </w:r>
      <w:r>
        <w:rPr>
          <w:rFonts w:ascii="Arial" w:hAnsi="Arial" w:cs="Arial"/>
        </w:rPr>
        <w:t xml:space="preserve"> of managing </w:t>
      </w:r>
      <w:r w:rsidR="005443FC">
        <w:rPr>
          <w:rFonts w:ascii="Arial" w:hAnsi="Arial" w:cs="Arial"/>
        </w:rPr>
        <w:t>limited</w:t>
      </w:r>
      <w:r>
        <w:rPr>
          <w:rFonts w:ascii="Arial" w:hAnsi="Arial" w:cs="Arial"/>
        </w:rPr>
        <w:t>-</w:t>
      </w:r>
      <w:r w:rsidR="00D3201E">
        <w:rPr>
          <w:rFonts w:ascii="Arial" w:hAnsi="Arial" w:cs="Arial"/>
        </w:rPr>
        <w:t>duration</w:t>
      </w:r>
      <w:r>
        <w:rPr>
          <w:rFonts w:ascii="Arial" w:hAnsi="Arial" w:cs="Arial"/>
        </w:rPr>
        <w:t xml:space="preserve"> </w:t>
      </w:r>
      <w:r w:rsidR="00C216EA">
        <w:rPr>
          <w:rFonts w:ascii="Arial" w:hAnsi="Arial" w:cs="Arial"/>
        </w:rPr>
        <w:t>R</w:t>
      </w:r>
      <w:r>
        <w:rPr>
          <w:rFonts w:ascii="Arial" w:hAnsi="Arial" w:cs="Arial"/>
        </w:rPr>
        <w:t>esource offers continue to be evaluated</w:t>
      </w:r>
      <w:r w:rsidR="004E0EF3">
        <w:rPr>
          <w:rFonts w:ascii="Arial" w:hAnsi="Arial" w:cs="Arial"/>
        </w:rPr>
        <w:t>, with contemplation of a sunset for NPRR1096,</w:t>
      </w:r>
      <w:r>
        <w:rPr>
          <w:rFonts w:ascii="Arial" w:hAnsi="Arial" w:cs="Arial"/>
        </w:rPr>
        <w:t xml:space="preserve"> as ERCOT changes their use of RUC, implements </w:t>
      </w:r>
      <w:r w:rsidR="00C216EA">
        <w:rPr>
          <w:rFonts w:ascii="Arial" w:hAnsi="Arial" w:cs="Arial"/>
        </w:rPr>
        <w:t>RTC</w:t>
      </w:r>
      <w:r>
        <w:rPr>
          <w:rFonts w:ascii="Arial" w:hAnsi="Arial" w:cs="Arial"/>
        </w:rPr>
        <w:t xml:space="preserve">, and </w:t>
      </w:r>
      <w:r w:rsidR="00D70A0C">
        <w:rPr>
          <w:rFonts w:ascii="Arial" w:hAnsi="Arial" w:cs="Arial"/>
        </w:rPr>
        <w:t>has</w:t>
      </w:r>
      <w:r w:rsidR="004E0EF3">
        <w:rPr>
          <w:rFonts w:ascii="Arial" w:hAnsi="Arial" w:cs="Arial"/>
        </w:rPr>
        <w:t xml:space="preserve"> a larger data set for</w:t>
      </w:r>
      <w:r w:rsidR="00D70A0C">
        <w:rPr>
          <w:rFonts w:ascii="Arial" w:hAnsi="Arial" w:cs="Arial"/>
        </w:rPr>
        <w:t xml:space="preserve"> trends of non-compliance versus </w:t>
      </w:r>
      <w:r w:rsidR="00B91857">
        <w:rPr>
          <w:rFonts w:ascii="Arial" w:hAnsi="Arial" w:cs="Arial"/>
        </w:rPr>
        <w:t>compliance</w:t>
      </w:r>
      <w:r w:rsidR="00D70A0C">
        <w:rPr>
          <w:rFonts w:ascii="Arial" w:hAnsi="Arial" w:cs="Arial"/>
        </w:rPr>
        <w:t xml:space="preserve"> </w:t>
      </w:r>
      <w:r w:rsidR="008A5C94">
        <w:rPr>
          <w:rFonts w:ascii="Arial" w:hAnsi="Arial" w:cs="Arial"/>
        </w:rPr>
        <w:t>in</w:t>
      </w:r>
      <w:r w:rsidR="00B91857">
        <w:rPr>
          <w:rFonts w:ascii="Arial" w:hAnsi="Arial" w:cs="Arial"/>
        </w:rPr>
        <w:t xml:space="preserve"> fulfilling </w:t>
      </w:r>
      <w:r w:rsidR="00C216EA">
        <w:rPr>
          <w:rFonts w:ascii="Arial" w:hAnsi="Arial" w:cs="Arial"/>
        </w:rPr>
        <w:t>A</w:t>
      </w:r>
      <w:r w:rsidR="004E0EF3">
        <w:rPr>
          <w:rFonts w:ascii="Arial" w:hAnsi="Arial" w:cs="Arial"/>
        </w:rPr>
        <w:t>ncillary</w:t>
      </w:r>
      <w:r>
        <w:rPr>
          <w:rFonts w:ascii="Arial" w:hAnsi="Arial" w:cs="Arial"/>
        </w:rPr>
        <w:t xml:space="preserve"> </w:t>
      </w:r>
      <w:r w:rsidR="00C216EA">
        <w:rPr>
          <w:rFonts w:ascii="Arial" w:hAnsi="Arial" w:cs="Arial"/>
        </w:rPr>
        <w:t>S</w:t>
      </w:r>
      <w:r>
        <w:rPr>
          <w:rFonts w:ascii="Arial" w:hAnsi="Arial" w:cs="Arial"/>
        </w:rPr>
        <w:t>ervice awards</w:t>
      </w:r>
      <w:r w:rsidR="00794B8B">
        <w:rPr>
          <w:rFonts w:ascii="Arial" w:hAnsi="Arial" w:cs="Arial"/>
        </w:rPr>
        <w:t xml:space="preserve"> for a long-existing </w:t>
      </w:r>
      <w:r w:rsidR="00C216EA">
        <w:rPr>
          <w:rFonts w:ascii="Arial" w:hAnsi="Arial" w:cs="Arial"/>
        </w:rPr>
        <w:t>A</w:t>
      </w:r>
      <w:r w:rsidR="00794B8B">
        <w:rPr>
          <w:rFonts w:ascii="Arial" w:hAnsi="Arial" w:cs="Arial"/>
        </w:rPr>
        <w:t xml:space="preserve">ncillary </w:t>
      </w:r>
      <w:r w:rsidR="00C216EA">
        <w:rPr>
          <w:rFonts w:ascii="Arial" w:hAnsi="Arial" w:cs="Arial"/>
        </w:rPr>
        <w:t>S</w:t>
      </w:r>
      <w:r w:rsidR="00794B8B">
        <w:rPr>
          <w:rFonts w:ascii="Arial" w:hAnsi="Arial" w:cs="Arial"/>
        </w:rPr>
        <w:t xml:space="preserve">ervice like Non-Spin, in the wake of </w:t>
      </w:r>
      <w:r w:rsidR="009D4188">
        <w:rPr>
          <w:rFonts w:ascii="Arial" w:hAnsi="Arial" w:cs="Arial"/>
        </w:rPr>
        <w:t>increasing</w:t>
      </w:r>
      <w:r>
        <w:rPr>
          <w:rFonts w:ascii="Arial" w:hAnsi="Arial" w:cs="Arial"/>
        </w:rPr>
        <w:t xml:space="preserve"> penetration of </w:t>
      </w:r>
      <w:r w:rsidR="00B47DC2">
        <w:rPr>
          <w:rFonts w:ascii="Arial" w:hAnsi="Arial" w:cs="Arial"/>
        </w:rPr>
        <w:t xml:space="preserve">limited </w:t>
      </w:r>
      <w:r>
        <w:rPr>
          <w:rFonts w:ascii="Arial" w:hAnsi="Arial" w:cs="Arial"/>
        </w:rPr>
        <w:t xml:space="preserve">duration </w:t>
      </w:r>
      <w:r w:rsidR="00C216EA">
        <w:rPr>
          <w:rFonts w:ascii="Arial" w:hAnsi="Arial" w:cs="Arial"/>
        </w:rPr>
        <w:t>R</w:t>
      </w:r>
      <w:r>
        <w:rPr>
          <w:rFonts w:ascii="Arial" w:hAnsi="Arial" w:cs="Arial"/>
        </w:rPr>
        <w:t xml:space="preserve">esources on the system. </w:t>
      </w:r>
    </w:p>
    <w:p w14:paraId="05F70FBC" w14:textId="6C006C46" w:rsidR="008D6BB3" w:rsidRPr="009930FB" w:rsidRDefault="00C74197" w:rsidP="00C216EA">
      <w:pPr>
        <w:spacing w:before="120" w:after="120"/>
        <w:rPr>
          <w:rFonts w:ascii="Arial" w:hAnsi="Arial" w:cs="Arial"/>
        </w:rPr>
      </w:pPr>
      <w:r w:rsidRPr="00C74197">
        <w:rPr>
          <w:rFonts w:ascii="Arial" w:hAnsi="Arial" w:cs="Arial"/>
        </w:rPr>
        <w:t xml:space="preserve">In </w:t>
      </w:r>
      <w:r w:rsidR="009D4188">
        <w:rPr>
          <w:rFonts w:ascii="Arial" w:hAnsi="Arial" w:cs="Arial"/>
        </w:rPr>
        <w:t xml:space="preserve">their </w:t>
      </w:r>
      <w:r w:rsidRPr="00C74197">
        <w:rPr>
          <w:rFonts w:ascii="Arial" w:hAnsi="Arial" w:cs="Arial"/>
        </w:rPr>
        <w:t>November 3</w:t>
      </w:r>
      <w:r w:rsidR="00D0190D" w:rsidRPr="00D0190D">
        <w:rPr>
          <w:rFonts w:ascii="Arial" w:hAnsi="Arial" w:cs="Arial"/>
          <w:vertAlign w:val="superscript"/>
        </w:rPr>
        <w:t>rd</w:t>
      </w:r>
      <w:r w:rsidRPr="00C74197">
        <w:rPr>
          <w:rFonts w:ascii="Arial" w:hAnsi="Arial" w:cs="Arial"/>
        </w:rPr>
        <w:t xml:space="preserve"> comments, ERCOT pointed out that “future design changes to Day-Ahead Market (DAM), Reliability Unit Commitment (RUC), and Real-Time Co-</w:t>
      </w:r>
      <w:r w:rsidR="00EF7125">
        <w:rPr>
          <w:rFonts w:ascii="Arial" w:hAnsi="Arial" w:cs="Arial"/>
        </w:rPr>
        <w:t>o</w:t>
      </w:r>
      <w:r w:rsidRPr="00C74197">
        <w:rPr>
          <w:rFonts w:ascii="Arial" w:hAnsi="Arial" w:cs="Arial"/>
        </w:rPr>
        <w:t xml:space="preserve">ptimization (RTC) clearing engines to consider state of charge for ESRs could also lead to a reassessment of the proposed durations.” </w:t>
      </w:r>
      <w:r w:rsidR="00C216EA">
        <w:rPr>
          <w:rFonts w:ascii="Arial" w:hAnsi="Arial" w:cs="Arial"/>
        </w:rPr>
        <w:t xml:space="preserve"> </w:t>
      </w:r>
      <w:r w:rsidRPr="00C74197">
        <w:rPr>
          <w:rFonts w:ascii="Arial" w:hAnsi="Arial" w:cs="Arial"/>
        </w:rPr>
        <w:t xml:space="preserve">As the use of Non-Spin and risk of deployment changes as well as the prevalence of </w:t>
      </w:r>
      <w:r w:rsidR="00B47DC2">
        <w:rPr>
          <w:rFonts w:ascii="Arial" w:hAnsi="Arial" w:cs="Arial"/>
        </w:rPr>
        <w:t>limited</w:t>
      </w:r>
      <w:r w:rsidRPr="00C74197">
        <w:rPr>
          <w:rFonts w:ascii="Arial" w:hAnsi="Arial" w:cs="Arial"/>
        </w:rPr>
        <w:t xml:space="preserve"> duration </w:t>
      </w:r>
      <w:r w:rsidR="00C216EA">
        <w:rPr>
          <w:rFonts w:ascii="Arial" w:hAnsi="Arial" w:cs="Arial"/>
        </w:rPr>
        <w:t>R</w:t>
      </w:r>
      <w:r w:rsidRPr="00C74197">
        <w:rPr>
          <w:rFonts w:ascii="Arial" w:hAnsi="Arial" w:cs="Arial"/>
        </w:rPr>
        <w:t>esources, we reiterate the need to re-evaluate the most appropriate way to provide ensured reliability</w:t>
      </w:r>
      <w:r w:rsidR="009D4188">
        <w:rPr>
          <w:rFonts w:ascii="Arial" w:hAnsi="Arial" w:cs="Arial"/>
        </w:rPr>
        <w:t xml:space="preserve"> in a manner that is both non-discriminatory to generators and lowest cost to consumers</w:t>
      </w:r>
      <w:r w:rsidRPr="00C74197">
        <w:rPr>
          <w:rFonts w:ascii="Arial" w:hAnsi="Arial" w:cs="Arial"/>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70B06969" w14:textId="77777777" w:rsidTr="00B5080A">
        <w:trPr>
          <w:trHeight w:val="350"/>
        </w:trPr>
        <w:tc>
          <w:tcPr>
            <w:tcW w:w="10440" w:type="dxa"/>
            <w:tcBorders>
              <w:bottom w:val="single" w:sz="4" w:space="0" w:color="auto"/>
            </w:tcBorders>
            <w:shd w:val="clear" w:color="auto" w:fill="FFFFFF"/>
            <w:vAlign w:val="center"/>
          </w:tcPr>
          <w:p w14:paraId="4D9BE516" w14:textId="77777777" w:rsidR="00BD7258" w:rsidRDefault="00BD7258" w:rsidP="00B5080A">
            <w:pPr>
              <w:pStyle w:val="Header"/>
              <w:jc w:val="center"/>
            </w:pPr>
            <w:r>
              <w:t>Revised Cover Page Language</w:t>
            </w:r>
          </w:p>
        </w:tc>
      </w:tr>
    </w:tbl>
    <w:p w14:paraId="08C9EB16" w14:textId="6746A792" w:rsidR="009930FB" w:rsidRPr="009930FB" w:rsidRDefault="009930FB" w:rsidP="00C216EA">
      <w:pPr>
        <w:pStyle w:val="BodyText"/>
        <w:spacing w:before="60" w:after="60"/>
        <w:rPr>
          <w:rFonts w:ascii="Arial" w:hAnsi="Arial" w:cs="Arial"/>
          <w:bCs/>
        </w:rPr>
      </w:pPr>
      <w:r w:rsidRPr="009930FB">
        <w:rPr>
          <w:rFonts w:ascii="Arial" w:hAnsi="Arial" w:cs="Arial"/>
          <w:bCs/>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569454AE" w14:textId="77777777">
        <w:trPr>
          <w:trHeight w:val="350"/>
        </w:trPr>
        <w:tc>
          <w:tcPr>
            <w:tcW w:w="10440" w:type="dxa"/>
            <w:tcBorders>
              <w:bottom w:val="single" w:sz="4" w:space="0" w:color="auto"/>
            </w:tcBorders>
            <w:shd w:val="clear" w:color="auto" w:fill="FFFFFF"/>
            <w:vAlign w:val="center"/>
          </w:tcPr>
          <w:p w14:paraId="1669093E" w14:textId="77777777" w:rsidR="00152993" w:rsidRDefault="00152993">
            <w:pPr>
              <w:pStyle w:val="Header"/>
              <w:jc w:val="center"/>
            </w:pPr>
            <w:r>
              <w:t>Revised Proposed Protocol Language</w:t>
            </w:r>
          </w:p>
        </w:tc>
      </w:tr>
    </w:tbl>
    <w:p w14:paraId="49918E9F" w14:textId="1D445A37" w:rsidR="00152993" w:rsidRPr="00C216EA" w:rsidRDefault="00C216EA" w:rsidP="00C216EA">
      <w:pPr>
        <w:pStyle w:val="BodyText"/>
        <w:spacing w:before="60" w:after="60"/>
        <w:rPr>
          <w:rFonts w:ascii="Arial" w:hAnsi="Arial" w:cs="Arial"/>
          <w:bCs/>
        </w:rPr>
      </w:pPr>
      <w:r w:rsidRPr="009930FB">
        <w:rPr>
          <w:rFonts w:ascii="Arial" w:hAnsi="Arial" w:cs="Arial"/>
          <w:bCs/>
        </w:rPr>
        <w:t>None</w:t>
      </w:r>
    </w:p>
    <w:sectPr w:rsidR="00152993" w:rsidRPr="00C216EA" w:rsidSect="0074209E">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44D9B" w14:textId="77777777" w:rsidR="000E3637" w:rsidRDefault="000E3637">
      <w:r>
        <w:separator/>
      </w:r>
    </w:p>
  </w:endnote>
  <w:endnote w:type="continuationSeparator" w:id="0">
    <w:p w14:paraId="3E4AC843" w14:textId="77777777" w:rsidR="000E3637" w:rsidRDefault="000E3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147D" w14:textId="5CBC8252" w:rsidR="00C21BD4" w:rsidRDefault="00C21BD4"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301133">
      <w:rPr>
        <w:rFonts w:ascii="Arial" w:hAnsi="Arial"/>
        <w:noProof/>
        <w:sz w:val="18"/>
      </w:rPr>
      <w:t>1096NPRR-</w:t>
    </w:r>
    <w:r w:rsidR="00246D55">
      <w:rPr>
        <w:rFonts w:ascii="Arial" w:hAnsi="Arial"/>
        <w:noProof/>
        <w:sz w:val="18"/>
      </w:rPr>
      <w:t>24</w:t>
    </w:r>
    <w:r w:rsidR="00AB2452">
      <w:rPr>
        <w:rFonts w:ascii="Arial" w:hAnsi="Arial"/>
        <w:noProof/>
        <w:sz w:val="18"/>
      </w:rPr>
      <w:t xml:space="preserve"> Jupiter </w:t>
    </w:r>
    <w:r w:rsidR="009D4188">
      <w:rPr>
        <w:rFonts w:ascii="Arial" w:hAnsi="Arial"/>
        <w:noProof/>
        <w:sz w:val="18"/>
      </w:rPr>
      <w:t xml:space="preserve">Power </w:t>
    </w:r>
    <w:r w:rsidR="00AB2452">
      <w:rPr>
        <w:rFonts w:ascii="Arial" w:hAnsi="Arial"/>
        <w:noProof/>
        <w:sz w:val="18"/>
      </w:rPr>
      <w:t>-</w:t>
    </w:r>
    <w:r w:rsidR="00301133">
      <w:rPr>
        <w:rFonts w:ascii="Arial" w:hAnsi="Arial"/>
        <w:noProof/>
        <w:sz w:val="18"/>
      </w:rPr>
      <w:t xml:space="preserve">Comments </w:t>
    </w:r>
    <w:r w:rsidR="005154E1">
      <w:rPr>
        <w:rFonts w:ascii="Arial" w:hAnsi="Arial"/>
        <w:noProof/>
        <w:sz w:val="18"/>
      </w:rPr>
      <w:t>032</w:t>
    </w:r>
    <w:r w:rsidR="00246D55">
      <w:rPr>
        <w:rFonts w:ascii="Arial" w:hAnsi="Arial"/>
        <w:noProof/>
        <w:sz w:val="18"/>
      </w:rPr>
      <w:t>8</w:t>
    </w:r>
    <w:r w:rsidR="005154E1">
      <w:rPr>
        <w:rFonts w:ascii="Arial" w:hAnsi="Arial"/>
        <w:noProof/>
        <w:sz w:val="18"/>
      </w:rPr>
      <w:t>2</w:t>
    </w:r>
    <w:r>
      <w:rPr>
        <w:rFonts w:ascii="Arial" w:hAnsi="Arial"/>
        <w:sz w:val="18"/>
      </w:rPr>
      <w:fldChar w:fldCharType="end"/>
    </w:r>
    <w:r w:rsidR="005154E1">
      <w:rPr>
        <w:rFonts w:ascii="Arial" w:hAnsi="Arial"/>
        <w:sz w:val="18"/>
      </w:rPr>
      <w:t>2</w:t>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Pr>
        <w:rFonts w:ascii="Arial" w:hAnsi="Arial"/>
        <w:noProof/>
        <w:sz w:val="18"/>
      </w:rPr>
      <w:t>1</w:t>
    </w:r>
    <w:r>
      <w:rPr>
        <w:rFonts w:ascii="Arial" w:hAnsi="Arial"/>
        <w:sz w:val="18"/>
      </w:rPr>
      <w:fldChar w:fldCharType="end"/>
    </w:r>
  </w:p>
  <w:p w14:paraId="48A6B44F" w14:textId="77777777" w:rsidR="00C21BD4" w:rsidRDefault="00C21BD4"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41951" w14:textId="77777777" w:rsidR="000E3637" w:rsidRDefault="000E3637">
      <w:r>
        <w:separator/>
      </w:r>
    </w:p>
  </w:footnote>
  <w:footnote w:type="continuationSeparator" w:id="0">
    <w:p w14:paraId="0E215254" w14:textId="77777777" w:rsidR="000E3637" w:rsidRDefault="000E3637">
      <w:r>
        <w:continuationSeparator/>
      </w:r>
    </w:p>
  </w:footnote>
  <w:footnote w:id="1">
    <w:p w14:paraId="0F869D4C" w14:textId="0A377F68" w:rsidR="00E470E2" w:rsidRDefault="00E470E2">
      <w:pPr>
        <w:pStyle w:val="FootnoteText"/>
      </w:pPr>
      <w:r>
        <w:rPr>
          <w:rStyle w:val="FootnoteReference"/>
        </w:rPr>
        <w:footnoteRef/>
      </w:r>
      <w:r>
        <w:t xml:space="preserve"> </w:t>
      </w:r>
      <w:r w:rsidRPr="00605147">
        <w:rPr>
          <w:rFonts w:ascii="Arial" w:hAnsi="Arial" w:cs="Arial"/>
          <w:sz w:val="18"/>
          <w:szCs w:val="18"/>
        </w:rPr>
        <w:t xml:space="preserve">2017 </w:t>
      </w:r>
      <w:r w:rsidR="00325CC8">
        <w:rPr>
          <w:rFonts w:ascii="Arial" w:hAnsi="Arial" w:cs="Arial"/>
          <w:sz w:val="18"/>
          <w:szCs w:val="18"/>
        </w:rPr>
        <w:t>S</w:t>
      </w:r>
      <w:r w:rsidRPr="00605147">
        <w:rPr>
          <w:rFonts w:ascii="Arial" w:hAnsi="Arial" w:cs="Arial"/>
          <w:sz w:val="18"/>
          <w:szCs w:val="18"/>
        </w:rPr>
        <w:t xml:space="preserve">tate of the </w:t>
      </w:r>
      <w:r w:rsidR="00325CC8">
        <w:rPr>
          <w:rFonts w:ascii="Arial" w:hAnsi="Arial" w:cs="Arial"/>
          <w:sz w:val="18"/>
          <w:szCs w:val="18"/>
        </w:rPr>
        <w:t>M</w:t>
      </w:r>
      <w:r w:rsidRPr="00605147">
        <w:rPr>
          <w:rFonts w:ascii="Arial" w:hAnsi="Arial" w:cs="Arial"/>
          <w:sz w:val="18"/>
          <w:szCs w:val="18"/>
        </w:rPr>
        <w:t>arket Report</w:t>
      </w:r>
      <w:r w:rsidR="00605147">
        <w:rPr>
          <w:rFonts w:ascii="Arial" w:hAnsi="Arial" w:cs="Arial"/>
          <w:sz w:val="18"/>
          <w:szCs w:val="18"/>
        </w:rPr>
        <w:t>,</w:t>
      </w:r>
      <w:r w:rsidR="00325CC8">
        <w:rPr>
          <w:rFonts w:ascii="Arial" w:hAnsi="Arial" w:cs="Arial"/>
          <w:sz w:val="18"/>
          <w:szCs w:val="18"/>
        </w:rPr>
        <w:t xml:space="preserve"> Potomac Economics,</w:t>
      </w:r>
      <w:r w:rsidR="00605147">
        <w:rPr>
          <w:rFonts w:ascii="Arial" w:hAnsi="Arial" w:cs="Arial"/>
          <w:sz w:val="18"/>
          <w:szCs w:val="18"/>
        </w:rPr>
        <w:t xml:space="preserve"> page</w:t>
      </w:r>
      <w:r w:rsidRPr="00605147">
        <w:rPr>
          <w:rFonts w:ascii="Arial" w:hAnsi="Arial" w:cs="Arial"/>
          <w:sz w:val="18"/>
          <w:szCs w:val="18"/>
        </w:rPr>
        <w:t xml:space="preserve"> xxv </w:t>
      </w:r>
      <w:hyperlink r:id="rId1" w:history="1">
        <w:r w:rsidR="00506BA8" w:rsidRPr="00605147">
          <w:rPr>
            <w:rStyle w:val="Hyperlink"/>
            <w:rFonts w:ascii="Arial" w:hAnsi="Arial" w:cs="Arial"/>
            <w:sz w:val="18"/>
            <w:szCs w:val="18"/>
          </w:rPr>
          <w:t>https://www.potomaceconomics.com/wp-content/uploads/2018/05/2017-State-of-the-Market-Report.pdf</w:t>
        </w:r>
      </w:hyperlink>
      <w:r w:rsidR="00506BA8">
        <w:t xml:space="preserve"> </w:t>
      </w:r>
    </w:p>
  </w:footnote>
  <w:footnote w:id="2">
    <w:p w14:paraId="2A18AFF0" w14:textId="6095F6B2" w:rsidR="00C80E4B" w:rsidRPr="00325CC8" w:rsidRDefault="00C80E4B">
      <w:pPr>
        <w:pStyle w:val="FootnoteText"/>
        <w:rPr>
          <w:rFonts w:asciiTheme="minorHAnsi" w:hAnsiTheme="minorHAnsi" w:cstheme="minorHAnsi"/>
          <w:sz w:val="18"/>
          <w:szCs w:val="18"/>
        </w:rPr>
      </w:pPr>
      <w:r w:rsidRPr="00325CC8">
        <w:rPr>
          <w:rStyle w:val="FootnoteReference"/>
          <w:rFonts w:asciiTheme="minorHAnsi" w:hAnsiTheme="minorHAnsi" w:cstheme="minorHAnsi"/>
          <w:sz w:val="18"/>
          <w:szCs w:val="18"/>
        </w:rPr>
        <w:footnoteRef/>
      </w:r>
      <w:r w:rsidRPr="00325CC8">
        <w:rPr>
          <w:rFonts w:asciiTheme="minorHAnsi" w:hAnsiTheme="minorHAnsi" w:cstheme="minorHAnsi"/>
          <w:sz w:val="18"/>
          <w:szCs w:val="18"/>
        </w:rPr>
        <w:t xml:space="preserve"> </w:t>
      </w:r>
      <w:r w:rsidRPr="00A519C2">
        <w:rPr>
          <w:rFonts w:ascii="Arial" w:hAnsi="Arial" w:cs="Arial"/>
          <w:sz w:val="18"/>
          <w:szCs w:val="18"/>
        </w:rPr>
        <w:t>Senate Bill 3</w:t>
      </w:r>
      <w:r w:rsidR="001E44E0" w:rsidRPr="00A519C2">
        <w:rPr>
          <w:rFonts w:ascii="Arial" w:hAnsi="Arial" w:cs="Arial"/>
          <w:sz w:val="18"/>
          <w:szCs w:val="18"/>
        </w:rPr>
        <w:t xml:space="preserve"> Section 14 </w:t>
      </w:r>
      <w:hyperlink r:id="rId2" w:anchor="navpanes=0" w:history="1">
        <w:r w:rsidR="001E44E0" w:rsidRPr="00A519C2">
          <w:rPr>
            <w:rStyle w:val="Hyperlink"/>
            <w:rFonts w:ascii="Arial" w:hAnsi="Arial" w:cs="Arial"/>
            <w:sz w:val="18"/>
            <w:szCs w:val="18"/>
          </w:rPr>
          <w:t>https://capitol.texas.gov/tlodocs/87R/billtext/pdf/SB00003F.pdf#navpanes=0</w:t>
        </w:r>
      </w:hyperlink>
      <w:r w:rsidR="001E44E0" w:rsidRPr="00A519C2">
        <w:rPr>
          <w:rFonts w:ascii="Arial" w:hAnsi="Arial" w:cs="Arial"/>
          <w:sz w:val="18"/>
          <w:szCs w:val="18"/>
        </w:rPr>
        <w:t xml:space="preserve"> </w:t>
      </w:r>
      <w:r w:rsidR="00062A46" w:rsidRPr="00A519C2">
        <w:rPr>
          <w:rFonts w:ascii="Arial" w:hAnsi="Arial" w:cs="Arial"/>
          <w:sz w:val="18"/>
          <w:szCs w:val="18"/>
        </w:rPr>
        <w:t>a</w:t>
      </w:r>
      <w:r w:rsidR="001E44E0" w:rsidRPr="00A519C2">
        <w:rPr>
          <w:rFonts w:ascii="Arial" w:hAnsi="Arial" w:cs="Arial"/>
          <w:sz w:val="18"/>
          <w:szCs w:val="18"/>
        </w:rPr>
        <w:t xml:space="preserve">mending </w:t>
      </w:r>
      <w:r w:rsidR="00062A46" w:rsidRPr="00A519C2">
        <w:rPr>
          <w:rFonts w:ascii="Arial" w:hAnsi="Arial" w:cs="Arial"/>
          <w:sz w:val="18"/>
          <w:szCs w:val="18"/>
        </w:rPr>
        <w:t>Utilities</w:t>
      </w:r>
      <w:r w:rsidR="001E44E0" w:rsidRPr="00A519C2">
        <w:rPr>
          <w:rFonts w:ascii="Arial" w:hAnsi="Arial" w:cs="Arial"/>
          <w:sz w:val="18"/>
          <w:szCs w:val="18"/>
        </w:rPr>
        <w:t xml:space="preserve"> Code Section 14 </w:t>
      </w:r>
      <w:r w:rsidR="00BB7097" w:rsidRPr="00A519C2">
        <w:rPr>
          <w:rFonts w:ascii="Arial" w:hAnsi="Arial" w:cs="Arial"/>
          <w:sz w:val="18"/>
          <w:szCs w:val="18"/>
        </w:rPr>
        <w:t>(h)</w:t>
      </w:r>
      <w:r w:rsidR="00BB7097" w:rsidRPr="00325CC8">
        <w:rPr>
          <w:rFonts w:asciiTheme="minorHAnsi" w:hAnsiTheme="minorHAnsi" w:cstheme="minorHAnsi"/>
          <w:sz w:val="18"/>
          <w:szCs w:val="18"/>
        </w:rPr>
        <w:t xml:space="preserve"> </w:t>
      </w:r>
    </w:p>
  </w:footnote>
  <w:footnote w:id="3">
    <w:p w14:paraId="01841D49" w14:textId="44AAD8FF" w:rsidR="00D643F1" w:rsidRPr="00A519C2" w:rsidRDefault="00D643F1">
      <w:pPr>
        <w:pStyle w:val="FootnoteText"/>
        <w:rPr>
          <w:rFonts w:ascii="Arial" w:hAnsi="Arial" w:cs="Arial"/>
          <w:sz w:val="18"/>
          <w:szCs w:val="18"/>
        </w:rPr>
      </w:pPr>
      <w:r w:rsidRPr="00A519C2">
        <w:rPr>
          <w:rStyle w:val="FootnoteReference"/>
          <w:rFonts w:ascii="Arial" w:hAnsi="Arial" w:cs="Arial"/>
          <w:sz w:val="18"/>
          <w:szCs w:val="18"/>
        </w:rPr>
        <w:footnoteRef/>
      </w:r>
      <w:r w:rsidRPr="00A519C2">
        <w:rPr>
          <w:rFonts w:ascii="Arial" w:hAnsi="Arial" w:cs="Arial"/>
          <w:sz w:val="18"/>
          <w:szCs w:val="18"/>
        </w:rPr>
        <w:t xml:space="preserve"> </w:t>
      </w:r>
      <w:r w:rsidR="00DE24C0" w:rsidRPr="00A519C2">
        <w:rPr>
          <w:rFonts w:ascii="Arial" w:hAnsi="Arial" w:cs="Arial"/>
          <w:sz w:val="18"/>
          <w:szCs w:val="18"/>
        </w:rPr>
        <w:t xml:space="preserve">Wholesale </w:t>
      </w:r>
      <w:r w:rsidR="00C164FF" w:rsidRPr="00A519C2">
        <w:rPr>
          <w:rFonts w:ascii="Arial" w:hAnsi="Arial" w:cs="Arial"/>
          <w:sz w:val="18"/>
          <w:szCs w:val="18"/>
        </w:rPr>
        <w:t>Electricity</w:t>
      </w:r>
      <w:r w:rsidR="00DE24C0" w:rsidRPr="00A519C2">
        <w:rPr>
          <w:rFonts w:ascii="Arial" w:hAnsi="Arial" w:cs="Arial"/>
          <w:sz w:val="18"/>
          <w:szCs w:val="18"/>
        </w:rPr>
        <w:t xml:space="preserve"> Market Monthly Report – December 2021, </w:t>
      </w:r>
      <w:r w:rsidR="00C164FF" w:rsidRPr="00A519C2">
        <w:rPr>
          <w:rFonts w:ascii="Arial" w:hAnsi="Arial" w:cs="Arial"/>
          <w:sz w:val="18"/>
          <w:szCs w:val="18"/>
        </w:rPr>
        <w:t>Potomac</w:t>
      </w:r>
      <w:r w:rsidR="00DE24C0" w:rsidRPr="00A519C2">
        <w:rPr>
          <w:rFonts w:ascii="Arial" w:hAnsi="Arial" w:cs="Arial"/>
          <w:sz w:val="18"/>
          <w:szCs w:val="18"/>
        </w:rPr>
        <w:t xml:space="preserve"> Economics, page </w:t>
      </w:r>
      <w:r w:rsidR="00C164FF" w:rsidRPr="00A519C2">
        <w:rPr>
          <w:rFonts w:ascii="Arial" w:hAnsi="Arial" w:cs="Arial"/>
          <w:sz w:val="18"/>
          <w:szCs w:val="18"/>
        </w:rPr>
        <w:t>8</w:t>
      </w:r>
      <w:r w:rsidR="0084727A" w:rsidRPr="00A519C2">
        <w:rPr>
          <w:rFonts w:ascii="Arial" w:hAnsi="Arial" w:cs="Arial"/>
          <w:sz w:val="18"/>
          <w:szCs w:val="18"/>
        </w:rPr>
        <w:t xml:space="preserve">. </w:t>
      </w:r>
      <w:hyperlink r:id="rId3" w:history="1">
        <w:r w:rsidR="00C164FF" w:rsidRPr="00A519C2">
          <w:rPr>
            <w:rStyle w:val="Hyperlink"/>
            <w:rFonts w:ascii="Arial" w:hAnsi="Arial" w:cs="Arial"/>
            <w:sz w:val="18"/>
            <w:szCs w:val="18"/>
          </w:rPr>
          <w:t>https://www.potomaceconomics.com/document-library/?filtermarket=ERCOT&amp;filteryear=2022&amp;filterorder=DESC</w:t>
        </w:r>
      </w:hyperlink>
      <w:r w:rsidR="00C164FF" w:rsidRPr="00A519C2">
        <w:rPr>
          <w:rFonts w:ascii="Arial" w:hAnsi="Arial" w:cs="Arial"/>
          <w:sz w:val="18"/>
          <w:szCs w:val="18"/>
        </w:rPr>
        <w:t xml:space="preserve"> </w:t>
      </w:r>
    </w:p>
  </w:footnote>
  <w:footnote w:id="4">
    <w:p w14:paraId="59E96AE2" w14:textId="06D22996" w:rsidR="00D3201E" w:rsidRDefault="00D3201E">
      <w:pPr>
        <w:pStyle w:val="FootnoteText"/>
      </w:pPr>
      <w:r w:rsidRPr="00A519C2">
        <w:rPr>
          <w:rStyle w:val="FootnoteReference"/>
          <w:rFonts w:ascii="Arial" w:hAnsi="Arial" w:cs="Arial"/>
          <w:sz w:val="18"/>
          <w:szCs w:val="18"/>
        </w:rPr>
        <w:footnoteRef/>
      </w:r>
      <w:r w:rsidRPr="00A519C2">
        <w:rPr>
          <w:rFonts w:ascii="Arial" w:hAnsi="Arial" w:cs="Arial"/>
          <w:sz w:val="18"/>
          <w:szCs w:val="18"/>
        </w:rPr>
        <w:t xml:space="preserve"> </w:t>
      </w:r>
      <w:r w:rsidR="0084727A" w:rsidRPr="00A519C2">
        <w:rPr>
          <w:rFonts w:ascii="Arial" w:hAnsi="Arial" w:cs="Arial"/>
          <w:sz w:val="18"/>
          <w:szCs w:val="18"/>
        </w:rPr>
        <w:t xml:space="preserve">Wholesale </w:t>
      </w:r>
      <w:r w:rsidR="00C164FF" w:rsidRPr="00A519C2">
        <w:rPr>
          <w:rFonts w:ascii="Arial" w:hAnsi="Arial" w:cs="Arial"/>
          <w:sz w:val="18"/>
          <w:szCs w:val="18"/>
        </w:rPr>
        <w:t>Electricity</w:t>
      </w:r>
      <w:r w:rsidR="0084727A" w:rsidRPr="00A519C2">
        <w:rPr>
          <w:rFonts w:ascii="Arial" w:hAnsi="Arial" w:cs="Arial"/>
          <w:sz w:val="18"/>
          <w:szCs w:val="18"/>
        </w:rPr>
        <w:t xml:space="preserve"> Market Monthly Report – December 2021, </w:t>
      </w:r>
      <w:r w:rsidR="00C164FF" w:rsidRPr="00A519C2">
        <w:rPr>
          <w:rFonts w:ascii="Arial" w:hAnsi="Arial" w:cs="Arial"/>
          <w:sz w:val="18"/>
          <w:szCs w:val="18"/>
        </w:rPr>
        <w:t>Potomac</w:t>
      </w:r>
      <w:r w:rsidR="0084727A" w:rsidRPr="00A519C2">
        <w:rPr>
          <w:rFonts w:ascii="Arial" w:hAnsi="Arial" w:cs="Arial"/>
          <w:sz w:val="18"/>
          <w:szCs w:val="18"/>
        </w:rPr>
        <w:t xml:space="preserve"> Economics, page 9.</w:t>
      </w:r>
      <w:r w:rsidR="00C164FF" w:rsidRPr="00A519C2">
        <w:rPr>
          <w:rFonts w:ascii="Arial" w:hAnsi="Arial" w:cs="Arial"/>
          <w:sz w:val="18"/>
          <w:szCs w:val="18"/>
        </w:rPr>
        <w:t xml:space="preserve"> </w:t>
      </w:r>
      <w:hyperlink r:id="rId4" w:history="1">
        <w:r w:rsidR="00C164FF" w:rsidRPr="00A519C2">
          <w:rPr>
            <w:rStyle w:val="Hyperlink"/>
            <w:rFonts w:ascii="Arial" w:hAnsi="Arial" w:cs="Arial"/>
            <w:sz w:val="18"/>
            <w:szCs w:val="18"/>
          </w:rPr>
          <w:t>https://www.potomaceconomics.com/document-library/?filtermarket=ERCOT&amp;filteryear=2022&amp;filterorder=DESC</w:t>
        </w:r>
      </w:hyperlink>
      <w:r w:rsidR="00C164FF">
        <w:t xml:space="preserve"> </w:t>
      </w:r>
    </w:p>
  </w:footnote>
  <w:footnote w:id="5">
    <w:p w14:paraId="76FE8F6D" w14:textId="00A34089" w:rsidR="00D3201E" w:rsidRPr="00A519C2" w:rsidRDefault="00D3201E">
      <w:pPr>
        <w:pStyle w:val="FootnoteText"/>
        <w:rPr>
          <w:rFonts w:ascii="Arial" w:hAnsi="Arial" w:cs="Arial"/>
          <w:sz w:val="18"/>
          <w:szCs w:val="18"/>
        </w:rPr>
      </w:pPr>
      <w:r>
        <w:rPr>
          <w:rStyle w:val="FootnoteReference"/>
        </w:rPr>
        <w:footnoteRef/>
      </w:r>
      <w:r>
        <w:t xml:space="preserve"> </w:t>
      </w:r>
      <w:r w:rsidR="00A519C2">
        <w:rPr>
          <w:rFonts w:ascii="Arial" w:hAnsi="Arial" w:cs="Arial"/>
          <w:sz w:val="18"/>
          <w:szCs w:val="18"/>
        </w:rPr>
        <w:t xml:space="preserve">2020 State of the Market Report, Potomac Economics, </w:t>
      </w:r>
      <w:r w:rsidR="000E4BA7">
        <w:rPr>
          <w:rFonts w:ascii="Arial" w:hAnsi="Arial" w:cs="Arial"/>
          <w:sz w:val="18"/>
          <w:szCs w:val="18"/>
        </w:rPr>
        <w:t>Figure A26, page A-31</w:t>
      </w:r>
      <w:r w:rsidR="00F3174F" w:rsidRPr="00F3174F">
        <w:t xml:space="preserve"> </w:t>
      </w:r>
      <w:hyperlink r:id="rId5" w:history="1">
        <w:r w:rsidR="00F3174F" w:rsidRPr="00160934">
          <w:rPr>
            <w:rStyle w:val="Hyperlink"/>
            <w:rFonts w:ascii="Arial" w:hAnsi="Arial" w:cs="Arial"/>
            <w:sz w:val="18"/>
            <w:szCs w:val="18"/>
          </w:rPr>
          <w:t>https://www.potomaceconomics.com/wp-content/uploads/2021/06/2020-ERCOT-State-of-the-Market-Report.pdf</w:t>
        </w:r>
      </w:hyperlink>
      <w:r w:rsidR="00F3174F">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0F19" w14:textId="61A10DFB" w:rsidR="00C21BD4" w:rsidRPr="003E3AF4" w:rsidRDefault="00C21BD4" w:rsidP="003E3AF4">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353EED"/>
    <w:multiLevelType w:val="hybridMultilevel"/>
    <w:tmpl w:val="A7749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5D6B7E"/>
    <w:multiLevelType w:val="hybridMultilevel"/>
    <w:tmpl w:val="01A224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C80B3C"/>
    <w:multiLevelType w:val="hybridMultilevel"/>
    <w:tmpl w:val="6F26A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C767697"/>
    <w:multiLevelType w:val="hybridMultilevel"/>
    <w:tmpl w:val="8834C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B007FF"/>
    <w:multiLevelType w:val="hybridMultilevel"/>
    <w:tmpl w:val="E340D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01AB"/>
    <w:rsid w:val="00001C47"/>
    <w:rsid w:val="000072D4"/>
    <w:rsid w:val="000078AD"/>
    <w:rsid w:val="00011EC9"/>
    <w:rsid w:val="00013D88"/>
    <w:rsid w:val="00017CA3"/>
    <w:rsid w:val="00020DE5"/>
    <w:rsid w:val="00025D69"/>
    <w:rsid w:val="000324D0"/>
    <w:rsid w:val="00032A5C"/>
    <w:rsid w:val="00034BD3"/>
    <w:rsid w:val="00037668"/>
    <w:rsid w:val="00052903"/>
    <w:rsid w:val="000569E3"/>
    <w:rsid w:val="00057B65"/>
    <w:rsid w:val="00062340"/>
    <w:rsid w:val="00062A46"/>
    <w:rsid w:val="0007150C"/>
    <w:rsid w:val="0007275D"/>
    <w:rsid w:val="00075A94"/>
    <w:rsid w:val="00083588"/>
    <w:rsid w:val="0009254C"/>
    <w:rsid w:val="000928B4"/>
    <w:rsid w:val="00093C54"/>
    <w:rsid w:val="000A3A4D"/>
    <w:rsid w:val="000B0F33"/>
    <w:rsid w:val="000B7E4B"/>
    <w:rsid w:val="000C5772"/>
    <w:rsid w:val="000D288C"/>
    <w:rsid w:val="000E3637"/>
    <w:rsid w:val="000E4BA7"/>
    <w:rsid w:val="000E5F94"/>
    <w:rsid w:val="000F2337"/>
    <w:rsid w:val="000F2C8B"/>
    <w:rsid w:val="00105620"/>
    <w:rsid w:val="001067E1"/>
    <w:rsid w:val="0011251B"/>
    <w:rsid w:val="0012124F"/>
    <w:rsid w:val="00131809"/>
    <w:rsid w:val="00132855"/>
    <w:rsid w:val="00135C29"/>
    <w:rsid w:val="00141306"/>
    <w:rsid w:val="00150A21"/>
    <w:rsid w:val="00151119"/>
    <w:rsid w:val="00151DB6"/>
    <w:rsid w:val="00151F85"/>
    <w:rsid w:val="00152993"/>
    <w:rsid w:val="00155E3B"/>
    <w:rsid w:val="00164A69"/>
    <w:rsid w:val="00170297"/>
    <w:rsid w:val="001705BD"/>
    <w:rsid w:val="001769CA"/>
    <w:rsid w:val="00181ADF"/>
    <w:rsid w:val="00184104"/>
    <w:rsid w:val="001871A7"/>
    <w:rsid w:val="001A227D"/>
    <w:rsid w:val="001A59E3"/>
    <w:rsid w:val="001A6A73"/>
    <w:rsid w:val="001A75B1"/>
    <w:rsid w:val="001B1A8C"/>
    <w:rsid w:val="001B7B9D"/>
    <w:rsid w:val="001C658D"/>
    <w:rsid w:val="001D2C88"/>
    <w:rsid w:val="001E058D"/>
    <w:rsid w:val="001E2032"/>
    <w:rsid w:val="001E20E0"/>
    <w:rsid w:val="001E3626"/>
    <w:rsid w:val="001E44E0"/>
    <w:rsid w:val="001E49A8"/>
    <w:rsid w:val="001F70F9"/>
    <w:rsid w:val="00200239"/>
    <w:rsid w:val="002019CC"/>
    <w:rsid w:val="00210BB0"/>
    <w:rsid w:val="00222046"/>
    <w:rsid w:val="0022326A"/>
    <w:rsid w:val="00225313"/>
    <w:rsid w:val="00246D55"/>
    <w:rsid w:val="00247054"/>
    <w:rsid w:val="002809DA"/>
    <w:rsid w:val="0029091F"/>
    <w:rsid w:val="00291A83"/>
    <w:rsid w:val="002924C6"/>
    <w:rsid w:val="00295D58"/>
    <w:rsid w:val="0029632A"/>
    <w:rsid w:val="00296B57"/>
    <w:rsid w:val="002A3124"/>
    <w:rsid w:val="002A7CCD"/>
    <w:rsid w:val="002B5A6A"/>
    <w:rsid w:val="002C4D0B"/>
    <w:rsid w:val="002C5137"/>
    <w:rsid w:val="002D4EE4"/>
    <w:rsid w:val="002E0DF1"/>
    <w:rsid w:val="002F7DB6"/>
    <w:rsid w:val="00300984"/>
    <w:rsid w:val="003010C0"/>
    <w:rsid w:val="00301133"/>
    <w:rsid w:val="003020FA"/>
    <w:rsid w:val="003030B1"/>
    <w:rsid w:val="0030677A"/>
    <w:rsid w:val="00313EE0"/>
    <w:rsid w:val="003251F3"/>
    <w:rsid w:val="00325CC8"/>
    <w:rsid w:val="0033154D"/>
    <w:rsid w:val="00331EA5"/>
    <w:rsid w:val="00332473"/>
    <w:rsid w:val="00332A97"/>
    <w:rsid w:val="00337696"/>
    <w:rsid w:val="00337FB8"/>
    <w:rsid w:val="0034799F"/>
    <w:rsid w:val="00350C00"/>
    <w:rsid w:val="0035235D"/>
    <w:rsid w:val="00356146"/>
    <w:rsid w:val="003568E8"/>
    <w:rsid w:val="00362A8A"/>
    <w:rsid w:val="00366113"/>
    <w:rsid w:val="00367BDC"/>
    <w:rsid w:val="0037284D"/>
    <w:rsid w:val="00373283"/>
    <w:rsid w:val="003739F1"/>
    <w:rsid w:val="003765E0"/>
    <w:rsid w:val="00385046"/>
    <w:rsid w:val="00392AA8"/>
    <w:rsid w:val="00396FD7"/>
    <w:rsid w:val="003A1411"/>
    <w:rsid w:val="003A7A3C"/>
    <w:rsid w:val="003B5BDC"/>
    <w:rsid w:val="003B6AFC"/>
    <w:rsid w:val="003C270C"/>
    <w:rsid w:val="003C5599"/>
    <w:rsid w:val="003D0994"/>
    <w:rsid w:val="003D171E"/>
    <w:rsid w:val="003D49AE"/>
    <w:rsid w:val="003D4F7C"/>
    <w:rsid w:val="003E39DD"/>
    <w:rsid w:val="003E3AF4"/>
    <w:rsid w:val="003F49C2"/>
    <w:rsid w:val="003F50CD"/>
    <w:rsid w:val="003F7A93"/>
    <w:rsid w:val="00401F4D"/>
    <w:rsid w:val="004042FC"/>
    <w:rsid w:val="00406404"/>
    <w:rsid w:val="00410DDD"/>
    <w:rsid w:val="00423824"/>
    <w:rsid w:val="00425B40"/>
    <w:rsid w:val="00432DCB"/>
    <w:rsid w:val="00432FF3"/>
    <w:rsid w:val="0043567D"/>
    <w:rsid w:val="00436AB8"/>
    <w:rsid w:val="004444B7"/>
    <w:rsid w:val="00460710"/>
    <w:rsid w:val="0048753A"/>
    <w:rsid w:val="00496750"/>
    <w:rsid w:val="004A53BE"/>
    <w:rsid w:val="004A53F7"/>
    <w:rsid w:val="004B2354"/>
    <w:rsid w:val="004B7B90"/>
    <w:rsid w:val="004C22B2"/>
    <w:rsid w:val="004D149F"/>
    <w:rsid w:val="004E0EF3"/>
    <w:rsid w:val="004E2C19"/>
    <w:rsid w:val="004F6107"/>
    <w:rsid w:val="004F76ED"/>
    <w:rsid w:val="00506BA8"/>
    <w:rsid w:val="00512ACD"/>
    <w:rsid w:val="005154E1"/>
    <w:rsid w:val="005204AC"/>
    <w:rsid w:val="0054013E"/>
    <w:rsid w:val="0054049F"/>
    <w:rsid w:val="00541F56"/>
    <w:rsid w:val="005443FC"/>
    <w:rsid w:val="00546A93"/>
    <w:rsid w:val="00556AED"/>
    <w:rsid w:val="00562210"/>
    <w:rsid w:val="00567FEB"/>
    <w:rsid w:val="00576A0B"/>
    <w:rsid w:val="005801E6"/>
    <w:rsid w:val="005A31B2"/>
    <w:rsid w:val="005A6212"/>
    <w:rsid w:val="005A627C"/>
    <w:rsid w:val="005C4898"/>
    <w:rsid w:val="005C531E"/>
    <w:rsid w:val="005C56DE"/>
    <w:rsid w:val="005C6F4C"/>
    <w:rsid w:val="005D284C"/>
    <w:rsid w:val="005D5393"/>
    <w:rsid w:val="005F06E2"/>
    <w:rsid w:val="005F4094"/>
    <w:rsid w:val="005F5BA1"/>
    <w:rsid w:val="00600F75"/>
    <w:rsid w:val="006015A6"/>
    <w:rsid w:val="00604512"/>
    <w:rsid w:val="00605147"/>
    <w:rsid w:val="00607E3B"/>
    <w:rsid w:val="00622EAF"/>
    <w:rsid w:val="006263E8"/>
    <w:rsid w:val="00630FD7"/>
    <w:rsid w:val="00633E23"/>
    <w:rsid w:val="006406CB"/>
    <w:rsid w:val="00651192"/>
    <w:rsid w:val="00660F90"/>
    <w:rsid w:val="0066630D"/>
    <w:rsid w:val="00673B94"/>
    <w:rsid w:val="00677269"/>
    <w:rsid w:val="00680AC6"/>
    <w:rsid w:val="00682C1D"/>
    <w:rsid w:val="006835D8"/>
    <w:rsid w:val="00692477"/>
    <w:rsid w:val="006A0AE3"/>
    <w:rsid w:val="006A0B7D"/>
    <w:rsid w:val="006A28C6"/>
    <w:rsid w:val="006A2953"/>
    <w:rsid w:val="006A7B06"/>
    <w:rsid w:val="006B2450"/>
    <w:rsid w:val="006B2814"/>
    <w:rsid w:val="006B2ECC"/>
    <w:rsid w:val="006B4894"/>
    <w:rsid w:val="006C1130"/>
    <w:rsid w:val="006C316E"/>
    <w:rsid w:val="006C6065"/>
    <w:rsid w:val="006C7A04"/>
    <w:rsid w:val="006D0F7C"/>
    <w:rsid w:val="006D191D"/>
    <w:rsid w:val="006E3B0F"/>
    <w:rsid w:val="006E4367"/>
    <w:rsid w:val="006F0E12"/>
    <w:rsid w:val="006F7E50"/>
    <w:rsid w:val="007006D1"/>
    <w:rsid w:val="00705A60"/>
    <w:rsid w:val="00711DF7"/>
    <w:rsid w:val="0071420B"/>
    <w:rsid w:val="00721ABB"/>
    <w:rsid w:val="007269C4"/>
    <w:rsid w:val="00734528"/>
    <w:rsid w:val="007411AF"/>
    <w:rsid w:val="00741935"/>
    <w:rsid w:val="00741F0A"/>
    <w:rsid w:val="0074209E"/>
    <w:rsid w:val="007523E9"/>
    <w:rsid w:val="00753E41"/>
    <w:rsid w:val="00753F81"/>
    <w:rsid w:val="00756320"/>
    <w:rsid w:val="007614B6"/>
    <w:rsid w:val="007637A7"/>
    <w:rsid w:val="007647B6"/>
    <w:rsid w:val="00770C4E"/>
    <w:rsid w:val="007716D0"/>
    <w:rsid w:val="00772223"/>
    <w:rsid w:val="00774875"/>
    <w:rsid w:val="00774E6C"/>
    <w:rsid w:val="007828F9"/>
    <w:rsid w:val="00786875"/>
    <w:rsid w:val="00786F9D"/>
    <w:rsid w:val="00792C6D"/>
    <w:rsid w:val="00794B8B"/>
    <w:rsid w:val="00796A2A"/>
    <w:rsid w:val="007A115A"/>
    <w:rsid w:val="007A42CB"/>
    <w:rsid w:val="007A5D5D"/>
    <w:rsid w:val="007A74C0"/>
    <w:rsid w:val="007A7F3C"/>
    <w:rsid w:val="007B22F0"/>
    <w:rsid w:val="007B3E47"/>
    <w:rsid w:val="007B5AFF"/>
    <w:rsid w:val="007C6992"/>
    <w:rsid w:val="007D199E"/>
    <w:rsid w:val="007D65D2"/>
    <w:rsid w:val="007E63A4"/>
    <w:rsid w:val="007E6E57"/>
    <w:rsid w:val="007F2CA8"/>
    <w:rsid w:val="007F3477"/>
    <w:rsid w:val="007F5715"/>
    <w:rsid w:val="007F7161"/>
    <w:rsid w:val="0080272E"/>
    <w:rsid w:val="008066B8"/>
    <w:rsid w:val="00815C78"/>
    <w:rsid w:val="008203C3"/>
    <w:rsid w:val="00824913"/>
    <w:rsid w:val="008341C8"/>
    <w:rsid w:val="00842BF5"/>
    <w:rsid w:val="008447A7"/>
    <w:rsid w:val="008449CB"/>
    <w:rsid w:val="0084727A"/>
    <w:rsid w:val="0084731C"/>
    <w:rsid w:val="008522E7"/>
    <w:rsid w:val="00854E95"/>
    <w:rsid w:val="008551A4"/>
    <w:rsid w:val="0085559E"/>
    <w:rsid w:val="00863B5E"/>
    <w:rsid w:val="00896B1B"/>
    <w:rsid w:val="008A5C94"/>
    <w:rsid w:val="008A6D0B"/>
    <w:rsid w:val="008B031A"/>
    <w:rsid w:val="008B20B5"/>
    <w:rsid w:val="008B3886"/>
    <w:rsid w:val="008C12F8"/>
    <w:rsid w:val="008C25F5"/>
    <w:rsid w:val="008C6B2B"/>
    <w:rsid w:val="008C6B61"/>
    <w:rsid w:val="008D23B9"/>
    <w:rsid w:val="008D5620"/>
    <w:rsid w:val="008D6BB3"/>
    <w:rsid w:val="008E1CB1"/>
    <w:rsid w:val="008E559E"/>
    <w:rsid w:val="008F0F69"/>
    <w:rsid w:val="008F428B"/>
    <w:rsid w:val="00901D7A"/>
    <w:rsid w:val="00904CC9"/>
    <w:rsid w:val="009051ED"/>
    <w:rsid w:val="009056E9"/>
    <w:rsid w:val="00910F7B"/>
    <w:rsid w:val="009141FB"/>
    <w:rsid w:val="00916080"/>
    <w:rsid w:val="00916F6A"/>
    <w:rsid w:val="00920DA2"/>
    <w:rsid w:val="00921A68"/>
    <w:rsid w:val="009274FB"/>
    <w:rsid w:val="00932A2B"/>
    <w:rsid w:val="009355F2"/>
    <w:rsid w:val="00945332"/>
    <w:rsid w:val="00962F48"/>
    <w:rsid w:val="00971C25"/>
    <w:rsid w:val="009838F3"/>
    <w:rsid w:val="00985244"/>
    <w:rsid w:val="009878CD"/>
    <w:rsid w:val="00991AF2"/>
    <w:rsid w:val="009930FB"/>
    <w:rsid w:val="00997D75"/>
    <w:rsid w:val="009A0248"/>
    <w:rsid w:val="009A5411"/>
    <w:rsid w:val="009A65E7"/>
    <w:rsid w:val="009B0002"/>
    <w:rsid w:val="009B12A6"/>
    <w:rsid w:val="009B76E3"/>
    <w:rsid w:val="009C007F"/>
    <w:rsid w:val="009D4188"/>
    <w:rsid w:val="009F3BC0"/>
    <w:rsid w:val="00A015C4"/>
    <w:rsid w:val="00A068CA"/>
    <w:rsid w:val="00A15172"/>
    <w:rsid w:val="00A27E6D"/>
    <w:rsid w:val="00A37FA5"/>
    <w:rsid w:val="00A44F93"/>
    <w:rsid w:val="00A50494"/>
    <w:rsid w:val="00A519C2"/>
    <w:rsid w:val="00A53B63"/>
    <w:rsid w:val="00A56BC4"/>
    <w:rsid w:val="00A63480"/>
    <w:rsid w:val="00A64277"/>
    <w:rsid w:val="00A74695"/>
    <w:rsid w:val="00A748EB"/>
    <w:rsid w:val="00A75724"/>
    <w:rsid w:val="00A769EB"/>
    <w:rsid w:val="00A77AD0"/>
    <w:rsid w:val="00A77AF8"/>
    <w:rsid w:val="00A910D6"/>
    <w:rsid w:val="00A948A9"/>
    <w:rsid w:val="00A96600"/>
    <w:rsid w:val="00A966A0"/>
    <w:rsid w:val="00AA3515"/>
    <w:rsid w:val="00AA65CB"/>
    <w:rsid w:val="00AB2452"/>
    <w:rsid w:val="00AB2AF8"/>
    <w:rsid w:val="00AD5C52"/>
    <w:rsid w:val="00AE3BE1"/>
    <w:rsid w:val="00AE3CA4"/>
    <w:rsid w:val="00AF0C6F"/>
    <w:rsid w:val="00AF4169"/>
    <w:rsid w:val="00B07C1C"/>
    <w:rsid w:val="00B17B13"/>
    <w:rsid w:val="00B20B72"/>
    <w:rsid w:val="00B21BA8"/>
    <w:rsid w:val="00B21ED7"/>
    <w:rsid w:val="00B26196"/>
    <w:rsid w:val="00B33C89"/>
    <w:rsid w:val="00B402E5"/>
    <w:rsid w:val="00B47992"/>
    <w:rsid w:val="00B47DC2"/>
    <w:rsid w:val="00B5080A"/>
    <w:rsid w:val="00B548F4"/>
    <w:rsid w:val="00B6134D"/>
    <w:rsid w:val="00B62E5D"/>
    <w:rsid w:val="00B748FB"/>
    <w:rsid w:val="00B756B3"/>
    <w:rsid w:val="00B765B8"/>
    <w:rsid w:val="00B86481"/>
    <w:rsid w:val="00B86D0D"/>
    <w:rsid w:val="00B90BB5"/>
    <w:rsid w:val="00B91857"/>
    <w:rsid w:val="00B943AE"/>
    <w:rsid w:val="00B95D8C"/>
    <w:rsid w:val="00B96FD3"/>
    <w:rsid w:val="00BA1032"/>
    <w:rsid w:val="00BA1233"/>
    <w:rsid w:val="00BA22B0"/>
    <w:rsid w:val="00BB1BCA"/>
    <w:rsid w:val="00BB3A60"/>
    <w:rsid w:val="00BB7097"/>
    <w:rsid w:val="00BC21EA"/>
    <w:rsid w:val="00BC2E79"/>
    <w:rsid w:val="00BC4DDB"/>
    <w:rsid w:val="00BD6409"/>
    <w:rsid w:val="00BD7258"/>
    <w:rsid w:val="00BE48EF"/>
    <w:rsid w:val="00BF179C"/>
    <w:rsid w:val="00BF5470"/>
    <w:rsid w:val="00BF5799"/>
    <w:rsid w:val="00C03834"/>
    <w:rsid w:val="00C03C0D"/>
    <w:rsid w:val="00C0598D"/>
    <w:rsid w:val="00C11956"/>
    <w:rsid w:val="00C13B01"/>
    <w:rsid w:val="00C164FF"/>
    <w:rsid w:val="00C17EA7"/>
    <w:rsid w:val="00C216EA"/>
    <w:rsid w:val="00C21BD4"/>
    <w:rsid w:val="00C24E2F"/>
    <w:rsid w:val="00C33382"/>
    <w:rsid w:val="00C36728"/>
    <w:rsid w:val="00C46239"/>
    <w:rsid w:val="00C47025"/>
    <w:rsid w:val="00C55535"/>
    <w:rsid w:val="00C56511"/>
    <w:rsid w:val="00C602E5"/>
    <w:rsid w:val="00C6239B"/>
    <w:rsid w:val="00C657EA"/>
    <w:rsid w:val="00C70E90"/>
    <w:rsid w:val="00C74197"/>
    <w:rsid w:val="00C748FD"/>
    <w:rsid w:val="00C777F8"/>
    <w:rsid w:val="00C80E4B"/>
    <w:rsid w:val="00C81738"/>
    <w:rsid w:val="00C939D9"/>
    <w:rsid w:val="00C97F26"/>
    <w:rsid w:val="00CA1399"/>
    <w:rsid w:val="00CB77E6"/>
    <w:rsid w:val="00CC4BAD"/>
    <w:rsid w:val="00CC4FEF"/>
    <w:rsid w:val="00CE4A18"/>
    <w:rsid w:val="00CE4FA3"/>
    <w:rsid w:val="00CF1C5F"/>
    <w:rsid w:val="00D01905"/>
    <w:rsid w:val="00D0190D"/>
    <w:rsid w:val="00D02EA6"/>
    <w:rsid w:val="00D17450"/>
    <w:rsid w:val="00D24366"/>
    <w:rsid w:val="00D2740E"/>
    <w:rsid w:val="00D3201E"/>
    <w:rsid w:val="00D4046E"/>
    <w:rsid w:val="00D4050B"/>
    <w:rsid w:val="00D4362F"/>
    <w:rsid w:val="00D44766"/>
    <w:rsid w:val="00D45008"/>
    <w:rsid w:val="00D643F1"/>
    <w:rsid w:val="00D70A0C"/>
    <w:rsid w:val="00D7107E"/>
    <w:rsid w:val="00D71391"/>
    <w:rsid w:val="00D720AB"/>
    <w:rsid w:val="00D762EB"/>
    <w:rsid w:val="00D8760A"/>
    <w:rsid w:val="00DA1C8A"/>
    <w:rsid w:val="00DA772F"/>
    <w:rsid w:val="00DB2FC6"/>
    <w:rsid w:val="00DC5384"/>
    <w:rsid w:val="00DC61AE"/>
    <w:rsid w:val="00DC6FFF"/>
    <w:rsid w:val="00DD14AE"/>
    <w:rsid w:val="00DD2ECC"/>
    <w:rsid w:val="00DD30EA"/>
    <w:rsid w:val="00DD4739"/>
    <w:rsid w:val="00DE24C0"/>
    <w:rsid w:val="00DE5F33"/>
    <w:rsid w:val="00E07B54"/>
    <w:rsid w:val="00E11F78"/>
    <w:rsid w:val="00E17CCA"/>
    <w:rsid w:val="00E242D6"/>
    <w:rsid w:val="00E2486C"/>
    <w:rsid w:val="00E4207A"/>
    <w:rsid w:val="00E448BC"/>
    <w:rsid w:val="00E470E2"/>
    <w:rsid w:val="00E50986"/>
    <w:rsid w:val="00E60F76"/>
    <w:rsid w:val="00E621E1"/>
    <w:rsid w:val="00E75421"/>
    <w:rsid w:val="00E8725A"/>
    <w:rsid w:val="00E904A7"/>
    <w:rsid w:val="00E90B5F"/>
    <w:rsid w:val="00E9201E"/>
    <w:rsid w:val="00E96E5A"/>
    <w:rsid w:val="00EA2FC4"/>
    <w:rsid w:val="00EB0F19"/>
    <w:rsid w:val="00EB6AA8"/>
    <w:rsid w:val="00EC4809"/>
    <w:rsid w:val="00EC55B3"/>
    <w:rsid w:val="00ED295B"/>
    <w:rsid w:val="00ED370A"/>
    <w:rsid w:val="00ED4D3D"/>
    <w:rsid w:val="00ED5D4D"/>
    <w:rsid w:val="00EE2D32"/>
    <w:rsid w:val="00EE430E"/>
    <w:rsid w:val="00EE6681"/>
    <w:rsid w:val="00EE73FA"/>
    <w:rsid w:val="00EF7125"/>
    <w:rsid w:val="00F048AF"/>
    <w:rsid w:val="00F07780"/>
    <w:rsid w:val="00F14DA5"/>
    <w:rsid w:val="00F15120"/>
    <w:rsid w:val="00F27509"/>
    <w:rsid w:val="00F313D1"/>
    <w:rsid w:val="00F3174F"/>
    <w:rsid w:val="00F32972"/>
    <w:rsid w:val="00F40E2E"/>
    <w:rsid w:val="00F4423F"/>
    <w:rsid w:val="00F514B0"/>
    <w:rsid w:val="00F61C27"/>
    <w:rsid w:val="00F62DC7"/>
    <w:rsid w:val="00F673F6"/>
    <w:rsid w:val="00F74974"/>
    <w:rsid w:val="00F74A02"/>
    <w:rsid w:val="00F876C6"/>
    <w:rsid w:val="00F96FB2"/>
    <w:rsid w:val="00FA02BC"/>
    <w:rsid w:val="00FB49AA"/>
    <w:rsid w:val="00FB51D8"/>
    <w:rsid w:val="00FD08E8"/>
    <w:rsid w:val="00FE261E"/>
    <w:rsid w:val="00FF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5AB09"/>
  <w15:chartTrackingRefBased/>
  <w15:docId w15:val="{BE04787A-ACE2-4484-8E4A-815F89D7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7647B6"/>
    <w:rPr>
      <w:rFonts w:ascii="Arial" w:hAnsi="Arial"/>
      <w:sz w:val="24"/>
      <w:szCs w:val="24"/>
    </w:rPr>
  </w:style>
  <w:style w:type="paragraph" w:customStyle="1" w:styleId="H2">
    <w:name w:val="H2"/>
    <w:basedOn w:val="Heading2"/>
    <w:next w:val="BodyText"/>
    <w:link w:val="H2Char"/>
    <w:rsid w:val="007647B6"/>
    <w:pPr>
      <w:numPr>
        <w:ilvl w:val="0"/>
        <w:numId w:val="0"/>
      </w:numPr>
      <w:tabs>
        <w:tab w:val="left" w:pos="900"/>
      </w:tabs>
      <w:ind w:left="900" w:hanging="900"/>
    </w:pPr>
  </w:style>
  <w:style w:type="paragraph" w:customStyle="1" w:styleId="H3">
    <w:name w:val="H3"/>
    <w:basedOn w:val="Heading3"/>
    <w:next w:val="BodyText"/>
    <w:link w:val="H3Char"/>
    <w:rsid w:val="007647B6"/>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7647B6"/>
    <w:pPr>
      <w:numPr>
        <w:ilvl w:val="0"/>
        <w:numId w:val="0"/>
      </w:numPr>
      <w:tabs>
        <w:tab w:val="left" w:pos="1260"/>
      </w:tabs>
      <w:spacing w:before="240"/>
      <w:ind w:left="1260" w:hanging="1260"/>
    </w:pPr>
  </w:style>
  <w:style w:type="paragraph" w:customStyle="1" w:styleId="H5">
    <w:name w:val="H5"/>
    <w:basedOn w:val="Heading5"/>
    <w:next w:val="BodyText"/>
    <w:link w:val="H5Char"/>
    <w:rsid w:val="007647B6"/>
    <w:pPr>
      <w:keepNext/>
      <w:tabs>
        <w:tab w:val="left" w:pos="1620"/>
      </w:tabs>
      <w:spacing w:after="240"/>
      <w:ind w:left="1620" w:hanging="1620"/>
    </w:pPr>
    <w:rPr>
      <w:bCs/>
      <w:iCs/>
      <w:sz w:val="24"/>
      <w:szCs w:val="26"/>
    </w:rPr>
  </w:style>
  <w:style w:type="paragraph" w:customStyle="1" w:styleId="Instructions">
    <w:name w:val="Instructions"/>
    <w:basedOn w:val="BodyText"/>
    <w:link w:val="InstructionsChar"/>
    <w:rsid w:val="007647B6"/>
    <w:pPr>
      <w:spacing w:before="0" w:after="240"/>
    </w:pPr>
    <w:rPr>
      <w:b/>
      <w:i/>
      <w:iCs/>
    </w:rPr>
  </w:style>
  <w:style w:type="paragraph" w:styleId="List">
    <w:name w:val="List"/>
    <w:aliases w:val=" Char2 Char Char Char Char, Char2 Char"/>
    <w:basedOn w:val="Normal"/>
    <w:link w:val="ListChar"/>
    <w:rsid w:val="007647B6"/>
    <w:pPr>
      <w:spacing w:after="240"/>
      <w:ind w:left="720" w:hanging="720"/>
    </w:pPr>
    <w:rPr>
      <w:szCs w:val="20"/>
    </w:rPr>
  </w:style>
  <w:style w:type="paragraph" w:styleId="List2">
    <w:name w:val="List 2"/>
    <w:basedOn w:val="Normal"/>
    <w:rsid w:val="007647B6"/>
    <w:pPr>
      <w:spacing w:after="240"/>
      <w:ind w:left="1440" w:hanging="720"/>
    </w:pPr>
    <w:rPr>
      <w:szCs w:val="20"/>
    </w:rPr>
  </w:style>
  <w:style w:type="character" w:customStyle="1" w:styleId="ListChar">
    <w:name w:val="List Char"/>
    <w:aliases w:val=" Char2 Char Char Char Char Char, Char2 Char Char"/>
    <w:link w:val="List"/>
    <w:rsid w:val="007647B6"/>
    <w:rPr>
      <w:sz w:val="24"/>
    </w:rPr>
  </w:style>
  <w:style w:type="character" w:customStyle="1" w:styleId="InstructionsChar">
    <w:name w:val="Instructions Char"/>
    <w:link w:val="Instructions"/>
    <w:rsid w:val="007647B6"/>
    <w:rPr>
      <w:b/>
      <w:i/>
      <w:iCs/>
      <w:sz w:val="24"/>
      <w:szCs w:val="24"/>
    </w:rPr>
  </w:style>
  <w:style w:type="character" w:customStyle="1" w:styleId="H2Char">
    <w:name w:val="H2 Char"/>
    <w:link w:val="H2"/>
    <w:rsid w:val="007647B6"/>
    <w:rPr>
      <w:b/>
      <w:sz w:val="24"/>
    </w:rPr>
  </w:style>
  <w:style w:type="character" w:customStyle="1" w:styleId="BodyTextNumberedChar1">
    <w:name w:val="Body Text Numbered Char1"/>
    <w:link w:val="BodyTextNumbered"/>
    <w:rsid w:val="007647B6"/>
    <w:rPr>
      <w:iCs/>
      <w:sz w:val="24"/>
    </w:rPr>
  </w:style>
  <w:style w:type="paragraph" w:customStyle="1" w:styleId="BodyTextNumbered">
    <w:name w:val="Body Text Numbered"/>
    <w:basedOn w:val="BodyText"/>
    <w:link w:val="BodyTextNumberedChar1"/>
    <w:rsid w:val="007647B6"/>
    <w:pPr>
      <w:spacing w:before="0" w:after="240"/>
      <w:ind w:left="720" w:hanging="720"/>
    </w:pPr>
    <w:rPr>
      <w:iCs/>
      <w:szCs w:val="20"/>
    </w:rPr>
  </w:style>
  <w:style w:type="character" w:customStyle="1" w:styleId="H3Char">
    <w:name w:val="H3 Char"/>
    <w:link w:val="H3"/>
    <w:rsid w:val="007647B6"/>
    <w:rPr>
      <w:b/>
      <w:bCs/>
      <w:i/>
      <w:sz w:val="24"/>
    </w:rPr>
  </w:style>
  <w:style w:type="character" w:customStyle="1" w:styleId="H5Char">
    <w:name w:val="H5 Char"/>
    <w:link w:val="H5"/>
    <w:rsid w:val="007647B6"/>
    <w:rPr>
      <w:b/>
      <w:bCs/>
      <w:i/>
      <w:iCs/>
      <w:sz w:val="24"/>
      <w:szCs w:val="26"/>
    </w:rPr>
  </w:style>
  <w:style w:type="character" w:customStyle="1" w:styleId="H4Char">
    <w:name w:val="H4 Char"/>
    <w:link w:val="H4"/>
    <w:rsid w:val="007647B6"/>
    <w:rPr>
      <w:b/>
      <w:bCs/>
      <w:snapToGrid w:val="0"/>
      <w:sz w:val="24"/>
    </w:rPr>
  </w:style>
  <w:style w:type="table" w:customStyle="1" w:styleId="BoxedLanguage">
    <w:name w:val="Boxed Language"/>
    <w:basedOn w:val="TableNormal"/>
    <w:rsid w:val="008D6BB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styleId="UnresolvedMention">
    <w:name w:val="Unresolved Mention"/>
    <w:basedOn w:val="DefaultParagraphFont"/>
    <w:uiPriority w:val="99"/>
    <w:unhideWhenUsed/>
    <w:rsid w:val="00DC5384"/>
    <w:rPr>
      <w:color w:val="605E5C"/>
      <w:shd w:val="clear" w:color="auto" w:fill="E1DFDD"/>
    </w:rPr>
  </w:style>
  <w:style w:type="paragraph" w:styleId="Revision">
    <w:name w:val="Revision"/>
    <w:hidden/>
    <w:uiPriority w:val="99"/>
    <w:semiHidden/>
    <w:rsid w:val="00E2486C"/>
    <w:rPr>
      <w:sz w:val="24"/>
      <w:szCs w:val="24"/>
    </w:rPr>
  </w:style>
  <w:style w:type="paragraph" w:styleId="ListParagraph">
    <w:name w:val="List Paragraph"/>
    <w:basedOn w:val="Normal"/>
    <w:uiPriority w:val="34"/>
    <w:qFormat/>
    <w:rsid w:val="002B5A6A"/>
    <w:pPr>
      <w:ind w:left="720"/>
    </w:pPr>
    <w:rPr>
      <w:rFonts w:asciiTheme="minorHAnsi" w:eastAsiaTheme="minorHAnsi" w:hAnsiTheme="minorHAnsi" w:cstheme="minorBidi"/>
      <w:sz w:val="22"/>
      <w:szCs w:val="22"/>
    </w:rPr>
  </w:style>
  <w:style w:type="paragraph" w:styleId="FootnoteText">
    <w:name w:val="footnote text"/>
    <w:basedOn w:val="Normal"/>
    <w:link w:val="FootnoteTextChar"/>
    <w:rsid w:val="00C80E4B"/>
    <w:rPr>
      <w:sz w:val="20"/>
      <w:szCs w:val="20"/>
    </w:rPr>
  </w:style>
  <w:style w:type="character" w:customStyle="1" w:styleId="FootnoteTextChar">
    <w:name w:val="Footnote Text Char"/>
    <w:basedOn w:val="DefaultParagraphFont"/>
    <w:link w:val="FootnoteText"/>
    <w:rsid w:val="00C80E4B"/>
  </w:style>
  <w:style w:type="character" w:styleId="FootnoteReference">
    <w:name w:val="footnote reference"/>
    <w:basedOn w:val="DefaultParagraphFont"/>
    <w:rsid w:val="00C80E4B"/>
    <w:rPr>
      <w:vertAlign w:val="superscript"/>
    </w:rPr>
  </w:style>
  <w:style w:type="character" w:styleId="Mention">
    <w:name w:val="Mention"/>
    <w:basedOn w:val="DefaultParagraphFont"/>
    <w:uiPriority w:val="99"/>
    <w:unhideWhenUsed/>
    <w:rsid w:val="00794B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59803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75474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9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aitlin.Smith@jupiterpower.io"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potomaceconomics.com/document-library/?filtermarket=ERCOT&amp;filteryear=2022&amp;filterorder=DESC" TargetMode="External"/><Relationship Id="rId2" Type="http://schemas.openxmlformats.org/officeDocument/2006/relationships/hyperlink" Target="https://capitol.texas.gov/tlodocs/87R/billtext/pdf/SB00003F.pdf" TargetMode="External"/><Relationship Id="rId1" Type="http://schemas.openxmlformats.org/officeDocument/2006/relationships/hyperlink" Target="https://www.potomaceconomics.com/wp-content/uploads/2018/05/2017-State-of-the-Market-Report.pdf" TargetMode="External"/><Relationship Id="rId5" Type="http://schemas.openxmlformats.org/officeDocument/2006/relationships/hyperlink" Target="https://www.potomaceconomics.com/wp-content/uploads/2021/06/2020-ERCOT-State-of-the-Market-Report.pdf" TargetMode="External"/><Relationship Id="rId4" Type="http://schemas.openxmlformats.org/officeDocument/2006/relationships/hyperlink" Target="https://www.potomaceconomics.com/document-library/?filtermarket=ERCOT&amp;filteryear=2022&amp;filterorder=DE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20F01-F071-41C3-8553-CA05A5340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1979</Words>
  <Characters>11040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12994</CharactersWithSpaces>
  <SharedDoc>false</SharedDoc>
  <HLinks>
    <vt:vector size="18" baseType="variant">
      <vt:variant>
        <vt:i4>1572914</vt:i4>
      </vt:variant>
      <vt:variant>
        <vt:i4>12</vt:i4>
      </vt:variant>
      <vt:variant>
        <vt:i4>0</vt:i4>
      </vt:variant>
      <vt:variant>
        <vt:i4>5</vt:i4>
      </vt:variant>
      <vt:variant>
        <vt:lpwstr>http://www.ercot.com/content/wcm/lists/144926/ERCOT_Strategic_Plan_2019-2023.pdf</vt:lpwstr>
      </vt:variant>
      <vt:variant>
        <vt:lpwstr/>
      </vt:variant>
      <vt:variant>
        <vt:i4>1048647</vt:i4>
      </vt:variant>
      <vt:variant>
        <vt:i4>3</vt:i4>
      </vt:variant>
      <vt:variant>
        <vt:i4>0</vt:i4>
      </vt:variant>
      <vt:variant>
        <vt:i4>5</vt:i4>
      </vt:variant>
      <vt:variant>
        <vt:lpwstr>http://www.ercot.com/mktrules/issues/NPRR1096</vt:lpwstr>
      </vt:variant>
      <vt:variant>
        <vt:lpwstr/>
      </vt:variant>
      <vt:variant>
        <vt:i4>1048647</vt:i4>
      </vt:variant>
      <vt:variant>
        <vt:i4>0</vt:i4>
      </vt:variant>
      <vt:variant>
        <vt:i4>0</vt:i4>
      </vt:variant>
      <vt:variant>
        <vt:i4>5</vt:i4>
      </vt:variant>
      <vt:variant>
        <vt:lpwstr>http://www.ercot.com/mktrules/issues/NPRR1096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Reliant 032822</cp:lastModifiedBy>
  <cp:revision>3</cp:revision>
  <cp:lastPrinted>2001-06-20T16:28:00Z</cp:lastPrinted>
  <dcterms:created xsi:type="dcterms:W3CDTF">2022-03-28T22:55:00Z</dcterms:created>
  <dcterms:modified xsi:type="dcterms:W3CDTF">2022-03-28T23:12:00Z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06e56-1756-4005-87f1-1edc72dd4bdf_Enabled">
    <vt:lpwstr>true</vt:lpwstr>
  </property>
  <property fmtid="{D5CDD505-2E9C-101B-9397-08002B2CF9AE}" pid="3" name="MSIP_Label_52d06e56-1756-4005-87f1-1edc72dd4bdf_SetDate">
    <vt:lpwstr>2022-01-04T22:28:44Z</vt:lpwstr>
  </property>
  <property fmtid="{D5CDD505-2E9C-101B-9397-08002B2CF9AE}" pid="4" name="MSIP_Label_52d06e56-1756-4005-87f1-1edc72dd4bdf_Method">
    <vt:lpwstr>Standard</vt:lpwstr>
  </property>
  <property fmtid="{D5CDD505-2E9C-101B-9397-08002B2CF9AE}" pid="5" name="MSIP_Label_52d06e56-1756-4005-87f1-1edc72dd4bdf_Name">
    <vt:lpwstr>General</vt:lpwstr>
  </property>
  <property fmtid="{D5CDD505-2E9C-101B-9397-08002B2CF9AE}" pid="6" name="MSIP_Label_52d06e56-1756-4005-87f1-1edc72dd4bdf_SiteId">
    <vt:lpwstr>9026c5f4-86d0-4b9f-bd39-b7d4d0fb4674</vt:lpwstr>
  </property>
  <property fmtid="{D5CDD505-2E9C-101B-9397-08002B2CF9AE}" pid="7" name="MSIP_Label_52d06e56-1756-4005-87f1-1edc72dd4bdf_ActionId">
    <vt:lpwstr>e539b294-e9a5-4c4b-a04a-00000d036b29</vt:lpwstr>
  </property>
  <property fmtid="{D5CDD505-2E9C-101B-9397-08002B2CF9AE}" pid="8" name="MSIP_Label_52d06e56-1756-4005-87f1-1edc72dd4bdf_ContentBits">
    <vt:lpwstr>0</vt:lpwstr>
  </property>
</Properties>
</file>