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9025B4" w14:paraId="2810863F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DC1169" w14:textId="77777777" w:rsidR="009025B4" w:rsidRDefault="009025B4" w:rsidP="009025B4">
            <w:pPr>
              <w:pStyle w:val="Header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094D4D2" w14:textId="77777777" w:rsidR="009025B4" w:rsidRDefault="000B5C7D" w:rsidP="009025B4">
            <w:pPr>
              <w:pStyle w:val="Header"/>
            </w:pPr>
            <w:hyperlink r:id="rId7" w:history="1">
              <w:r w:rsidR="009025B4" w:rsidRPr="004E5245">
                <w:rPr>
                  <w:rStyle w:val="Hyperlink"/>
                </w:rPr>
                <w:t>1108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B53070" w14:textId="77777777" w:rsidR="009025B4" w:rsidRDefault="009025B4" w:rsidP="009025B4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A1022B7" w14:textId="77777777" w:rsidR="009025B4" w:rsidRDefault="009025B4" w:rsidP="009025B4">
            <w:pPr>
              <w:pStyle w:val="Header"/>
            </w:pPr>
            <w:r>
              <w:t>ERCOT Shall Approve or Deny All Resource Outage Requests</w:t>
            </w:r>
          </w:p>
        </w:tc>
      </w:tr>
      <w:tr w:rsidR="009025B4" w14:paraId="1B9966A4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FAE878" w14:textId="77777777" w:rsidR="009025B4" w:rsidRDefault="009025B4" w:rsidP="009025B4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B5054E" w14:textId="77777777" w:rsidR="009025B4" w:rsidRDefault="009025B4" w:rsidP="009025B4">
            <w:pPr>
              <w:pStyle w:val="NormalArial"/>
            </w:pPr>
          </w:p>
        </w:tc>
      </w:tr>
      <w:tr w:rsidR="009025B4" w14:paraId="6A1A1A80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6B3B" w14:textId="77777777" w:rsidR="009025B4" w:rsidRDefault="009025B4" w:rsidP="009025B4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A57B" w14:textId="5DE3C969" w:rsidR="009025B4" w:rsidRDefault="00B663D4" w:rsidP="009025B4">
            <w:pPr>
              <w:pStyle w:val="NormalArial"/>
            </w:pPr>
            <w:r>
              <w:t>March 2</w:t>
            </w:r>
            <w:r w:rsidR="00113D38">
              <w:t>5</w:t>
            </w:r>
            <w:r>
              <w:t>, 2022</w:t>
            </w:r>
          </w:p>
        </w:tc>
      </w:tr>
      <w:tr w:rsidR="009025B4" w14:paraId="41A95746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7790E5" w14:textId="77777777" w:rsidR="009025B4" w:rsidRDefault="009025B4" w:rsidP="009025B4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E665A" w14:textId="77777777" w:rsidR="009025B4" w:rsidRDefault="009025B4" w:rsidP="009025B4">
            <w:pPr>
              <w:pStyle w:val="NormalArial"/>
            </w:pPr>
          </w:p>
        </w:tc>
      </w:tr>
      <w:tr w:rsidR="009025B4" w14:paraId="63956ACA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85E456" w14:textId="77777777" w:rsidR="009025B4" w:rsidRDefault="009025B4" w:rsidP="009025B4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9025B4" w14:paraId="1C6C618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62EC662" w14:textId="77777777" w:rsidR="009025B4" w:rsidRPr="00EC55B3" w:rsidRDefault="009025B4" w:rsidP="009025B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7B7D993B" w14:textId="62C57B2E" w:rsidR="009025B4" w:rsidRDefault="00E602F5" w:rsidP="009025B4">
            <w:pPr>
              <w:pStyle w:val="NormalArial"/>
            </w:pPr>
            <w:r>
              <w:t>Michele Richmond</w:t>
            </w:r>
          </w:p>
        </w:tc>
      </w:tr>
      <w:tr w:rsidR="009025B4" w14:paraId="4DABBEAA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4E70E1B" w14:textId="77777777" w:rsidR="009025B4" w:rsidRPr="00EC55B3" w:rsidRDefault="009025B4" w:rsidP="009025B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2F14D7E8" w14:textId="3F35D359" w:rsidR="009025B4" w:rsidRDefault="000B5C7D" w:rsidP="009025B4">
            <w:pPr>
              <w:pStyle w:val="NormalArial"/>
            </w:pPr>
            <w:hyperlink r:id="rId8" w:history="1">
              <w:r w:rsidR="00E602F5" w:rsidRPr="0097652A">
                <w:rPr>
                  <w:rStyle w:val="Hyperlink"/>
                </w:rPr>
                <w:t>Michele@competitivepower.org</w:t>
              </w:r>
            </w:hyperlink>
          </w:p>
        </w:tc>
      </w:tr>
      <w:tr w:rsidR="009025B4" w14:paraId="7FC4403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0BE625D" w14:textId="77777777" w:rsidR="009025B4" w:rsidRPr="00EC55B3" w:rsidRDefault="009025B4" w:rsidP="009025B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2D06520" w14:textId="17138190" w:rsidR="009025B4" w:rsidRDefault="00E602F5" w:rsidP="009025B4">
            <w:pPr>
              <w:pStyle w:val="NormalArial"/>
            </w:pPr>
            <w:r>
              <w:t>Texas Competitive Power Advocates (TCPA)</w:t>
            </w:r>
          </w:p>
        </w:tc>
      </w:tr>
      <w:tr w:rsidR="009025B4" w14:paraId="3D1EB793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E02B50" w14:textId="77777777" w:rsidR="009025B4" w:rsidRPr="00EC55B3" w:rsidRDefault="009025B4" w:rsidP="009025B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0EA71DC" w14:textId="22D78321" w:rsidR="009025B4" w:rsidRDefault="00E602F5" w:rsidP="009025B4">
            <w:pPr>
              <w:pStyle w:val="NormalArial"/>
            </w:pPr>
            <w:r>
              <w:t>512-653-7447</w:t>
            </w:r>
          </w:p>
        </w:tc>
      </w:tr>
      <w:tr w:rsidR="009025B4" w14:paraId="2958DF9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E755426" w14:textId="77777777" w:rsidR="009025B4" w:rsidRPr="00EC55B3" w:rsidRDefault="009025B4" w:rsidP="009025B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562A21A0" w14:textId="77777777" w:rsidR="009025B4" w:rsidRDefault="009025B4" w:rsidP="009025B4">
            <w:pPr>
              <w:pStyle w:val="NormalArial"/>
            </w:pPr>
          </w:p>
        </w:tc>
      </w:tr>
      <w:tr w:rsidR="009025B4" w14:paraId="5AE05FF6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85EC2F" w14:textId="77777777" w:rsidR="009025B4" w:rsidRPr="00EC55B3" w:rsidDel="00075A94" w:rsidRDefault="009025B4" w:rsidP="009025B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9C2A27D" w14:textId="41B1BD63" w:rsidR="009025B4" w:rsidRDefault="00E602F5" w:rsidP="009025B4">
            <w:pPr>
              <w:pStyle w:val="NormalArial"/>
            </w:pPr>
            <w:r>
              <w:t>N</w:t>
            </w:r>
            <w:r w:rsidR="00217CBA">
              <w:t>ot applicable</w:t>
            </w:r>
          </w:p>
        </w:tc>
      </w:tr>
    </w:tbl>
    <w:p w14:paraId="42D1C46E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5E29228B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04697E91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7EFA478B" w14:textId="2BC59974" w:rsidR="00E602F5" w:rsidRDefault="00E602F5" w:rsidP="00FA212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TCPA appreciates the ERCOT Board’s desire to move </w:t>
      </w:r>
      <w:r w:rsidR="000B5C7D">
        <w:rPr>
          <w:rFonts w:ascii="Arial" w:hAnsi="Arial" w:cs="Arial"/>
        </w:rPr>
        <w:t>Nodal Protocol Revision Request (</w:t>
      </w:r>
      <w:r>
        <w:rPr>
          <w:rFonts w:ascii="Arial" w:hAnsi="Arial" w:cs="Arial"/>
        </w:rPr>
        <w:t>NPRR</w:t>
      </w:r>
      <w:r w:rsidR="000B5C7D">
        <w:rPr>
          <w:rFonts w:ascii="Arial" w:hAnsi="Arial" w:cs="Arial"/>
        </w:rPr>
        <w:t>) 1108</w:t>
      </w:r>
      <w:r>
        <w:rPr>
          <w:rFonts w:ascii="Arial" w:hAnsi="Arial" w:cs="Arial"/>
        </w:rPr>
        <w:t xml:space="preserve"> forward. </w:t>
      </w:r>
      <w:r w:rsidR="000B5C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However, the methodology and limits, essential information for generators to provide specific feedback, </w:t>
      </w:r>
      <w:r w:rsidR="008C55A5">
        <w:rPr>
          <w:rFonts w:ascii="Arial" w:hAnsi="Arial" w:cs="Arial"/>
        </w:rPr>
        <w:t>were</w:t>
      </w:r>
      <w:r>
        <w:rPr>
          <w:rFonts w:ascii="Arial" w:hAnsi="Arial" w:cs="Arial"/>
        </w:rPr>
        <w:t xml:space="preserve"> not posted by ERCOT until March 7, 2022 – the same day the Board meeting began. </w:t>
      </w:r>
    </w:p>
    <w:p w14:paraId="524C7653" w14:textId="43E77494" w:rsidR="00E602F5" w:rsidRDefault="00E602F5" w:rsidP="00FA212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TCPA supports the comments filed by Luminant Generation Company on March 23, 2022 and echoes the concern that all questions and issues be properly addressed before this NPRR goes live</w:t>
      </w:r>
      <w:r w:rsidR="00D170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 order to mitigate unintended consequences that will exacerbate </w:t>
      </w:r>
      <w:r w:rsidR="000B5C7D">
        <w:rPr>
          <w:rFonts w:ascii="Arial" w:hAnsi="Arial" w:cs="Arial"/>
        </w:rPr>
        <w:t>R</w:t>
      </w:r>
      <w:r>
        <w:rPr>
          <w:rFonts w:ascii="Arial" w:hAnsi="Arial" w:cs="Arial"/>
        </w:rPr>
        <w:t>esource adequacy in ERCOT.</w:t>
      </w:r>
      <w:r w:rsidR="008412A3">
        <w:rPr>
          <w:rFonts w:ascii="Arial" w:hAnsi="Arial" w:cs="Arial"/>
        </w:rPr>
        <w:t xml:space="preserve"> </w:t>
      </w:r>
      <w:r w:rsidR="000B5C7D">
        <w:rPr>
          <w:rFonts w:ascii="Arial" w:hAnsi="Arial" w:cs="Arial"/>
        </w:rPr>
        <w:t xml:space="preserve"> </w:t>
      </w:r>
      <w:r w:rsidR="008412A3">
        <w:rPr>
          <w:rFonts w:ascii="Arial" w:hAnsi="Arial" w:cs="Arial"/>
        </w:rPr>
        <w:t xml:space="preserve">TCPA members are attempting to develop an alternative </w:t>
      </w:r>
      <w:r w:rsidR="00713BB3">
        <w:rPr>
          <w:rFonts w:ascii="Arial" w:hAnsi="Arial" w:cs="Arial"/>
        </w:rPr>
        <w:t xml:space="preserve">that </w:t>
      </w:r>
      <w:r w:rsidR="008412A3">
        <w:rPr>
          <w:rFonts w:ascii="Arial" w:hAnsi="Arial" w:cs="Arial"/>
        </w:rPr>
        <w:t>will address ERCOT needs</w:t>
      </w:r>
      <w:r w:rsidR="00D17002">
        <w:rPr>
          <w:rFonts w:ascii="Arial" w:hAnsi="Arial" w:cs="Arial"/>
        </w:rPr>
        <w:t>,</w:t>
      </w:r>
      <w:r w:rsidR="008412A3">
        <w:rPr>
          <w:rFonts w:ascii="Arial" w:hAnsi="Arial" w:cs="Arial"/>
        </w:rPr>
        <w:t xml:space="preserve"> while also ensuring thermal generators are able to take needed </w:t>
      </w:r>
      <w:r w:rsidR="000B5C7D">
        <w:rPr>
          <w:rFonts w:ascii="Arial" w:hAnsi="Arial" w:cs="Arial"/>
        </w:rPr>
        <w:t>P</w:t>
      </w:r>
      <w:r w:rsidR="008412A3">
        <w:rPr>
          <w:rFonts w:ascii="Arial" w:hAnsi="Arial" w:cs="Arial"/>
        </w:rPr>
        <w:t xml:space="preserve">lanned </w:t>
      </w:r>
      <w:r w:rsidR="000B5C7D">
        <w:rPr>
          <w:rFonts w:ascii="Arial" w:hAnsi="Arial" w:cs="Arial"/>
        </w:rPr>
        <w:t>O</w:t>
      </w:r>
      <w:r w:rsidR="008412A3">
        <w:rPr>
          <w:rFonts w:ascii="Arial" w:hAnsi="Arial" w:cs="Arial"/>
        </w:rPr>
        <w:t>utages to ensure the continued safe and reliable operation of the thermal fleet.</w:t>
      </w:r>
    </w:p>
    <w:p w14:paraId="34E0AC71" w14:textId="5F547268" w:rsidR="008412A3" w:rsidRDefault="008412A3" w:rsidP="00FA212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proliferation of renewable </w:t>
      </w:r>
      <w:r w:rsidR="000B5C7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esources </w:t>
      </w:r>
      <w:r w:rsidR="00D17002">
        <w:rPr>
          <w:rFonts w:ascii="Arial" w:hAnsi="Arial" w:cs="Arial"/>
        </w:rPr>
        <w:t>has</w:t>
      </w:r>
      <w:r>
        <w:rPr>
          <w:rFonts w:ascii="Arial" w:hAnsi="Arial" w:cs="Arial"/>
        </w:rPr>
        <w:t xml:space="preserve"> increased the volatility of the ERCOT grid</w:t>
      </w:r>
      <w:r w:rsidR="00D170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such that thermal </w:t>
      </w:r>
      <w:r w:rsidR="000B5C7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esources are provided little to no flexibility in taking needed </w:t>
      </w:r>
      <w:r w:rsidR="000B5C7D">
        <w:rPr>
          <w:rFonts w:ascii="Arial" w:hAnsi="Arial" w:cs="Arial"/>
        </w:rPr>
        <w:t>P</w:t>
      </w:r>
      <w:r w:rsidR="00713BB3">
        <w:rPr>
          <w:rFonts w:ascii="Arial" w:hAnsi="Arial" w:cs="Arial"/>
        </w:rPr>
        <w:t xml:space="preserve">lanned </w:t>
      </w:r>
      <w:r w:rsidR="000B5C7D">
        <w:rPr>
          <w:rFonts w:ascii="Arial" w:hAnsi="Arial" w:cs="Arial"/>
        </w:rPr>
        <w:t>O</w:t>
      </w:r>
      <w:r>
        <w:rPr>
          <w:rFonts w:ascii="Arial" w:hAnsi="Arial" w:cs="Arial"/>
        </w:rPr>
        <w:t>utages</w:t>
      </w:r>
      <w:r w:rsidR="00713BB3">
        <w:rPr>
          <w:rFonts w:ascii="Arial" w:hAnsi="Arial" w:cs="Arial"/>
        </w:rPr>
        <w:t xml:space="preserve"> according to the methodology proposed in NPRR1108</w:t>
      </w:r>
      <w:r>
        <w:rPr>
          <w:rFonts w:ascii="Arial" w:hAnsi="Arial" w:cs="Arial"/>
        </w:rPr>
        <w:t xml:space="preserve">, </w:t>
      </w:r>
      <w:r w:rsidR="00C02A74">
        <w:rPr>
          <w:rFonts w:ascii="Arial" w:hAnsi="Arial" w:cs="Arial"/>
        </w:rPr>
        <w:t xml:space="preserve">and the </w:t>
      </w:r>
      <w:r w:rsidR="000B5C7D">
        <w:rPr>
          <w:rFonts w:ascii="Arial" w:hAnsi="Arial" w:cs="Arial"/>
        </w:rPr>
        <w:t>O</w:t>
      </w:r>
      <w:r w:rsidR="00713BB3">
        <w:rPr>
          <w:rFonts w:ascii="Arial" w:hAnsi="Arial" w:cs="Arial"/>
        </w:rPr>
        <w:t>utage limits are</w:t>
      </w:r>
      <w:r w:rsidR="00C02A74">
        <w:rPr>
          <w:rFonts w:ascii="Arial" w:hAnsi="Arial" w:cs="Arial"/>
        </w:rPr>
        <w:t xml:space="preserve"> based on ERCOT’s worst</w:t>
      </w:r>
      <w:r w:rsidR="000B5C7D">
        <w:rPr>
          <w:rFonts w:ascii="Arial" w:hAnsi="Arial" w:cs="Arial"/>
        </w:rPr>
        <w:t>-</w:t>
      </w:r>
      <w:r w:rsidR="00C02A74">
        <w:rPr>
          <w:rFonts w:ascii="Arial" w:hAnsi="Arial" w:cs="Arial"/>
        </w:rPr>
        <w:t xml:space="preserve">case scenario of renewable output and </w:t>
      </w:r>
      <w:r w:rsidR="000B5C7D">
        <w:rPr>
          <w:rFonts w:ascii="Arial" w:hAnsi="Arial" w:cs="Arial"/>
        </w:rPr>
        <w:t>L</w:t>
      </w:r>
      <w:r w:rsidR="00C02A74">
        <w:rPr>
          <w:rFonts w:ascii="Arial" w:hAnsi="Arial" w:cs="Arial"/>
        </w:rPr>
        <w:t xml:space="preserve">oad expected on the system. </w:t>
      </w:r>
      <w:r w:rsidR="000B5C7D">
        <w:rPr>
          <w:rFonts w:ascii="Arial" w:hAnsi="Arial" w:cs="Arial"/>
        </w:rPr>
        <w:t xml:space="preserve"> </w:t>
      </w:r>
      <w:r w:rsidR="00C02A74">
        <w:rPr>
          <w:rFonts w:ascii="Arial" w:hAnsi="Arial" w:cs="Arial"/>
        </w:rPr>
        <w:t>Conservative operat</w:t>
      </w:r>
      <w:r w:rsidR="00713BB3">
        <w:rPr>
          <w:rFonts w:ascii="Arial" w:hAnsi="Arial" w:cs="Arial"/>
        </w:rPr>
        <w:t>ing</w:t>
      </w:r>
      <w:r w:rsidR="00C02A74">
        <w:rPr>
          <w:rFonts w:ascii="Arial" w:hAnsi="Arial" w:cs="Arial"/>
        </w:rPr>
        <w:t xml:space="preserve"> posture may be appropriate for day-to-day operations but not for </w:t>
      </w:r>
      <w:r w:rsidR="00D17002">
        <w:rPr>
          <w:rFonts w:ascii="Arial" w:hAnsi="Arial" w:cs="Arial"/>
        </w:rPr>
        <w:t xml:space="preserve">determining </w:t>
      </w:r>
      <w:r w:rsidR="000B5C7D">
        <w:rPr>
          <w:rFonts w:ascii="Arial" w:hAnsi="Arial" w:cs="Arial"/>
        </w:rPr>
        <w:t>P</w:t>
      </w:r>
      <w:r w:rsidR="00D17002">
        <w:rPr>
          <w:rFonts w:ascii="Arial" w:hAnsi="Arial" w:cs="Arial"/>
        </w:rPr>
        <w:t xml:space="preserve">lanned </w:t>
      </w:r>
      <w:r w:rsidR="000B5C7D">
        <w:rPr>
          <w:rFonts w:ascii="Arial" w:hAnsi="Arial" w:cs="Arial"/>
        </w:rPr>
        <w:t>O</w:t>
      </w:r>
      <w:r w:rsidR="00D17002">
        <w:rPr>
          <w:rFonts w:ascii="Arial" w:hAnsi="Arial" w:cs="Arial"/>
        </w:rPr>
        <w:t>utages</w:t>
      </w:r>
      <w:r w:rsidR="00C02A74">
        <w:rPr>
          <w:rFonts w:ascii="Arial" w:hAnsi="Arial" w:cs="Arial"/>
        </w:rPr>
        <w:t xml:space="preserve"> allowed </w:t>
      </w:r>
      <w:r w:rsidR="000819B6">
        <w:rPr>
          <w:rFonts w:ascii="Arial" w:hAnsi="Arial" w:cs="Arial"/>
        </w:rPr>
        <w:t xml:space="preserve">across a long-term </w:t>
      </w:r>
      <w:r w:rsidR="00C02A74">
        <w:rPr>
          <w:rFonts w:ascii="Arial" w:hAnsi="Arial" w:cs="Arial"/>
        </w:rPr>
        <w:t>window.</w:t>
      </w:r>
    </w:p>
    <w:p w14:paraId="7BBFF0EA" w14:textId="1863E88E" w:rsidR="00466FBA" w:rsidRPr="00466FBA" w:rsidRDefault="00466FBA" w:rsidP="00466FBA">
      <w:pPr>
        <w:spacing w:before="120" w:after="120"/>
        <w:rPr>
          <w:rFonts w:ascii="Arial" w:hAnsi="Arial" w:cs="Arial"/>
        </w:rPr>
      </w:pPr>
      <w:r w:rsidRPr="00466FBA">
        <w:rPr>
          <w:rFonts w:ascii="Arial" w:hAnsi="Arial" w:cs="Arial"/>
        </w:rPr>
        <w:t xml:space="preserve">Additionally, TCPA is concerned that ERCOT’s proposal only requires approval from the thermal and hydro </w:t>
      </w:r>
      <w:r w:rsidR="000B5C7D">
        <w:rPr>
          <w:rFonts w:ascii="Arial" w:hAnsi="Arial" w:cs="Arial"/>
        </w:rPr>
        <w:t>R</w:t>
      </w:r>
      <w:r w:rsidRPr="00466FBA">
        <w:rPr>
          <w:rFonts w:ascii="Arial" w:hAnsi="Arial" w:cs="Arial"/>
        </w:rPr>
        <w:t>esources</w:t>
      </w:r>
      <w:r>
        <w:rPr>
          <w:rFonts w:ascii="Arial" w:hAnsi="Arial" w:cs="Arial"/>
        </w:rPr>
        <w:t>,</w:t>
      </w:r>
      <w:r w:rsidRPr="00466FBA">
        <w:rPr>
          <w:rFonts w:ascii="Arial" w:hAnsi="Arial" w:cs="Arial"/>
        </w:rPr>
        <w:t xml:space="preserve"> while wind and solar </w:t>
      </w:r>
      <w:r w:rsidR="000B5C7D">
        <w:rPr>
          <w:rFonts w:ascii="Arial" w:hAnsi="Arial" w:cs="Arial"/>
        </w:rPr>
        <w:t>R</w:t>
      </w:r>
      <w:r w:rsidRPr="00466FBA">
        <w:rPr>
          <w:rFonts w:ascii="Arial" w:hAnsi="Arial" w:cs="Arial"/>
        </w:rPr>
        <w:t xml:space="preserve">esources will </w:t>
      </w:r>
      <w:r>
        <w:rPr>
          <w:rFonts w:ascii="Arial" w:hAnsi="Arial" w:cs="Arial"/>
        </w:rPr>
        <w:t xml:space="preserve">continue to </w:t>
      </w:r>
      <w:r w:rsidRPr="00466FBA">
        <w:rPr>
          <w:rFonts w:ascii="Arial" w:hAnsi="Arial" w:cs="Arial"/>
        </w:rPr>
        <w:t xml:space="preserve">be automatically </w:t>
      </w:r>
      <w:r>
        <w:rPr>
          <w:rFonts w:ascii="Arial" w:hAnsi="Arial" w:cs="Arial"/>
        </w:rPr>
        <w:t>approved</w:t>
      </w:r>
      <w:r w:rsidRPr="00466FBA">
        <w:rPr>
          <w:rFonts w:ascii="Arial" w:hAnsi="Arial" w:cs="Arial"/>
        </w:rPr>
        <w:t>. </w:t>
      </w:r>
      <w:r w:rsidR="000B5C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This inequitable treatment appears at odds with </w:t>
      </w:r>
      <w:r w:rsidRPr="00466FB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multiple policy directives from the Governor, </w:t>
      </w:r>
      <w:r w:rsidRPr="00466FBA">
        <w:rPr>
          <w:rFonts w:ascii="Arial" w:hAnsi="Arial" w:cs="Arial"/>
        </w:rPr>
        <w:t>Legislature</w:t>
      </w:r>
      <w:r>
        <w:rPr>
          <w:rFonts w:ascii="Arial" w:hAnsi="Arial" w:cs="Arial"/>
        </w:rPr>
        <w:t>, and Commission</w:t>
      </w:r>
      <w:r w:rsidRPr="00466F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support the </w:t>
      </w:r>
      <w:r w:rsidRPr="00466FBA">
        <w:rPr>
          <w:rFonts w:ascii="Arial" w:hAnsi="Arial" w:cs="Arial"/>
        </w:rPr>
        <w:t xml:space="preserve">dispatchable </w:t>
      </w:r>
      <w:r>
        <w:rPr>
          <w:rFonts w:ascii="Arial" w:hAnsi="Arial" w:cs="Arial"/>
        </w:rPr>
        <w:t xml:space="preserve">generation </w:t>
      </w:r>
      <w:r w:rsidRPr="00466FBA">
        <w:rPr>
          <w:rFonts w:ascii="Arial" w:hAnsi="Arial" w:cs="Arial"/>
        </w:rPr>
        <w:t xml:space="preserve">fleet.  </w:t>
      </w:r>
    </w:p>
    <w:p w14:paraId="26D118DD" w14:textId="1CCCA5B2" w:rsidR="009025B4" w:rsidRPr="00FA2126" w:rsidRDefault="00C02A74" w:rsidP="00FA212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As more renewable </w:t>
      </w:r>
      <w:r w:rsidR="000B5C7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esources come online, volatility will </w:t>
      </w:r>
      <w:r w:rsidR="00D17002">
        <w:rPr>
          <w:rFonts w:ascii="Arial" w:hAnsi="Arial" w:cs="Arial"/>
        </w:rPr>
        <w:t>increase and</w:t>
      </w:r>
      <w:r>
        <w:rPr>
          <w:rFonts w:ascii="Arial" w:hAnsi="Arial" w:cs="Arial"/>
        </w:rPr>
        <w:t xml:space="preserve"> </w:t>
      </w:r>
      <w:r w:rsidR="009025B4" w:rsidRPr="00FA2126">
        <w:rPr>
          <w:rFonts w:ascii="Arial" w:hAnsi="Arial" w:cs="Arial"/>
        </w:rPr>
        <w:t xml:space="preserve">dispatchable capacity will get squeezed to complete </w:t>
      </w:r>
      <w:r w:rsidR="000B5C7D">
        <w:rPr>
          <w:rFonts w:ascii="Arial" w:hAnsi="Arial" w:cs="Arial"/>
        </w:rPr>
        <w:t>O</w:t>
      </w:r>
      <w:r w:rsidR="009025B4" w:rsidRPr="00FA2126">
        <w:rPr>
          <w:rFonts w:ascii="Arial" w:hAnsi="Arial" w:cs="Arial"/>
        </w:rPr>
        <w:t xml:space="preserve">utages in smaller windows with less flexibility. </w:t>
      </w:r>
      <w:r w:rsidR="000B5C7D">
        <w:rPr>
          <w:rFonts w:ascii="Arial" w:hAnsi="Arial" w:cs="Arial"/>
        </w:rPr>
        <w:t xml:space="preserve"> </w:t>
      </w:r>
      <w:r w:rsidR="009025B4" w:rsidRPr="00FA2126">
        <w:rPr>
          <w:rFonts w:ascii="Arial" w:hAnsi="Arial" w:cs="Arial"/>
        </w:rPr>
        <w:t xml:space="preserve"> </w:t>
      </w:r>
      <w:r w:rsidR="00D17002">
        <w:rPr>
          <w:rFonts w:ascii="Arial" w:hAnsi="Arial" w:cs="Arial"/>
        </w:rPr>
        <w:t xml:space="preserve">Increased </w:t>
      </w:r>
      <w:r w:rsidR="000B5C7D">
        <w:rPr>
          <w:rFonts w:ascii="Arial" w:hAnsi="Arial" w:cs="Arial"/>
        </w:rPr>
        <w:t>O</w:t>
      </w:r>
      <w:r w:rsidR="00D17002">
        <w:rPr>
          <w:rFonts w:ascii="Arial" w:hAnsi="Arial" w:cs="Arial"/>
        </w:rPr>
        <w:t xml:space="preserve">utage </w:t>
      </w:r>
      <w:r w:rsidR="009025B4" w:rsidRPr="00FA2126">
        <w:rPr>
          <w:rFonts w:ascii="Arial" w:hAnsi="Arial" w:cs="Arial"/>
        </w:rPr>
        <w:t xml:space="preserve">restrictions will make it </w:t>
      </w:r>
      <w:r w:rsidR="00D17002">
        <w:rPr>
          <w:rFonts w:ascii="Arial" w:hAnsi="Arial" w:cs="Arial"/>
        </w:rPr>
        <w:t>harder to</w:t>
      </w:r>
      <w:r w:rsidR="009025B4" w:rsidRPr="00FA2126">
        <w:rPr>
          <w:rFonts w:ascii="Arial" w:hAnsi="Arial" w:cs="Arial"/>
        </w:rPr>
        <w:t xml:space="preserve"> move </w:t>
      </w:r>
      <w:r w:rsidR="000B5C7D">
        <w:rPr>
          <w:rFonts w:ascii="Arial" w:hAnsi="Arial" w:cs="Arial"/>
        </w:rPr>
        <w:t>O</w:t>
      </w:r>
      <w:r w:rsidR="009025B4" w:rsidRPr="00FA2126">
        <w:rPr>
          <w:rFonts w:ascii="Arial" w:hAnsi="Arial" w:cs="Arial"/>
        </w:rPr>
        <w:t xml:space="preserve">utages in response to near-term weather events or logistical hurdles, strongly incentivizing generators to stick firmly to their approved </w:t>
      </w:r>
      <w:r w:rsidR="000B5C7D">
        <w:rPr>
          <w:rFonts w:ascii="Arial" w:hAnsi="Arial" w:cs="Arial"/>
        </w:rPr>
        <w:t>O</w:t>
      </w:r>
      <w:r w:rsidR="009025B4" w:rsidRPr="00FA2126">
        <w:rPr>
          <w:rFonts w:ascii="Arial" w:hAnsi="Arial" w:cs="Arial"/>
        </w:rPr>
        <w:t xml:space="preserve">utage schedule or risk losing the ability to complete the </w:t>
      </w:r>
      <w:r w:rsidR="000B5C7D">
        <w:rPr>
          <w:rFonts w:ascii="Arial" w:hAnsi="Arial" w:cs="Arial"/>
        </w:rPr>
        <w:t>O</w:t>
      </w:r>
      <w:r w:rsidR="009025B4" w:rsidRPr="00FA2126">
        <w:rPr>
          <w:rFonts w:ascii="Arial" w:hAnsi="Arial" w:cs="Arial"/>
        </w:rPr>
        <w:t xml:space="preserve">utage before the </w:t>
      </w:r>
      <w:r w:rsidR="000B5C7D">
        <w:rPr>
          <w:rFonts w:ascii="Arial" w:hAnsi="Arial" w:cs="Arial"/>
        </w:rPr>
        <w:t>O</w:t>
      </w:r>
      <w:r w:rsidR="009025B4" w:rsidRPr="00FA2126">
        <w:rPr>
          <w:rFonts w:ascii="Arial" w:hAnsi="Arial" w:cs="Arial"/>
        </w:rPr>
        <w:t xml:space="preserve">utage window closes. </w:t>
      </w:r>
      <w:r w:rsidR="00FA2126">
        <w:rPr>
          <w:rFonts w:ascii="Arial" w:hAnsi="Arial" w:cs="Arial"/>
        </w:rPr>
        <w:t xml:space="preserve"> </w:t>
      </w:r>
    </w:p>
    <w:p w14:paraId="5492806D" w14:textId="00D9248C" w:rsidR="005B6B70" w:rsidRDefault="005B6B70" w:rsidP="00FA212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It is important that recommended maintenance be completed across the </w:t>
      </w:r>
      <w:r w:rsidR="000B5C7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utage season and that historical </w:t>
      </w:r>
      <w:r w:rsidR="000B5C7D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lanned </w:t>
      </w:r>
      <w:r w:rsidR="000B5C7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utages be used as part of the equation. </w:t>
      </w:r>
      <w:r w:rsidR="000B5C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addition, </w:t>
      </w:r>
      <w:r w:rsidR="000B5C7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esources that </w:t>
      </w:r>
      <w:r w:rsidR="008C55A5">
        <w:rPr>
          <w:rFonts w:ascii="Arial" w:hAnsi="Arial" w:cs="Arial"/>
        </w:rPr>
        <w:t>adjust</w:t>
      </w:r>
      <w:r>
        <w:rPr>
          <w:rFonts w:ascii="Arial" w:hAnsi="Arial" w:cs="Arial"/>
        </w:rPr>
        <w:t xml:space="preserve"> </w:t>
      </w:r>
      <w:r w:rsidR="000B5C7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utages in response to system needs should be </w:t>
      </w:r>
      <w:r w:rsidR="00D17002">
        <w:rPr>
          <w:rFonts w:ascii="Arial" w:hAnsi="Arial" w:cs="Arial"/>
        </w:rPr>
        <w:t xml:space="preserve">moved </w:t>
      </w:r>
      <w:r>
        <w:rPr>
          <w:rFonts w:ascii="Arial" w:hAnsi="Arial" w:cs="Arial"/>
        </w:rPr>
        <w:t xml:space="preserve">to the front of the line during that </w:t>
      </w:r>
      <w:r w:rsidR="000B5C7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utage season, rather than be penalized for assisting in </w:t>
      </w:r>
      <w:r w:rsidR="000819B6">
        <w:rPr>
          <w:rFonts w:ascii="Arial" w:hAnsi="Arial" w:cs="Arial"/>
        </w:rPr>
        <w:t xml:space="preserve">meeting a near-term </w:t>
      </w:r>
      <w:r>
        <w:rPr>
          <w:rFonts w:ascii="Arial" w:hAnsi="Arial" w:cs="Arial"/>
        </w:rPr>
        <w:t>reliability</w:t>
      </w:r>
      <w:r w:rsidR="000819B6">
        <w:rPr>
          <w:rFonts w:ascii="Arial" w:hAnsi="Arial" w:cs="Arial"/>
        </w:rPr>
        <w:t xml:space="preserve"> need</w:t>
      </w:r>
      <w:r>
        <w:rPr>
          <w:rFonts w:ascii="Arial" w:hAnsi="Arial" w:cs="Arial"/>
        </w:rPr>
        <w:t xml:space="preserve">.  </w:t>
      </w:r>
    </w:p>
    <w:p w14:paraId="15284EE8" w14:textId="4AFC1D45" w:rsidR="00EA137E" w:rsidRDefault="005B6B70" w:rsidP="00FA2126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TCPA looks forward to working with ERCOT and other stakeholders</w:t>
      </w:r>
      <w:r w:rsidR="00D170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0819B6">
        <w:rPr>
          <w:rFonts w:ascii="Arial" w:hAnsi="Arial" w:cs="Arial"/>
        </w:rPr>
        <w:t xml:space="preserve">including </w:t>
      </w:r>
      <w:r>
        <w:rPr>
          <w:rFonts w:ascii="Arial" w:hAnsi="Arial" w:cs="Arial"/>
        </w:rPr>
        <w:t>Commission Staff</w:t>
      </w:r>
      <w:r w:rsidR="000819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 ensure both </w:t>
      </w:r>
      <w:r w:rsidR="000B5C7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esource adequacy and maintenance needs are properly addressed.  </w:t>
      </w:r>
      <w:r w:rsidR="00EA137E">
        <w:rPr>
          <w:rFonts w:ascii="Arial" w:hAnsi="Arial" w:cs="Arial"/>
        </w:rPr>
        <w:t>We look forward to responses to the questions provided in Luminant’s comments</w:t>
      </w:r>
      <w:r w:rsidR="00D17002">
        <w:rPr>
          <w:rFonts w:ascii="Arial" w:hAnsi="Arial" w:cs="Arial"/>
        </w:rPr>
        <w:t>,</w:t>
      </w:r>
      <w:r w:rsidR="00EA137E">
        <w:rPr>
          <w:rFonts w:ascii="Arial" w:hAnsi="Arial" w:cs="Arial"/>
        </w:rPr>
        <w:t xml:space="preserve"> as they are applicable to all thermal generators.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B663D4" w:rsidRPr="00B5080A" w14:paraId="53110777" w14:textId="77777777" w:rsidTr="0070649D">
        <w:trPr>
          <w:trHeight w:val="422"/>
          <w:jc w:val="center"/>
        </w:trPr>
        <w:tc>
          <w:tcPr>
            <w:tcW w:w="10440" w:type="dxa"/>
            <w:vAlign w:val="center"/>
          </w:tcPr>
          <w:p w14:paraId="2825F411" w14:textId="2C896666" w:rsidR="00B663D4" w:rsidRPr="00075A94" w:rsidRDefault="00B663D4" w:rsidP="0070649D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0A3C4DBC" w14:textId="199A06FD" w:rsidR="00B663D4" w:rsidRDefault="00B663D4" w:rsidP="00B663D4">
      <w:pPr>
        <w:pStyle w:val="NormalArial"/>
        <w:spacing w:before="120" w:after="120"/>
      </w:pPr>
      <w:r>
        <w:t>None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B663D4" w:rsidRPr="00B5080A" w14:paraId="644B867F" w14:textId="77777777" w:rsidTr="0070649D">
        <w:trPr>
          <w:trHeight w:val="422"/>
          <w:jc w:val="center"/>
        </w:trPr>
        <w:tc>
          <w:tcPr>
            <w:tcW w:w="10440" w:type="dxa"/>
            <w:vAlign w:val="center"/>
          </w:tcPr>
          <w:p w14:paraId="43D1D7AB" w14:textId="27F3EAB2" w:rsidR="00B663D4" w:rsidRPr="00075A94" w:rsidRDefault="00B663D4" w:rsidP="0070649D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D687D6C" w14:textId="0D8F407D" w:rsidR="00B663D4" w:rsidRDefault="00B663D4" w:rsidP="00B663D4">
      <w:pPr>
        <w:pStyle w:val="NormalArial"/>
        <w:spacing w:before="120" w:after="120"/>
      </w:pPr>
      <w:r>
        <w:t>None</w:t>
      </w:r>
    </w:p>
    <w:sectPr w:rsidR="00B663D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55D8" w14:textId="77777777" w:rsidR="009750A6" w:rsidRDefault="009750A6">
      <w:r>
        <w:separator/>
      </w:r>
    </w:p>
  </w:endnote>
  <w:endnote w:type="continuationSeparator" w:id="0">
    <w:p w14:paraId="3FF91158" w14:textId="77777777" w:rsidR="009750A6" w:rsidRDefault="0097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43B9" w14:textId="31683ED3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113D38">
      <w:rPr>
        <w:rFonts w:ascii="Arial" w:hAnsi="Arial"/>
        <w:noProof/>
        <w:sz w:val="18"/>
      </w:rPr>
      <w:t>1108NPRR-</w:t>
    </w:r>
    <w:r w:rsidR="00217CBA">
      <w:rPr>
        <w:rFonts w:ascii="Arial" w:hAnsi="Arial"/>
        <w:noProof/>
        <w:sz w:val="18"/>
      </w:rPr>
      <w:t>10</w:t>
    </w:r>
    <w:r w:rsidR="00113D38">
      <w:rPr>
        <w:rFonts w:ascii="Arial" w:hAnsi="Arial"/>
        <w:noProof/>
        <w:sz w:val="18"/>
      </w:rPr>
      <w:t xml:space="preserve"> </w:t>
    </w:r>
    <w:r w:rsidR="00217CBA">
      <w:rPr>
        <w:rFonts w:ascii="Arial" w:hAnsi="Arial"/>
        <w:noProof/>
        <w:sz w:val="18"/>
      </w:rPr>
      <w:t>TCPA</w:t>
    </w:r>
    <w:r w:rsidR="00113D38">
      <w:rPr>
        <w:rFonts w:ascii="Arial" w:hAnsi="Arial"/>
        <w:noProof/>
        <w:sz w:val="18"/>
      </w:rPr>
      <w:t xml:space="preserve"> Comments 032</w:t>
    </w:r>
    <w:r w:rsidR="00217CBA">
      <w:rPr>
        <w:rFonts w:ascii="Arial" w:hAnsi="Arial"/>
        <w:noProof/>
        <w:sz w:val="18"/>
      </w:rPr>
      <w:t>5</w:t>
    </w:r>
    <w:r w:rsidR="00113D38">
      <w:rPr>
        <w:rFonts w:ascii="Arial" w:hAnsi="Arial"/>
        <w:noProof/>
        <w:sz w:val="18"/>
      </w:rPr>
      <w:t>22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0769F7E9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E02A" w14:textId="77777777" w:rsidR="009750A6" w:rsidRDefault="009750A6">
      <w:r>
        <w:separator/>
      </w:r>
    </w:p>
  </w:footnote>
  <w:footnote w:type="continuationSeparator" w:id="0">
    <w:p w14:paraId="196BA7C3" w14:textId="77777777" w:rsidR="009750A6" w:rsidRDefault="00975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68A9" w14:textId="1F314777" w:rsidR="00EE6681" w:rsidRPr="00217CBA" w:rsidRDefault="00EE6681" w:rsidP="00217CBA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B487021"/>
    <w:multiLevelType w:val="hybridMultilevel"/>
    <w:tmpl w:val="E4E24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C0124"/>
    <w:multiLevelType w:val="hybridMultilevel"/>
    <w:tmpl w:val="C964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411E0"/>
    <w:multiLevelType w:val="hybridMultilevel"/>
    <w:tmpl w:val="05F8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7668"/>
    <w:rsid w:val="00075A94"/>
    <w:rsid w:val="000819B6"/>
    <w:rsid w:val="000B5C7D"/>
    <w:rsid w:val="00113D38"/>
    <w:rsid w:val="00132855"/>
    <w:rsid w:val="00152993"/>
    <w:rsid w:val="00170297"/>
    <w:rsid w:val="001A227D"/>
    <w:rsid w:val="001E2032"/>
    <w:rsid w:val="001F16C3"/>
    <w:rsid w:val="00217CBA"/>
    <w:rsid w:val="003010C0"/>
    <w:rsid w:val="00332A97"/>
    <w:rsid w:val="00350C00"/>
    <w:rsid w:val="00366113"/>
    <w:rsid w:val="003A7DC5"/>
    <w:rsid w:val="003C270C"/>
    <w:rsid w:val="003C68C9"/>
    <w:rsid w:val="003D0994"/>
    <w:rsid w:val="00423824"/>
    <w:rsid w:val="0043567D"/>
    <w:rsid w:val="00466FBA"/>
    <w:rsid w:val="004B7B90"/>
    <w:rsid w:val="004E2C19"/>
    <w:rsid w:val="005A33DB"/>
    <w:rsid w:val="005B6B70"/>
    <w:rsid w:val="005D284C"/>
    <w:rsid w:val="00604512"/>
    <w:rsid w:val="00633E23"/>
    <w:rsid w:val="00673B94"/>
    <w:rsid w:val="00680AC6"/>
    <w:rsid w:val="006835D8"/>
    <w:rsid w:val="006C316E"/>
    <w:rsid w:val="006D0F7C"/>
    <w:rsid w:val="00713BB3"/>
    <w:rsid w:val="007269C4"/>
    <w:rsid w:val="0074209E"/>
    <w:rsid w:val="007F2CA8"/>
    <w:rsid w:val="007F7161"/>
    <w:rsid w:val="008412A3"/>
    <w:rsid w:val="0085559E"/>
    <w:rsid w:val="00896B1B"/>
    <w:rsid w:val="008C55A5"/>
    <w:rsid w:val="008E559E"/>
    <w:rsid w:val="009025B4"/>
    <w:rsid w:val="00916080"/>
    <w:rsid w:val="00921A68"/>
    <w:rsid w:val="009572C5"/>
    <w:rsid w:val="009750A6"/>
    <w:rsid w:val="00A015C4"/>
    <w:rsid w:val="00A15172"/>
    <w:rsid w:val="00B471C3"/>
    <w:rsid w:val="00B5080A"/>
    <w:rsid w:val="00B663D4"/>
    <w:rsid w:val="00B943AE"/>
    <w:rsid w:val="00BD7258"/>
    <w:rsid w:val="00C02A74"/>
    <w:rsid w:val="00C0598D"/>
    <w:rsid w:val="00C11956"/>
    <w:rsid w:val="00C602E5"/>
    <w:rsid w:val="00C748FD"/>
    <w:rsid w:val="00D0665C"/>
    <w:rsid w:val="00D17002"/>
    <w:rsid w:val="00D4046E"/>
    <w:rsid w:val="00D4362F"/>
    <w:rsid w:val="00D66A01"/>
    <w:rsid w:val="00DD4739"/>
    <w:rsid w:val="00DE5F33"/>
    <w:rsid w:val="00E07B54"/>
    <w:rsid w:val="00E11F78"/>
    <w:rsid w:val="00E602F5"/>
    <w:rsid w:val="00E621E1"/>
    <w:rsid w:val="00EA137E"/>
    <w:rsid w:val="00EC55B3"/>
    <w:rsid w:val="00EE6681"/>
    <w:rsid w:val="00F96FB2"/>
    <w:rsid w:val="00FA2126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B2D9C1"/>
  <w15:chartTrackingRefBased/>
  <w15:docId w15:val="{2DED2F39-E41D-44C4-9D03-C26C0C9A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ListParagraph">
    <w:name w:val="List Paragraph"/>
    <w:basedOn w:val="Normal"/>
    <w:uiPriority w:val="34"/>
    <w:qFormat/>
    <w:rsid w:val="009025B4"/>
    <w:pPr>
      <w:ind w:left="720"/>
    </w:pPr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60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e@competitivepowe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cot.com/mktrules/issues/NPRR11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472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3354</CharactersWithSpaces>
  <SharedDoc>false</SharedDoc>
  <HLinks>
    <vt:vector size="12" baseType="variant">
      <vt:variant>
        <vt:i4>4128833</vt:i4>
      </vt:variant>
      <vt:variant>
        <vt:i4>3</vt:i4>
      </vt:variant>
      <vt:variant>
        <vt:i4>0</vt:i4>
      </vt:variant>
      <vt:variant>
        <vt:i4>5</vt:i4>
      </vt:variant>
      <vt:variant>
        <vt:lpwstr>mailto:Ian.Haley@VistraCorp.com</vt:lpwstr>
      </vt:variant>
      <vt:variant>
        <vt:lpwstr/>
      </vt:variant>
      <vt:variant>
        <vt:i4>1638470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http://www.ercot.com/mktrules/issues/NPRR1108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Hunt Energy Network</cp:lastModifiedBy>
  <cp:revision>2</cp:revision>
  <cp:lastPrinted>2022-03-23T15:10:00Z</cp:lastPrinted>
  <dcterms:created xsi:type="dcterms:W3CDTF">2022-03-25T23:42:00Z</dcterms:created>
  <dcterms:modified xsi:type="dcterms:W3CDTF">2022-03-25T23:42:00Z</dcterms:modified>
</cp:coreProperties>
</file>