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rsidRPr="003C2624" w14:paraId="3D29DFA2" w14:textId="77777777">
        <w:tc>
          <w:tcPr>
            <w:tcW w:w="1620" w:type="dxa"/>
            <w:tcBorders>
              <w:bottom w:val="single" w:sz="4" w:space="0" w:color="auto"/>
            </w:tcBorders>
            <w:shd w:val="clear" w:color="auto" w:fill="FFFFFF"/>
            <w:vAlign w:val="center"/>
          </w:tcPr>
          <w:p w14:paraId="48B0DE1D" w14:textId="77777777" w:rsidR="00152993" w:rsidRPr="003C2624" w:rsidRDefault="00EE6681">
            <w:pPr>
              <w:pStyle w:val="Header"/>
              <w:rPr>
                <w:rFonts w:cs="Arial"/>
                <w:sz w:val="22"/>
              </w:rPr>
            </w:pPr>
            <w:r w:rsidRPr="003C2624">
              <w:rPr>
                <w:rFonts w:cs="Arial"/>
              </w:rPr>
              <w:t>N</w:t>
            </w:r>
            <w:r w:rsidR="00152993" w:rsidRPr="003C2624">
              <w:rPr>
                <w:rFonts w:cs="Arial"/>
              </w:rPr>
              <w:t>PRR Number</w:t>
            </w:r>
          </w:p>
        </w:tc>
        <w:tc>
          <w:tcPr>
            <w:tcW w:w="1260" w:type="dxa"/>
            <w:tcBorders>
              <w:bottom w:val="single" w:sz="4" w:space="0" w:color="auto"/>
            </w:tcBorders>
            <w:vAlign w:val="center"/>
          </w:tcPr>
          <w:p w14:paraId="4445E20A" w14:textId="77777777" w:rsidR="00152993" w:rsidRPr="003C2624" w:rsidRDefault="00B04FFB">
            <w:pPr>
              <w:pStyle w:val="Header"/>
              <w:rPr>
                <w:rFonts w:cs="Arial"/>
              </w:rPr>
            </w:pPr>
            <w:hyperlink r:id="rId8" w:history="1">
              <w:r w:rsidR="007100B6" w:rsidRPr="003C2624">
                <w:rPr>
                  <w:rStyle w:val="Hyperlink"/>
                  <w:rFonts w:cs="Arial"/>
                </w:rPr>
                <w:t>1092</w:t>
              </w:r>
            </w:hyperlink>
          </w:p>
        </w:tc>
        <w:tc>
          <w:tcPr>
            <w:tcW w:w="900" w:type="dxa"/>
            <w:tcBorders>
              <w:bottom w:val="single" w:sz="4" w:space="0" w:color="auto"/>
            </w:tcBorders>
            <w:shd w:val="clear" w:color="auto" w:fill="FFFFFF"/>
            <w:vAlign w:val="center"/>
          </w:tcPr>
          <w:p w14:paraId="47FD7BDD" w14:textId="77777777" w:rsidR="00152993" w:rsidRPr="003C2624" w:rsidRDefault="00EE6681">
            <w:pPr>
              <w:pStyle w:val="Header"/>
              <w:rPr>
                <w:rFonts w:cs="Arial"/>
              </w:rPr>
            </w:pPr>
            <w:r w:rsidRPr="003C2624">
              <w:rPr>
                <w:rFonts w:cs="Arial"/>
              </w:rPr>
              <w:t>N</w:t>
            </w:r>
            <w:r w:rsidR="00152993" w:rsidRPr="003C2624">
              <w:rPr>
                <w:rFonts w:cs="Arial"/>
              </w:rPr>
              <w:t>PRR Title</w:t>
            </w:r>
          </w:p>
        </w:tc>
        <w:tc>
          <w:tcPr>
            <w:tcW w:w="6660" w:type="dxa"/>
            <w:tcBorders>
              <w:bottom w:val="single" w:sz="4" w:space="0" w:color="auto"/>
            </w:tcBorders>
            <w:vAlign w:val="center"/>
          </w:tcPr>
          <w:p w14:paraId="6285AC25" w14:textId="77777777" w:rsidR="00152993" w:rsidRPr="003C2624" w:rsidRDefault="007100B6">
            <w:pPr>
              <w:pStyle w:val="Header"/>
              <w:rPr>
                <w:rFonts w:cs="Arial"/>
              </w:rPr>
            </w:pPr>
            <w:r w:rsidRPr="003C2624">
              <w:rPr>
                <w:rFonts w:cs="Arial"/>
              </w:rPr>
              <w:t>Reduce RUC Offer Floor and Remove RUC Opt-Out Provision</w:t>
            </w:r>
          </w:p>
        </w:tc>
      </w:tr>
      <w:tr w:rsidR="00152993" w:rsidRPr="003C2624" w14:paraId="05C7FD8D" w14:textId="77777777">
        <w:trPr>
          <w:trHeight w:val="413"/>
        </w:trPr>
        <w:tc>
          <w:tcPr>
            <w:tcW w:w="2880" w:type="dxa"/>
            <w:gridSpan w:val="2"/>
            <w:tcBorders>
              <w:top w:val="nil"/>
              <w:left w:val="nil"/>
              <w:bottom w:val="single" w:sz="4" w:space="0" w:color="auto"/>
              <w:right w:val="nil"/>
            </w:tcBorders>
            <w:vAlign w:val="center"/>
          </w:tcPr>
          <w:p w14:paraId="0A751BAD" w14:textId="77777777" w:rsidR="00152993" w:rsidRPr="003C2624" w:rsidRDefault="00152993">
            <w:pPr>
              <w:pStyle w:val="NormalArial"/>
              <w:rPr>
                <w:rFonts w:cs="Arial"/>
              </w:rPr>
            </w:pPr>
          </w:p>
        </w:tc>
        <w:tc>
          <w:tcPr>
            <w:tcW w:w="7560" w:type="dxa"/>
            <w:gridSpan w:val="2"/>
            <w:tcBorders>
              <w:top w:val="single" w:sz="4" w:space="0" w:color="auto"/>
              <w:left w:val="nil"/>
              <w:bottom w:val="nil"/>
              <w:right w:val="nil"/>
            </w:tcBorders>
            <w:vAlign w:val="center"/>
          </w:tcPr>
          <w:p w14:paraId="49B37CCF" w14:textId="77777777" w:rsidR="00152993" w:rsidRPr="003C2624" w:rsidRDefault="00152993">
            <w:pPr>
              <w:pStyle w:val="NormalArial"/>
              <w:rPr>
                <w:rFonts w:cs="Arial"/>
              </w:rPr>
            </w:pPr>
          </w:p>
        </w:tc>
      </w:tr>
      <w:tr w:rsidR="00152993" w:rsidRPr="003C2624" w14:paraId="029404E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456B05C" w14:textId="77777777" w:rsidR="00152993" w:rsidRPr="003C2624" w:rsidRDefault="00152993">
            <w:pPr>
              <w:pStyle w:val="Header"/>
              <w:rPr>
                <w:rFonts w:cs="Arial"/>
              </w:rPr>
            </w:pPr>
            <w:r w:rsidRPr="003C2624">
              <w:rPr>
                <w:rFonts w:cs="Arial"/>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B8A4B7" w14:textId="2DAF964A" w:rsidR="00152993" w:rsidRPr="003C2624" w:rsidRDefault="00C818FC">
            <w:pPr>
              <w:pStyle w:val="NormalArial"/>
              <w:rPr>
                <w:rFonts w:cs="Arial"/>
              </w:rPr>
            </w:pPr>
            <w:r>
              <w:rPr>
                <w:rFonts w:cs="Arial"/>
              </w:rPr>
              <w:t>March 25, 2022</w:t>
            </w:r>
          </w:p>
        </w:tc>
      </w:tr>
      <w:tr w:rsidR="00152993" w:rsidRPr="003C2624" w14:paraId="6ECF0341" w14:textId="77777777">
        <w:trPr>
          <w:trHeight w:val="467"/>
        </w:trPr>
        <w:tc>
          <w:tcPr>
            <w:tcW w:w="2880" w:type="dxa"/>
            <w:gridSpan w:val="2"/>
            <w:tcBorders>
              <w:top w:val="single" w:sz="4" w:space="0" w:color="auto"/>
              <w:left w:val="nil"/>
              <w:bottom w:val="nil"/>
              <w:right w:val="nil"/>
            </w:tcBorders>
            <w:shd w:val="clear" w:color="auto" w:fill="FFFFFF"/>
            <w:vAlign w:val="center"/>
          </w:tcPr>
          <w:p w14:paraId="038C0415" w14:textId="77777777" w:rsidR="00152993" w:rsidRPr="003C2624" w:rsidRDefault="00152993">
            <w:pPr>
              <w:pStyle w:val="NormalArial"/>
              <w:rPr>
                <w:rFonts w:cs="Arial"/>
              </w:rPr>
            </w:pPr>
          </w:p>
        </w:tc>
        <w:tc>
          <w:tcPr>
            <w:tcW w:w="7560" w:type="dxa"/>
            <w:gridSpan w:val="2"/>
            <w:tcBorders>
              <w:top w:val="nil"/>
              <w:left w:val="nil"/>
              <w:bottom w:val="nil"/>
              <w:right w:val="nil"/>
            </w:tcBorders>
            <w:vAlign w:val="center"/>
          </w:tcPr>
          <w:p w14:paraId="2D855307" w14:textId="77777777" w:rsidR="00152993" w:rsidRPr="003C2624" w:rsidRDefault="00152993">
            <w:pPr>
              <w:pStyle w:val="NormalArial"/>
              <w:rPr>
                <w:rFonts w:cs="Arial"/>
              </w:rPr>
            </w:pPr>
          </w:p>
        </w:tc>
      </w:tr>
      <w:tr w:rsidR="00152993" w:rsidRPr="003C2624" w14:paraId="647B205D" w14:textId="77777777">
        <w:trPr>
          <w:trHeight w:val="440"/>
        </w:trPr>
        <w:tc>
          <w:tcPr>
            <w:tcW w:w="10440" w:type="dxa"/>
            <w:gridSpan w:val="4"/>
            <w:tcBorders>
              <w:top w:val="single" w:sz="4" w:space="0" w:color="auto"/>
            </w:tcBorders>
            <w:shd w:val="clear" w:color="auto" w:fill="FFFFFF"/>
            <w:vAlign w:val="center"/>
          </w:tcPr>
          <w:p w14:paraId="16BCCFC3" w14:textId="77777777" w:rsidR="00152993" w:rsidRPr="003C2624" w:rsidRDefault="00152993">
            <w:pPr>
              <w:pStyle w:val="Header"/>
              <w:jc w:val="center"/>
              <w:rPr>
                <w:rFonts w:cs="Arial"/>
              </w:rPr>
            </w:pPr>
            <w:r w:rsidRPr="003C2624">
              <w:rPr>
                <w:rFonts w:cs="Arial"/>
              </w:rPr>
              <w:t>Submitter’s Information</w:t>
            </w:r>
          </w:p>
        </w:tc>
      </w:tr>
      <w:tr w:rsidR="00152993" w:rsidRPr="003C2624" w14:paraId="46FB8305" w14:textId="77777777">
        <w:trPr>
          <w:trHeight w:val="350"/>
        </w:trPr>
        <w:tc>
          <w:tcPr>
            <w:tcW w:w="2880" w:type="dxa"/>
            <w:gridSpan w:val="2"/>
            <w:shd w:val="clear" w:color="auto" w:fill="FFFFFF"/>
            <w:vAlign w:val="center"/>
          </w:tcPr>
          <w:p w14:paraId="62957649" w14:textId="77777777" w:rsidR="00152993" w:rsidRPr="003C2624" w:rsidRDefault="00152993" w:rsidP="00EC55B3">
            <w:pPr>
              <w:pStyle w:val="Header"/>
              <w:rPr>
                <w:rFonts w:cs="Arial"/>
              </w:rPr>
            </w:pPr>
            <w:r w:rsidRPr="003C2624">
              <w:rPr>
                <w:rFonts w:cs="Arial"/>
              </w:rPr>
              <w:t>Name</w:t>
            </w:r>
          </w:p>
        </w:tc>
        <w:tc>
          <w:tcPr>
            <w:tcW w:w="7560" w:type="dxa"/>
            <w:gridSpan w:val="2"/>
            <w:vAlign w:val="center"/>
          </w:tcPr>
          <w:p w14:paraId="1AE7BAF1" w14:textId="77777777" w:rsidR="00152993" w:rsidRPr="003C2624" w:rsidRDefault="005E2532">
            <w:pPr>
              <w:pStyle w:val="NormalArial"/>
              <w:rPr>
                <w:rFonts w:cs="Arial"/>
              </w:rPr>
            </w:pPr>
            <w:r w:rsidRPr="003C2624">
              <w:rPr>
                <w:rFonts w:cs="Arial"/>
              </w:rPr>
              <w:t>Ian Haley</w:t>
            </w:r>
          </w:p>
        </w:tc>
      </w:tr>
      <w:tr w:rsidR="00152993" w:rsidRPr="003C2624" w14:paraId="11826952" w14:textId="77777777">
        <w:trPr>
          <w:trHeight w:val="350"/>
        </w:trPr>
        <w:tc>
          <w:tcPr>
            <w:tcW w:w="2880" w:type="dxa"/>
            <w:gridSpan w:val="2"/>
            <w:shd w:val="clear" w:color="auto" w:fill="FFFFFF"/>
            <w:vAlign w:val="center"/>
          </w:tcPr>
          <w:p w14:paraId="39DE3DFE" w14:textId="77777777" w:rsidR="00152993" w:rsidRPr="003C2624" w:rsidRDefault="00152993" w:rsidP="00EC55B3">
            <w:pPr>
              <w:pStyle w:val="Header"/>
              <w:rPr>
                <w:rFonts w:cs="Arial"/>
              </w:rPr>
            </w:pPr>
            <w:r w:rsidRPr="003C2624">
              <w:rPr>
                <w:rFonts w:cs="Arial"/>
              </w:rPr>
              <w:t>E-mail Address</w:t>
            </w:r>
          </w:p>
        </w:tc>
        <w:tc>
          <w:tcPr>
            <w:tcW w:w="7560" w:type="dxa"/>
            <w:gridSpan w:val="2"/>
            <w:vAlign w:val="center"/>
          </w:tcPr>
          <w:p w14:paraId="1DFD17AF" w14:textId="77777777" w:rsidR="00152993" w:rsidRPr="003C2624" w:rsidRDefault="00B04FFB">
            <w:pPr>
              <w:pStyle w:val="NormalArial"/>
              <w:rPr>
                <w:rFonts w:cs="Arial"/>
              </w:rPr>
            </w:pPr>
            <w:hyperlink r:id="rId9" w:history="1">
              <w:r w:rsidR="005E2532" w:rsidRPr="003C2624">
                <w:rPr>
                  <w:rStyle w:val="Hyperlink"/>
                  <w:rFonts w:cs="Arial"/>
                </w:rPr>
                <w:t>Ian.Haley@VistraCorp.com</w:t>
              </w:r>
            </w:hyperlink>
          </w:p>
        </w:tc>
      </w:tr>
      <w:tr w:rsidR="00152993" w:rsidRPr="003C2624" w14:paraId="2D14E5E2" w14:textId="77777777">
        <w:trPr>
          <w:trHeight w:val="350"/>
        </w:trPr>
        <w:tc>
          <w:tcPr>
            <w:tcW w:w="2880" w:type="dxa"/>
            <w:gridSpan w:val="2"/>
            <w:shd w:val="clear" w:color="auto" w:fill="FFFFFF"/>
            <w:vAlign w:val="center"/>
          </w:tcPr>
          <w:p w14:paraId="530F32F9" w14:textId="77777777" w:rsidR="00152993" w:rsidRPr="003C2624" w:rsidRDefault="00152993" w:rsidP="00EC55B3">
            <w:pPr>
              <w:pStyle w:val="Header"/>
              <w:rPr>
                <w:rFonts w:cs="Arial"/>
              </w:rPr>
            </w:pPr>
            <w:r w:rsidRPr="003C2624">
              <w:rPr>
                <w:rFonts w:cs="Arial"/>
              </w:rPr>
              <w:t>Company</w:t>
            </w:r>
          </w:p>
        </w:tc>
        <w:tc>
          <w:tcPr>
            <w:tcW w:w="7560" w:type="dxa"/>
            <w:gridSpan w:val="2"/>
            <w:vAlign w:val="center"/>
          </w:tcPr>
          <w:p w14:paraId="09235F8A" w14:textId="77777777" w:rsidR="00152993" w:rsidRPr="003C2624" w:rsidRDefault="005E2532">
            <w:pPr>
              <w:pStyle w:val="NormalArial"/>
              <w:rPr>
                <w:rFonts w:cs="Arial"/>
              </w:rPr>
            </w:pPr>
            <w:r w:rsidRPr="003C2624">
              <w:rPr>
                <w:rFonts w:cs="Arial"/>
              </w:rPr>
              <w:t>Luminant Generation Company LLC</w:t>
            </w:r>
          </w:p>
        </w:tc>
      </w:tr>
      <w:tr w:rsidR="00152993" w:rsidRPr="003C2624" w14:paraId="7ED4E617" w14:textId="77777777">
        <w:trPr>
          <w:trHeight w:val="350"/>
        </w:trPr>
        <w:tc>
          <w:tcPr>
            <w:tcW w:w="2880" w:type="dxa"/>
            <w:gridSpan w:val="2"/>
            <w:tcBorders>
              <w:bottom w:val="single" w:sz="4" w:space="0" w:color="auto"/>
            </w:tcBorders>
            <w:shd w:val="clear" w:color="auto" w:fill="FFFFFF"/>
            <w:vAlign w:val="center"/>
          </w:tcPr>
          <w:p w14:paraId="15C3E426" w14:textId="77777777" w:rsidR="00152993" w:rsidRPr="003C2624" w:rsidRDefault="00152993" w:rsidP="00EC55B3">
            <w:pPr>
              <w:pStyle w:val="Header"/>
              <w:rPr>
                <w:rFonts w:cs="Arial"/>
              </w:rPr>
            </w:pPr>
            <w:r w:rsidRPr="003C2624">
              <w:rPr>
                <w:rFonts w:cs="Arial"/>
              </w:rPr>
              <w:t>Phone Number</w:t>
            </w:r>
          </w:p>
        </w:tc>
        <w:tc>
          <w:tcPr>
            <w:tcW w:w="7560" w:type="dxa"/>
            <w:gridSpan w:val="2"/>
            <w:tcBorders>
              <w:bottom w:val="single" w:sz="4" w:space="0" w:color="auto"/>
            </w:tcBorders>
            <w:vAlign w:val="center"/>
          </w:tcPr>
          <w:p w14:paraId="17143F81" w14:textId="77777777" w:rsidR="00152993" w:rsidRPr="003C2624" w:rsidRDefault="005E2532">
            <w:pPr>
              <w:pStyle w:val="NormalArial"/>
              <w:rPr>
                <w:rFonts w:cs="Arial"/>
              </w:rPr>
            </w:pPr>
            <w:r w:rsidRPr="003C2624">
              <w:rPr>
                <w:rFonts w:cs="Arial"/>
              </w:rPr>
              <w:t>512-673-9655</w:t>
            </w:r>
          </w:p>
        </w:tc>
      </w:tr>
      <w:tr w:rsidR="00152993" w:rsidRPr="003C2624" w14:paraId="4E08DE1B" w14:textId="77777777">
        <w:trPr>
          <w:trHeight w:val="350"/>
        </w:trPr>
        <w:tc>
          <w:tcPr>
            <w:tcW w:w="2880" w:type="dxa"/>
            <w:gridSpan w:val="2"/>
            <w:shd w:val="clear" w:color="auto" w:fill="FFFFFF"/>
            <w:vAlign w:val="center"/>
          </w:tcPr>
          <w:p w14:paraId="488C0354" w14:textId="77777777" w:rsidR="00152993" w:rsidRPr="003C2624" w:rsidRDefault="00075A94" w:rsidP="00EC55B3">
            <w:pPr>
              <w:pStyle w:val="Header"/>
              <w:rPr>
                <w:rFonts w:cs="Arial"/>
              </w:rPr>
            </w:pPr>
            <w:r w:rsidRPr="003C2624">
              <w:rPr>
                <w:rFonts w:cs="Arial"/>
              </w:rPr>
              <w:t xml:space="preserve">Cell </w:t>
            </w:r>
            <w:r w:rsidR="00152993" w:rsidRPr="003C2624">
              <w:rPr>
                <w:rFonts w:cs="Arial"/>
              </w:rPr>
              <w:t>Number</w:t>
            </w:r>
          </w:p>
        </w:tc>
        <w:tc>
          <w:tcPr>
            <w:tcW w:w="7560" w:type="dxa"/>
            <w:gridSpan w:val="2"/>
            <w:vAlign w:val="center"/>
          </w:tcPr>
          <w:p w14:paraId="3E689AD6" w14:textId="77777777" w:rsidR="00152993" w:rsidRPr="003C2624" w:rsidRDefault="00152993">
            <w:pPr>
              <w:pStyle w:val="NormalArial"/>
              <w:rPr>
                <w:rFonts w:cs="Arial"/>
              </w:rPr>
            </w:pPr>
          </w:p>
        </w:tc>
      </w:tr>
      <w:tr w:rsidR="00075A94" w:rsidRPr="003C2624" w14:paraId="7E5B28ED" w14:textId="77777777">
        <w:trPr>
          <w:trHeight w:val="350"/>
        </w:trPr>
        <w:tc>
          <w:tcPr>
            <w:tcW w:w="2880" w:type="dxa"/>
            <w:gridSpan w:val="2"/>
            <w:tcBorders>
              <w:bottom w:val="single" w:sz="4" w:space="0" w:color="auto"/>
            </w:tcBorders>
            <w:shd w:val="clear" w:color="auto" w:fill="FFFFFF"/>
            <w:vAlign w:val="center"/>
          </w:tcPr>
          <w:p w14:paraId="453D8DE5" w14:textId="77777777" w:rsidR="00075A94" w:rsidRPr="003C2624" w:rsidDel="00075A94" w:rsidRDefault="00075A94" w:rsidP="00EC55B3">
            <w:pPr>
              <w:pStyle w:val="Header"/>
              <w:rPr>
                <w:rFonts w:cs="Arial"/>
              </w:rPr>
            </w:pPr>
            <w:r w:rsidRPr="003C2624">
              <w:rPr>
                <w:rFonts w:cs="Arial"/>
              </w:rPr>
              <w:t>Market Segment</w:t>
            </w:r>
          </w:p>
        </w:tc>
        <w:tc>
          <w:tcPr>
            <w:tcW w:w="7560" w:type="dxa"/>
            <w:gridSpan w:val="2"/>
            <w:tcBorders>
              <w:bottom w:val="single" w:sz="4" w:space="0" w:color="auto"/>
            </w:tcBorders>
            <w:vAlign w:val="center"/>
          </w:tcPr>
          <w:p w14:paraId="65796D18" w14:textId="77777777" w:rsidR="00075A94" w:rsidRPr="003C2624" w:rsidRDefault="005E2532">
            <w:pPr>
              <w:pStyle w:val="NormalArial"/>
              <w:rPr>
                <w:rFonts w:cs="Arial"/>
              </w:rPr>
            </w:pPr>
            <w:r w:rsidRPr="003C2624">
              <w:rPr>
                <w:rFonts w:cs="Arial"/>
              </w:rPr>
              <w:t>Independent Generator</w:t>
            </w:r>
          </w:p>
        </w:tc>
      </w:tr>
    </w:tbl>
    <w:p w14:paraId="0A3E0BEE" w14:textId="77777777" w:rsidR="00152993" w:rsidRPr="003C2624" w:rsidRDefault="00152993">
      <w:pPr>
        <w:pStyle w:val="NormalArial"/>
        <w:rPr>
          <w:rFonts w:cs="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3C2624" w14:paraId="0E85E3E0" w14:textId="77777777" w:rsidTr="00B5080A">
        <w:trPr>
          <w:trHeight w:val="422"/>
          <w:jc w:val="center"/>
        </w:trPr>
        <w:tc>
          <w:tcPr>
            <w:tcW w:w="10440" w:type="dxa"/>
            <w:vAlign w:val="center"/>
          </w:tcPr>
          <w:p w14:paraId="36B9BC9F" w14:textId="77777777" w:rsidR="00075A94" w:rsidRPr="003C2624" w:rsidRDefault="00075A94" w:rsidP="00B5080A">
            <w:pPr>
              <w:pStyle w:val="Header"/>
              <w:jc w:val="center"/>
              <w:rPr>
                <w:rFonts w:cs="Arial"/>
              </w:rPr>
            </w:pPr>
            <w:r w:rsidRPr="003C2624">
              <w:rPr>
                <w:rFonts w:cs="Arial"/>
              </w:rPr>
              <w:t>Comments</w:t>
            </w:r>
          </w:p>
        </w:tc>
      </w:tr>
    </w:tbl>
    <w:p w14:paraId="2CF3EFA0" w14:textId="0F935661" w:rsidR="00197F27" w:rsidRPr="00197F27" w:rsidRDefault="00197F27" w:rsidP="00197F27">
      <w:pPr>
        <w:pStyle w:val="NormalArial"/>
        <w:spacing w:before="120" w:after="120"/>
        <w:rPr>
          <w:rFonts w:cs="Arial"/>
        </w:rPr>
      </w:pPr>
      <w:bookmarkStart w:id="0" w:name="_Hlk99114812"/>
      <w:r w:rsidRPr="00197F27">
        <w:rPr>
          <w:rFonts w:cs="Arial"/>
        </w:rPr>
        <w:t xml:space="preserve">As the </w:t>
      </w:r>
      <w:r w:rsidR="0067536B">
        <w:rPr>
          <w:rFonts w:cs="Arial"/>
        </w:rPr>
        <w:t>March 24</w:t>
      </w:r>
      <w:r w:rsidR="0067536B" w:rsidRPr="0067536B">
        <w:rPr>
          <w:rFonts w:cs="Arial"/>
          <w:vertAlign w:val="superscript"/>
        </w:rPr>
        <w:t>th</w:t>
      </w:r>
      <w:r w:rsidR="0067536B">
        <w:rPr>
          <w:rFonts w:cs="Arial"/>
        </w:rPr>
        <w:t xml:space="preserve"> </w:t>
      </w:r>
      <w:r w:rsidRPr="00197F27">
        <w:rPr>
          <w:rFonts w:cs="Arial"/>
        </w:rPr>
        <w:t xml:space="preserve">Joint Commenters have noted in their comments, Luminant accounts for a majority of </w:t>
      </w:r>
      <w:r w:rsidR="00B04FFB">
        <w:rPr>
          <w:rFonts w:cs="Arial"/>
        </w:rPr>
        <w:t>Quick Start Generation Resource (</w:t>
      </w:r>
      <w:r w:rsidRPr="00197F27">
        <w:rPr>
          <w:rFonts w:cs="Arial"/>
        </w:rPr>
        <w:t>QSGR</w:t>
      </w:r>
      <w:r w:rsidR="00B04FFB">
        <w:rPr>
          <w:rFonts w:cs="Arial"/>
        </w:rPr>
        <w:t>)</w:t>
      </w:r>
      <w:r w:rsidRPr="00197F27">
        <w:rPr>
          <w:rFonts w:cs="Arial"/>
        </w:rPr>
        <w:t xml:space="preserve"> offers. </w:t>
      </w:r>
      <w:r w:rsidR="00B04FFB">
        <w:rPr>
          <w:rFonts w:cs="Arial"/>
        </w:rPr>
        <w:t xml:space="preserve"> </w:t>
      </w:r>
      <w:r w:rsidRPr="00197F27">
        <w:rPr>
          <w:rFonts w:cs="Arial"/>
        </w:rPr>
        <w:t xml:space="preserve">Because of its significant investment in QSGRs and lack of captive rate base, Luminant has undertaken a great deal of work to assess and share with ERCOT the true all-in costs of maintaining and operating these units in quick start mode – that cost is high. </w:t>
      </w:r>
      <w:r w:rsidR="00B04FFB">
        <w:rPr>
          <w:rFonts w:cs="Arial"/>
        </w:rPr>
        <w:t xml:space="preserve"> </w:t>
      </w:r>
      <w:r w:rsidRPr="00197F27">
        <w:rPr>
          <w:rFonts w:cs="Arial"/>
        </w:rPr>
        <w:t xml:space="preserve">The high cost of these units has been acceptable to the market because of the reliability function that they offer. </w:t>
      </w:r>
      <w:r w:rsidR="00B04FFB">
        <w:rPr>
          <w:rFonts w:cs="Arial"/>
        </w:rPr>
        <w:t xml:space="preserve"> </w:t>
      </w:r>
      <w:r w:rsidRPr="00197F27">
        <w:rPr>
          <w:rFonts w:cs="Arial"/>
        </w:rPr>
        <w:t xml:space="preserve">Their high cost and reliability function is why they are separately accounted for in Luminant’s </w:t>
      </w:r>
      <w:r w:rsidR="00B04FFB">
        <w:rPr>
          <w:rFonts w:cs="Arial"/>
        </w:rPr>
        <w:t>voluntary mitigation plan (</w:t>
      </w:r>
      <w:r w:rsidRPr="00197F27">
        <w:rPr>
          <w:rFonts w:cs="Arial"/>
        </w:rPr>
        <w:t>VMP</w:t>
      </w:r>
      <w:r w:rsidR="00B04FFB">
        <w:rPr>
          <w:rFonts w:cs="Arial"/>
        </w:rPr>
        <w:t>)</w:t>
      </w:r>
      <w:r w:rsidRPr="00197F27">
        <w:rPr>
          <w:rFonts w:cs="Arial"/>
        </w:rPr>
        <w:t xml:space="preserve">. </w:t>
      </w:r>
      <w:r w:rsidR="00B04FFB">
        <w:rPr>
          <w:rFonts w:cs="Arial"/>
        </w:rPr>
        <w:t xml:space="preserve"> </w:t>
      </w:r>
      <w:r w:rsidRPr="00197F27">
        <w:rPr>
          <w:rFonts w:cs="Arial"/>
        </w:rPr>
        <w:t>The calculation of the QSGR offers is consistent with the methodologies used to calculate fast start offers in other markets, including MISO, PJM, and ISO-NE.</w:t>
      </w:r>
    </w:p>
    <w:p w14:paraId="50BA95EB" w14:textId="29CE148C" w:rsidR="00197F27" w:rsidRPr="00197F27" w:rsidRDefault="00197F27" w:rsidP="00197F27">
      <w:pPr>
        <w:pStyle w:val="NormalArial"/>
        <w:spacing w:before="120" w:after="120"/>
        <w:rPr>
          <w:rFonts w:cs="Arial"/>
        </w:rPr>
      </w:pPr>
      <w:r w:rsidRPr="00197F27">
        <w:rPr>
          <w:rFonts w:cs="Arial"/>
        </w:rPr>
        <w:t xml:space="preserve">The Joint Commenters’ comments regarding </w:t>
      </w:r>
      <w:r w:rsidR="00B04FFB">
        <w:rPr>
          <w:rFonts w:cs="Arial"/>
        </w:rPr>
        <w:t>Reliability Unit Commitments (</w:t>
      </w:r>
      <w:r w:rsidRPr="00197F27">
        <w:rPr>
          <w:rFonts w:cs="Arial"/>
        </w:rPr>
        <w:t>RUCs</w:t>
      </w:r>
      <w:r w:rsidR="00B04FFB">
        <w:rPr>
          <w:rFonts w:cs="Arial"/>
        </w:rPr>
        <w:t>)</w:t>
      </w:r>
      <w:r w:rsidRPr="00197F27">
        <w:rPr>
          <w:rFonts w:cs="Arial"/>
        </w:rPr>
        <w:t xml:space="preserve"> are premised on the idea that these units do not provide value to the market and thus it is acceptable to use out-of-market actions to price them out of the market.</w:t>
      </w:r>
      <w:r w:rsidR="00B04FFB">
        <w:rPr>
          <w:rFonts w:cs="Arial"/>
        </w:rPr>
        <w:t xml:space="preserve"> </w:t>
      </w:r>
      <w:r w:rsidRPr="00197F27">
        <w:rPr>
          <w:rFonts w:cs="Arial"/>
        </w:rPr>
        <w:t xml:space="preserve"> Luminant disagrees that it is acceptable to use out-of-market actions to price these units out.</w:t>
      </w:r>
      <w:r w:rsidR="00B04FFB">
        <w:rPr>
          <w:rFonts w:cs="Arial"/>
        </w:rPr>
        <w:t xml:space="preserve"> </w:t>
      </w:r>
      <w:r w:rsidRPr="00197F27">
        <w:rPr>
          <w:rFonts w:cs="Arial"/>
        </w:rPr>
        <w:t xml:space="preserve"> Further, advocating that a solution is acceptable essentially because it only affects one </w:t>
      </w:r>
      <w:r w:rsidR="00B04FFB">
        <w:rPr>
          <w:rFonts w:cs="Arial"/>
        </w:rPr>
        <w:t>M</w:t>
      </w:r>
      <w:r w:rsidRPr="00197F27">
        <w:rPr>
          <w:rFonts w:cs="Arial"/>
        </w:rPr>
        <w:t xml:space="preserve">arket </w:t>
      </w:r>
      <w:r w:rsidR="00B04FFB">
        <w:rPr>
          <w:rFonts w:cs="Arial"/>
        </w:rPr>
        <w:t>P</w:t>
      </w:r>
      <w:r w:rsidRPr="00197F27">
        <w:rPr>
          <w:rFonts w:cs="Arial"/>
        </w:rPr>
        <w:t xml:space="preserve">articipant does not seem in line with PURA’s mandate that regulatory authorities “may not discriminate against any participant or type of participant…in the competitive market.” </w:t>
      </w:r>
      <w:r w:rsidR="00B04FFB">
        <w:rPr>
          <w:rFonts w:cs="Arial"/>
        </w:rPr>
        <w:t xml:space="preserve"> </w:t>
      </w:r>
      <w:r w:rsidRPr="00197F27">
        <w:rPr>
          <w:rFonts w:cs="Arial"/>
        </w:rPr>
        <w:t xml:space="preserve">Market </w:t>
      </w:r>
      <w:r w:rsidR="00B04FFB">
        <w:rPr>
          <w:rFonts w:cs="Arial"/>
        </w:rPr>
        <w:t>P</w:t>
      </w:r>
      <w:r w:rsidRPr="00197F27">
        <w:rPr>
          <w:rFonts w:cs="Arial"/>
        </w:rPr>
        <w:t xml:space="preserve">articipants should consider all of the potential consequences of singling out certain </w:t>
      </w:r>
      <w:r w:rsidR="00B04FFB">
        <w:rPr>
          <w:rFonts w:cs="Arial"/>
        </w:rPr>
        <w:t>M</w:t>
      </w:r>
      <w:r w:rsidRPr="00197F27">
        <w:rPr>
          <w:rFonts w:cs="Arial"/>
        </w:rPr>
        <w:t xml:space="preserve">arket </w:t>
      </w:r>
      <w:r w:rsidR="00B04FFB">
        <w:rPr>
          <w:rFonts w:cs="Arial"/>
        </w:rPr>
        <w:t>P</w:t>
      </w:r>
      <w:r w:rsidRPr="00197F27">
        <w:rPr>
          <w:rFonts w:cs="Arial"/>
        </w:rPr>
        <w:t xml:space="preserve">articipants as expendable. </w:t>
      </w:r>
    </w:p>
    <w:p w14:paraId="315402ED" w14:textId="4F41348D" w:rsidR="00197F27" w:rsidRDefault="00197F27" w:rsidP="00197F27">
      <w:pPr>
        <w:pStyle w:val="NormalArial"/>
        <w:spacing w:before="120" w:after="120"/>
        <w:rPr>
          <w:rFonts w:cs="Arial"/>
        </w:rPr>
      </w:pPr>
      <w:r w:rsidRPr="00197F27">
        <w:rPr>
          <w:rFonts w:cs="Arial"/>
        </w:rPr>
        <w:t xml:space="preserve">Luminant believes that these types of units provide increased reliability. The Commission, ERCOT, and legislators have messaged that reliability is a top priority right now. </w:t>
      </w:r>
      <w:r w:rsidR="00B04FFB">
        <w:rPr>
          <w:rFonts w:cs="Arial"/>
        </w:rPr>
        <w:t xml:space="preserve"> </w:t>
      </w:r>
      <w:r w:rsidRPr="00197F27">
        <w:rPr>
          <w:rFonts w:cs="Arial"/>
        </w:rPr>
        <w:t>If stakeholders believe these units offer the market value, they should work toward market fixes that reduce RUCs, and not advocate for short-sighted out-of-market band-aids.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7AE7" w:rsidRPr="003C2624" w14:paraId="1D76E311" w14:textId="77777777" w:rsidTr="006D7502">
        <w:trPr>
          <w:trHeight w:val="350"/>
        </w:trPr>
        <w:tc>
          <w:tcPr>
            <w:tcW w:w="5000" w:type="pct"/>
            <w:tcBorders>
              <w:bottom w:val="single" w:sz="4" w:space="0" w:color="auto"/>
            </w:tcBorders>
            <w:shd w:val="clear" w:color="auto" w:fill="FFFFFF"/>
            <w:vAlign w:val="center"/>
          </w:tcPr>
          <w:bookmarkEnd w:id="0"/>
          <w:p w14:paraId="61127DF4" w14:textId="77777777" w:rsidR="00027AE7" w:rsidRPr="003C2624" w:rsidRDefault="00027AE7" w:rsidP="006D7502">
            <w:pPr>
              <w:pStyle w:val="Header"/>
              <w:jc w:val="center"/>
              <w:rPr>
                <w:rFonts w:cs="Arial"/>
              </w:rPr>
            </w:pPr>
            <w:r w:rsidRPr="003C2624">
              <w:rPr>
                <w:rFonts w:cs="Arial"/>
              </w:rPr>
              <w:lastRenderedPageBreak/>
              <w:t>Revised Cover Page Language</w:t>
            </w:r>
          </w:p>
        </w:tc>
      </w:tr>
    </w:tbl>
    <w:p w14:paraId="74F1CC74" w14:textId="77777777" w:rsidR="00027AE7" w:rsidRPr="003C2624" w:rsidRDefault="00027AE7" w:rsidP="00027AE7">
      <w:pPr>
        <w:pStyle w:val="BodyText"/>
        <w:rPr>
          <w:rFonts w:ascii="Arial" w:hAnsi="Arial" w:cs="Arial"/>
        </w:rPr>
      </w:pPr>
      <w:r w:rsidRPr="003C2624">
        <w:rPr>
          <w:rFonts w:ascii="Arial" w:hAnsi="Arial" w:cs="Arial"/>
        </w:rPr>
        <w:t>None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027AE7" w:rsidRPr="003C2624" w14:paraId="7F199F40" w14:textId="77777777" w:rsidTr="006D7502">
        <w:trPr>
          <w:trHeight w:val="350"/>
        </w:trPr>
        <w:tc>
          <w:tcPr>
            <w:tcW w:w="5000" w:type="pct"/>
            <w:tcBorders>
              <w:bottom w:val="single" w:sz="4" w:space="0" w:color="auto"/>
            </w:tcBorders>
            <w:shd w:val="clear" w:color="auto" w:fill="FFFFFF"/>
            <w:vAlign w:val="center"/>
          </w:tcPr>
          <w:p w14:paraId="7B3D70B4" w14:textId="77777777" w:rsidR="00027AE7" w:rsidRPr="003C2624" w:rsidRDefault="00027AE7" w:rsidP="006D7502">
            <w:pPr>
              <w:pStyle w:val="Header"/>
              <w:jc w:val="center"/>
              <w:rPr>
                <w:rFonts w:cs="Arial"/>
              </w:rPr>
            </w:pPr>
            <w:r w:rsidRPr="003C2624">
              <w:rPr>
                <w:rFonts w:cs="Arial"/>
              </w:rPr>
              <w:t>Revised Proposed Protocol Language</w:t>
            </w:r>
          </w:p>
        </w:tc>
      </w:tr>
    </w:tbl>
    <w:p w14:paraId="6D9A5959" w14:textId="7EE04E64" w:rsidR="00027AE7" w:rsidRPr="003C2624" w:rsidRDefault="00027AE7" w:rsidP="00027AE7">
      <w:pPr>
        <w:pStyle w:val="BodyText"/>
        <w:rPr>
          <w:rFonts w:ascii="Arial" w:hAnsi="Arial" w:cs="Arial"/>
        </w:rPr>
      </w:pPr>
      <w:r w:rsidRPr="003C2624">
        <w:rPr>
          <w:rFonts w:ascii="Arial" w:hAnsi="Arial" w:cs="Arial"/>
        </w:rPr>
        <w:t>Non</w:t>
      </w:r>
      <w:r w:rsidR="003C2624" w:rsidRPr="003C2624">
        <w:rPr>
          <w:rFonts w:ascii="Arial" w:hAnsi="Arial" w:cs="Arial"/>
        </w:rPr>
        <w:t>e</w:t>
      </w:r>
    </w:p>
    <w:sectPr w:rsidR="00027AE7" w:rsidRPr="003C2624"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4822" w14:textId="77777777" w:rsidR="001722F5" w:rsidRDefault="001722F5">
      <w:r>
        <w:separator/>
      </w:r>
    </w:p>
  </w:endnote>
  <w:endnote w:type="continuationSeparator" w:id="0">
    <w:p w14:paraId="4D2EEA54" w14:textId="77777777" w:rsidR="001722F5" w:rsidRDefault="0017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F8DE" w14:textId="266A9994" w:rsidR="00EE6681" w:rsidRPr="00405997" w:rsidRDefault="00604512" w:rsidP="0074209E">
    <w:pPr>
      <w:pStyle w:val="Footer"/>
      <w:tabs>
        <w:tab w:val="clear" w:pos="4320"/>
        <w:tab w:val="clear" w:pos="8640"/>
        <w:tab w:val="right" w:pos="9360"/>
      </w:tabs>
      <w:rPr>
        <w:rFonts w:ascii="Arial" w:hAnsi="Arial"/>
        <w:sz w:val="18"/>
        <w:lang w:val="fr-FR"/>
      </w:rPr>
    </w:pPr>
    <w:r>
      <w:rPr>
        <w:rFonts w:ascii="Arial" w:hAnsi="Arial"/>
        <w:sz w:val="18"/>
      </w:rPr>
      <w:fldChar w:fldCharType="begin"/>
    </w:r>
    <w:r w:rsidRPr="00405997">
      <w:rPr>
        <w:rFonts w:ascii="Arial" w:hAnsi="Arial"/>
        <w:sz w:val="18"/>
        <w:lang w:val="fr-FR"/>
      </w:rPr>
      <w:instrText xml:space="preserve"> FILENAME   \* MERGEFORMAT </w:instrText>
    </w:r>
    <w:r>
      <w:rPr>
        <w:rFonts w:ascii="Arial" w:hAnsi="Arial"/>
        <w:sz w:val="18"/>
      </w:rPr>
      <w:fldChar w:fldCharType="separate"/>
    </w:r>
    <w:r w:rsidR="00B04FFB">
      <w:rPr>
        <w:rFonts w:ascii="Arial" w:hAnsi="Arial"/>
        <w:noProof/>
        <w:sz w:val="18"/>
        <w:lang w:val="fr-FR"/>
      </w:rPr>
      <w:t>1092NPRR-31 Luminant Comments 032522</w:t>
    </w:r>
    <w:r>
      <w:rPr>
        <w:rFonts w:ascii="Arial" w:hAnsi="Arial"/>
        <w:sz w:val="18"/>
      </w:rPr>
      <w:fldChar w:fldCharType="end"/>
    </w:r>
    <w:r w:rsidR="00EE6681" w:rsidRPr="00405997">
      <w:rPr>
        <w:rFonts w:ascii="Arial" w:hAnsi="Arial"/>
        <w:sz w:val="18"/>
        <w:lang w:val="fr-FR"/>
      </w:rPr>
      <w:tab/>
      <w:t xml:space="preserve">Page </w:t>
    </w:r>
    <w:r w:rsidR="00EE6681">
      <w:rPr>
        <w:rFonts w:ascii="Arial" w:hAnsi="Arial"/>
        <w:sz w:val="18"/>
      </w:rPr>
      <w:fldChar w:fldCharType="begin"/>
    </w:r>
    <w:r w:rsidR="00EE6681" w:rsidRPr="00664E8C">
      <w:rPr>
        <w:rFonts w:ascii="Arial" w:hAnsi="Arial"/>
        <w:sz w:val="18"/>
        <w:lang w:val="fr-FR"/>
      </w:rPr>
      <w:instrText xml:space="preserve"> PAGE </w:instrText>
    </w:r>
    <w:r w:rsidR="00EE6681">
      <w:rPr>
        <w:rFonts w:ascii="Arial" w:hAnsi="Arial"/>
        <w:sz w:val="18"/>
      </w:rPr>
      <w:fldChar w:fldCharType="separate"/>
    </w:r>
    <w:r w:rsidRPr="00664E8C">
      <w:rPr>
        <w:rFonts w:ascii="Arial" w:hAnsi="Arial"/>
        <w:noProof/>
        <w:sz w:val="18"/>
        <w:lang w:val="fr-FR"/>
      </w:rPr>
      <w:t>1</w:t>
    </w:r>
    <w:r w:rsidR="00EE6681">
      <w:rPr>
        <w:rFonts w:ascii="Arial" w:hAnsi="Arial"/>
        <w:sz w:val="18"/>
      </w:rPr>
      <w:fldChar w:fldCharType="end"/>
    </w:r>
    <w:r w:rsidR="00EE6681" w:rsidRPr="00405997">
      <w:rPr>
        <w:rFonts w:ascii="Arial" w:hAnsi="Arial"/>
        <w:sz w:val="18"/>
        <w:lang w:val="fr-FR"/>
      </w:rPr>
      <w:t xml:space="preserve"> of </w:t>
    </w:r>
    <w:r w:rsidR="00EE6681">
      <w:rPr>
        <w:rFonts w:ascii="Arial" w:hAnsi="Arial"/>
        <w:sz w:val="18"/>
      </w:rPr>
      <w:fldChar w:fldCharType="begin"/>
    </w:r>
    <w:r w:rsidR="00EE6681" w:rsidRPr="00664E8C">
      <w:rPr>
        <w:rFonts w:ascii="Arial" w:hAnsi="Arial"/>
        <w:sz w:val="18"/>
        <w:lang w:val="fr-FR"/>
      </w:rPr>
      <w:instrText xml:space="preserve"> NUMPAGES </w:instrText>
    </w:r>
    <w:r w:rsidR="00EE6681">
      <w:rPr>
        <w:rFonts w:ascii="Arial" w:hAnsi="Arial"/>
        <w:sz w:val="18"/>
      </w:rPr>
      <w:fldChar w:fldCharType="separate"/>
    </w:r>
    <w:r w:rsidRPr="00664E8C">
      <w:rPr>
        <w:rFonts w:ascii="Arial" w:hAnsi="Arial"/>
        <w:noProof/>
        <w:sz w:val="18"/>
        <w:lang w:val="fr-FR"/>
      </w:rPr>
      <w:t>1</w:t>
    </w:r>
    <w:r w:rsidR="00EE6681">
      <w:rPr>
        <w:rFonts w:ascii="Arial" w:hAnsi="Arial"/>
        <w:sz w:val="18"/>
      </w:rPr>
      <w:fldChar w:fldCharType="end"/>
    </w:r>
  </w:p>
  <w:p w14:paraId="65F9033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84AF" w14:textId="77777777" w:rsidR="001722F5" w:rsidRDefault="001722F5">
      <w:r>
        <w:separator/>
      </w:r>
    </w:p>
  </w:footnote>
  <w:footnote w:type="continuationSeparator" w:id="0">
    <w:p w14:paraId="789E6ED3" w14:textId="77777777" w:rsidR="001722F5" w:rsidRDefault="00172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7266" w14:textId="4BCDE231" w:rsidR="00EE6681" w:rsidRPr="00B04FFB" w:rsidRDefault="00EE6681" w:rsidP="00B04FFB">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E0537E"/>
    <w:multiLevelType w:val="hybridMultilevel"/>
    <w:tmpl w:val="FCD051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D1551"/>
    <w:multiLevelType w:val="hybridMultilevel"/>
    <w:tmpl w:val="CF30D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DB5056"/>
    <w:multiLevelType w:val="hybridMultilevel"/>
    <w:tmpl w:val="771878A2"/>
    <w:lvl w:ilvl="0" w:tplc="369A331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065EE"/>
    <w:multiLevelType w:val="hybridMultilevel"/>
    <w:tmpl w:val="7406A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5D2CD3"/>
    <w:multiLevelType w:val="hybridMultilevel"/>
    <w:tmpl w:val="52B4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9991B6F"/>
    <w:multiLevelType w:val="hybridMultilevel"/>
    <w:tmpl w:val="3D6256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A3E9D"/>
    <w:multiLevelType w:val="hybridMultilevel"/>
    <w:tmpl w:val="989C2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8423C1F"/>
    <w:multiLevelType w:val="hybridMultilevel"/>
    <w:tmpl w:val="4238A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1"/>
  </w:num>
  <w:num w:numId="6">
    <w:abstractNumId w:val="7"/>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03AC8"/>
    <w:rsid w:val="00006D9F"/>
    <w:rsid w:val="00006DFF"/>
    <w:rsid w:val="000227DA"/>
    <w:rsid w:val="00027344"/>
    <w:rsid w:val="00027AE7"/>
    <w:rsid w:val="000310A7"/>
    <w:rsid w:val="00037668"/>
    <w:rsid w:val="00040689"/>
    <w:rsid w:val="00040D33"/>
    <w:rsid w:val="00041D0A"/>
    <w:rsid w:val="00064260"/>
    <w:rsid w:val="00070485"/>
    <w:rsid w:val="00075A94"/>
    <w:rsid w:val="00081DA6"/>
    <w:rsid w:val="000A501E"/>
    <w:rsid w:val="000A76DC"/>
    <w:rsid w:val="000C05EE"/>
    <w:rsid w:val="000C1869"/>
    <w:rsid w:val="000D06A3"/>
    <w:rsid w:val="000D4CF9"/>
    <w:rsid w:val="000D5B27"/>
    <w:rsid w:val="000D7B0B"/>
    <w:rsid w:val="000E1379"/>
    <w:rsid w:val="000E77CC"/>
    <w:rsid w:val="000F29F2"/>
    <w:rsid w:val="000F545A"/>
    <w:rsid w:val="000F6DE5"/>
    <w:rsid w:val="00106ABC"/>
    <w:rsid w:val="00112CAE"/>
    <w:rsid w:val="00117931"/>
    <w:rsid w:val="0012331E"/>
    <w:rsid w:val="00132855"/>
    <w:rsid w:val="0013296E"/>
    <w:rsid w:val="00141173"/>
    <w:rsid w:val="001418BC"/>
    <w:rsid w:val="00150E2B"/>
    <w:rsid w:val="00152993"/>
    <w:rsid w:val="00170297"/>
    <w:rsid w:val="001722F5"/>
    <w:rsid w:val="001946F4"/>
    <w:rsid w:val="00197027"/>
    <w:rsid w:val="001972C1"/>
    <w:rsid w:val="00197F27"/>
    <w:rsid w:val="001A0889"/>
    <w:rsid w:val="001A227D"/>
    <w:rsid w:val="001B5C14"/>
    <w:rsid w:val="001C25CF"/>
    <w:rsid w:val="001C6270"/>
    <w:rsid w:val="001D1100"/>
    <w:rsid w:val="001E2032"/>
    <w:rsid w:val="001E3401"/>
    <w:rsid w:val="001E5A47"/>
    <w:rsid w:val="00202693"/>
    <w:rsid w:val="00206CE7"/>
    <w:rsid w:val="00207690"/>
    <w:rsid w:val="00210332"/>
    <w:rsid w:val="00217A8D"/>
    <w:rsid w:val="002229FF"/>
    <w:rsid w:val="0022688B"/>
    <w:rsid w:val="002356E3"/>
    <w:rsid w:val="002476DD"/>
    <w:rsid w:val="00250319"/>
    <w:rsid w:val="00260EEE"/>
    <w:rsid w:val="00262711"/>
    <w:rsid w:val="002643FB"/>
    <w:rsid w:val="00283FC9"/>
    <w:rsid w:val="002870E3"/>
    <w:rsid w:val="002921EE"/>
    <w:rsid w:val="002926A2"/>
    <w:rsid w:val="002A5F4C"/>
    <w:rsid w:val="002B7B4E"/>
    <w:rsid w:val="002C3451"/>
    <w:rsid w:val="002C5E72"/>
    <w:rsid w:val="002D50DA"/>
    <w:rsid w:val="002E0327"/>
    <w:rsid w:val="002E10DC"/>
    <w:rsid w:val="003010C0"/>
    <w:rsid w:val="0031025C"/>
    <w:rsid w:val="003105A2"/>
    <w:rsid w:val="00321B37"/>
    <w:rsid w:val="00322613"/>
    <w:rsid w:val="00326C8C"/>
    <w:rsid w:val="003301FB"/>
    <w:rsid w:val="00330554"/>
    <w:rsid w:val="0033247A"/>
    <w:rsid w:val="00332A97"/>
    <w:rsid w:val="00334200"/>
    <w:rsid w:val="00335E8A"/>
    <w:rsid w:val="00337369"/>
    <w:rsid w:val="0034247E"/>
    <w:rsid w:val="00347D81"/>
    <w:rsid w:val="00350C00"/>
    <w:rsid w:val="00350C27"/>
    <w:rsid w:val="003618B7"/>
    <w:rsid w:val="00366113"/>
    <w:rsid w:val="003773EF"/>
    <w:rsid w:val="0039522F"/>
    <w:rsid w:val="003A41C2"/>
    <w:rsid w:val="003A530B"/>
    <w:rsid w:val="003A5888"/>
    <w:rsid w:val="003B051B"/>
    <w:rsid w:val="003B653B"/>
    <w:rsid w:val="003B72FC"/>
    <w:rsid w:val="003C2624"/>
    <w:rsid w:val="003C270C"/>
    <w:rsid w:val="003D0994"/>
    <w:rsid w:val="003D6586"/>
    <w:rsid w:val="003D7713"/>
    <w:rsid w:val="003D78F9"/>
    <w:rsid w:val="003E2EE9"/>
    <w:rsid w:val="003E3AB4"/>
    <w:rsid w:val="003F7564"/>
    <w:rsid w:val="0040082F"/>
    <w:rsid w:val="00402FD5"/>
    <w:rsid w:val="00405508"/>
    <w:rsid w:val="00405997"/>
    <w:rsid w:val="0040607E"/>
    <w:rsid w:val="00412F3E"/>
    <w:rsid w:val="00414BA7"/>
    <w:rsid w:val="00422CC6"/>
    <w:rsid w:val="00423824"/>
    <w:rsid w:val="00426132"/>
    <w:rsid w:val="0043073D"/>
    <w:rsid w:val="0043094F"/>
    <w:rsid w:val="0043567D"/>
    <w:rsid w:val="004372F6"/>
    <w:rsid w:val="00445660"/>
    <w:rsid w:val="004523C0"/>
    <w:rsid w:val="004550A9"/>
    <w:rsid w:val="00471C4F"/>
    <w:rsid w:val="00473D36"/>
    <w:rsid w:val="00474C21"/>
    <w:rsid w:val="004768AB"/>
    <w:rsid w:val="0048118F"/>
    <w:rsid w:val="00487F06"/>
    <w:rsid w:val="0049110B"/>
    <w:rsid w:val="00493AC9"/>
    <w:rsid w:val="004A0F36"/>
    <w:rsid w:val="004A3544"/>
    <w:rsid w:val="004B2B71"/>
    <w:rsid w:val="004B5B39"/>
    <w:rsid w:val="004B7B90"/>
    <w:rsid w:val="004C03C7"/>
    <w:rsid w:val="004C0D1E"/>
    <w:rsid w:val="004C19D6"/>
    <w:rsid w:val="004C2DAF"/>
    <w:rsid w:val="004D4015"/>
    <w:rsid w:val="004E08E3"/>
    <w:rsid w:val="004E289D"/>
    <w:rsid w:val="004E2C19"/>
    <w:rsid w:val="004E5627"/>
    <w:rsid w:val="004E5BED"/>
    <w:rsid w:val="004F2314"/>
    <w:rsid w:val="004F3FC6"/>
    <w:rsid w:val="00500AEB"/>
    <w:rsid w:val="005052DB"/>
    <w:rsid w:val="00506015"/>
    <w:rsid w:val="00510C62"/>
    <w:rsid w:val="0051293B"/>
    <w:rsid w:val="005250DB"/>
    <w:rsid w:val="005261B5"/>
    <w:rsid w:val="0053053D"/>
    <w:rsid w:val="00533C00"/>
    <w:rsid w:val="00541626"/>
    <w:rsid w:val="005545AF"/>
    <w:rsid w:val="0055485E"/>
    <w:rsid w:val="0055622E"/>
    <w:rsid w:val="005600F4"/>
    <w:rsid w:val="00577468"/>
    <w:rsid w:val="00590CAF"/>
    <w:rsid w:val="005C42BD"/>
    <w:rsid w:val="005C5E78"/>
    <w:rsid w:val="005C5E91"/>
    <w:rsid w:val="005D284C"/>
    <w:rsid w:val="005D6561"/>
    <w:rsid w:val="005E0A92"/>
    <w:rsid w:val="005E2532"/>
    <w:rsid w:val="005F24B4"/>
    <w:rsid w:val="005F4969"/>
    <w:rsid w:val="00604512"/>
    <w:rsid w:val="00611C98"/>
    <w:rsid w:val="00612065"/>
    <w:rsid w:val="00612917"/>
    <w:rsid w:val="00633E23"/>
    <w:rsid w:val="0065646B"/>
    <w:rsid w:val="00657FBB"/>
    <w:rsid w:val="00662A6D"/>
    <w:rsid w:val="00664E8C"/>
    <w:rsid w:val="00666C18"/>
    <w:rsid w:val="00673B94"/>
    <w:rsid w:val="0067536B"/>
    <w:rsid w:val="00677F59"/>
    <w:rsid w:val="00680AC6"/>
    <w:rsid w:val="006835D8"/>
    <w:rsid w:val="00684A57"/>
    <w:rsid w:val="00684BFA"/>
    <w:rsid w:val="00687ACF"/>
    <w:rsid w:val="00687B2B"/>
    <w:rsid w:val="00692293"/>
    <w:rsid w:val="0069698C"/>
    <w:rsid w:val="006B1A63"/>
    <w:rsid w:val="006B31C0"/>
    <w:rsid w:val="006C316E"/>
    <w:rsid w:val="006C5A42"/>
    <w:rsid w:val="006C7205"/>
    <w:rsid w:val="006D0274"/>
    <w:rsid w:val="006D0F7C"/>
    <w:rsid w:val="006D7502"/>
    <w:rsid w:val="006E22EE"/>
    <w:rsid w:val="006F78FA"/>
    <w:rsid w:val="007020DF"/>
    <w:rsid w:val="00703F64"/>
    <w:rsid w:val="007066E9"/>
    <w:rsid w:val="007100B6"/>
    <w:rsid w:val="007102F1"/>
    <w:rsid w:val="0071042A"/>
    <w:rsid w:val="00722EA2"/>
    <w:rsid w:val="00726811"/>
    <w:rsid w:val="007269C4"/>
    <w:rsid w:val="00727881"/>
    <w:rsid w:val="00732962"/>
    <w:rsid w:val="0074209E"/>
    <w:rsid w:val="00746022"/>
    <w:rsid w:val="00747901"/>
    <w:rsid w:val="007507BB"/>
    <w:rsid w:val="0075765C"/>
    <w:rsid w:val="00765FB1"/>
    <w:rsid w:val="00766192"/>
    <w:rsid w:val="0077322B"/>
    <w:rsid w:val="00774C10"/>
    <w:rsid w:val="00776954"/>
    <w:rsid w:val="00780C0A"/>
    <w:rsid w:val="007A0E53"/>
    <w:rsid w:val="007A60F9"/>
    <w:rsid w:val="007C472E"/>
    <w:rsid w:val="007C732F"/>
    <w:rsid w:val="007D0C37"/>
    <w:rsid w:val="007D4646"/>
    <w:rsid w:val="007E5A3E"/>
    <w:rsid w:val="007E6DC2"/>
    <w:rsid w:val="007F0F1C"/>
    <w:rsid w:val="007F2CA8"/>
    <w:rsid w:val="007F4F55"/>
    <w:rsid w:val="007F7161"/>
    <w:rsid w:val="007F7661"/>
    <w:rsid w:val="00823A4A"/>
    <w:rsid w:val="00832022"/>
    <w:rsid w:val="00845B66"/>
    <w:rsid w:val="008536B7"/>
    <w:rsid w:val="0085559E"/>
    <w:rsid w:val="0085594A"/>
    <w:rsid w:val="008614E5"/>
    <w:rsid w:val="00866E89"/>
    <w:rsid w:val="00873356"/>
    <w:rsid w:val="00873D7A"/>
    <w:rsid w:val="00874A96"/>
    <w:rsid w:val="008757D7"/>
    <w:rsid w:val="00882959"/>
    <w:rsid w:val="008867DA"/>
    <w:rsid w:val="00891B56"/>
    <w:rsid w:val="008952FB"/>
    <w:rsid w:val="00896B1B"/>
    <w:rsid w:val="008978D5"/>
    <w:rsid w:val="008B6FF3"/>
    <w:rsid w:val="008D522C"/>
    <w:rsid w:val="008E37D0"/>
    <w:rsid w:val="008E559E"/>
    <w:rsid w:val="008F246E"/>
    <w:rsid w:val="00906FB0"/>
    <w:rsid w:val="009115B9"/>
    <w:rsid w:val="00916080"/>
    <w:rsid w:val="009214C3"/>
    <w:rsid w:val="00921A68"/>
    <w:rsid w:val="00921AEF"/>
    <w:rsid w:val="00923814"/>
    <w:rsid w:val="00941344"/>
    <w:rsid w:val="0094167C"/>
    <w:rsid w:val="00944688"/>
    <w:rsid w:val="00947ECE"/>
    <w:rsid w:val="00972201"/>
    <w:rsid w:val="009841A6"/>
    <w:rsid w:val="009A3A90"/>
    <w:rsid w:val="009A560A"/>
    <w:rsid w:val="009A6858"/>
    <w:rsid w:val="009B1B8A"/>
    <w:rsid w:val="009C716B"/>
    <w:rsid w:val="009D1F4B"/>
    <w:rsid w:val="009D1FDC"/>
    <w:rsid w:val="009E585C"/>
    <w:rsid w:val="009F68BF"/>
    <w:rsid w:val="00A015C4"/>
    <w:rsid w:val="00A06ECC"/>
    <w:rsid w:val="00A15172"/>
    <w:rsid w:val="00A24002"/>
    <w:rsid w:val="00A2749F"/>
    <w:rsid w:val="00A27BC8"/>
    <w:rsid w:val="00A32A09"/>
    <w:rsid w:val="00A35BA4"/>
    <w:rsid w:val="00A37C95"/>
    <w:rsid w:val="00A410A8"/>
    <w:rsid w:val="00A57BF5"/>
    <w:rsid w:val="00A613E0"/>
    <w:rsid w:val="00A630EC"/>
    <w:rsid w:val="00A656AE"/>
    <w:rsid w:val="00A71A88"/>
    <w:rsid w:val="00A72237"/>
    <w:rsid w:val="00A725F1"/>
    <w:rsid w:val="00A72926"/>
    <w:rsid w:val="00A754BA"/>
    <w:rsid w:val="00A82451"/>
    <w:rsid w:val="00A82BD2"/>
    <w:rsid w:val="00A93577"/>
    <w:rsid w:val="00AA1D39"/>
    <w:rsid w:val="00AC378D"/>
    <w:rsid w:val="00AD1BA8"/>
    <w:rsid w:val="00AE216D"/>
    <w:rsid w:val="00AE3DE8"/>
    <w:rsid w:val="00AE67A0"/>
    <w:rsid w:val="00AF0BE9"/>
    <w:rsid w:val="00AF1D22"/>
    <w:rsid w:val="00AF23F3"/>
    <w:rsid w:val="00B04FFB"/>
    <w:rsid w:val="00B11D62"/>
    <w:rsid w:val="00B174AC"/>
    <w:rsid w:val="00B208B0"/>
    <w:rsid w:val="00B30DC9"/>
    <w:rsid w:val="00B36E2E"/>
    <w:rsid w:val="00B5080A"/>
    <w:rsid w:val="00B64F60"/>
    <w:rsid w:val="00B943AE"/>
    <w:rsid w:val="00BA08C4"/>
    <w:rsid w:val="00BA4F8F"/>
    <w:rsid w:val="00BD1136"/>
    <w:rsid w:val="00BD2E03"/>
    <w:rsid w:val="00BD37E7"/>
    <w:rsid w:val="00BD58D7"/>
    <w:rsid w:val="00BD5DAA"/>
    <w:rsid w:val="00BD7258"/>
    <w:rsid w:val="00BF109E"/>
    <w:rsid w:val="00BF233A"/>
    <w:rsid w:val="00C0213D"/>
    <w:rsid w:val="00C0598D"/>
    <w:rsid w:val="00C11956"/>
    <w:rsid w:val="00C1360C"/>
    <w:rsid w:val="00C20DBB"/>
    <w:rsid w:val="00C21E8C"/>
    <w:rsid w:val="00C220E3"/>
    <w:rsid w:val="00C262F3"/>
    <w:rsid w:val="00C2690F"/>
    <w:rsid w:val="00C27C1A"/>
    <w:rsid w:val="00C51D46"/>
    <w:rsid w:val="00C52134"/>
    <w:rsid w:val="00C52EB8"/>
    <w:rsid w:val="00C602E5"/>
    <w:rsid w:val="00C60C87"/>
    <w:rsid w:val="00C6498F"/>
    <w:rsid w:val="00C74357"/>
    <w:rsid w:val="00C748FD"/>
    <w:rsid w:val="00C80380"/>
    <w:rsid w:val="00C81198"/>
    <w:rsid w:val="00C818FC"/>
    <w:rsid w:val="00CA626A"/>
    <w:rsid w:val="00CB1899"/>
    <w:rsid w:val="00CB1F87"/>
    <w:rsid w:val="00CB32FF"/>
    <w:rsid w:val="00CB574E"/>
    <w:rsid w:val="00CD21D7"/>
    <w:rsid w:val="00CD23F7"/>
    <w:rsid w:val="00CF0FF8"/>
    <w:rsid w:val="00CF2551"/>
    <w:rsid w:val="00D00B2E"/>
    <w:rsid w:val="00D0266F"/>
    <w:rsid w:val="00D03B6B"/>
    <w:rsid w:val="00D051A0"/>
    <w:rsid w:val="00D2056F"/>
    <w:rsid w:val="00D21173"/>
    <w:rsid w:val="00D223AD"/>
    <w:rsid w:val="00D262BB"/>
    <w:rsid w:val="00D313BF"/>
    <w:rsid w:val="00D344EE"/>
    <w:rsid w:val="00D3471F"/>
    <w:rsid w:val="00D3608D"/>
    <w:rsid w:val="00D4046E"/>
    <w:rsid w:val="00D4239D"/>
    <w:rsid w:val="00D4362F"/>
    <w:rsid w:val="00D501D5"/>
    <w:rsid w:val="00D57B21"/>
    <w:rsid w:val="00D73BBB"/>
    <w:rsid w:val="00D83B04"/>
    <w:rsid w:val="00D86FFA"/>
    <w:rsid w:val="00DA2B0A"/>
    <w:rsid w:val="00DA5ED1"/>
    <w:rsid w:val="00DB01EE"/>
    <w:rsid w:val="00DB1963"/>
    <w:rsid w:val="00DB407B"/>
    <w:rsid w:val="00DC50A7"/>
    <w:rsid w:val="00DC7524"/>
    <w:rsid w:val="00DD24EF"/>
    <w:rsid w:val="00DD4739"/>
    <w:rsid w:val="00DE2182"/>
    <w:rsid w:val="00DE3144"/>
    <w:rsid w:val="00DE5F33"/>
    <w:rsid w:val="00DF10D3"/>
    <w:rsid w:val="00E07B54"/>
    <w:rsid w:val="00E10232"/>
    <w:rsid w:val="00E105A6"/>
    <w:rsid w:val="00E11F78"/>
    <w:rsid w:val="00E14EC3"/>
    <w:rsid w:val="00E16AB6"/>
    <w:rsid w:val="00E24DE2"/>
    <w:rsid w:val="00E52AB7"/>
    <w:rsid w:val="00E559B0"/>
    <w:rsid w:val="00E57979"/>
    <w:rsid w:val="00E60F18"/>
    <w:rsid w:val="00E621E1"/>
    <w:rsid w:val="00E77C12"/>
    <w:rsid w:val="00EA55ED"/>
    <w:rsid w:val="00EA69CF"/>
    <w:rsid w:val="00EA6F3C"/>
    <w:rsid w:val="00EB4EA3"/>
    <w:rsid w:val="00EC0D49"/>
    <w:rsid w:val="00EC43C1"/>
    <w:rsid w:val="00EC55B3"/>
    <w:rsid w:val="00EE5C6C"/>
    <w:rsid w:val="00EE6681"/>
    <w:rsid w:val="00EF50E5"/>
    <w:rsid w:val="00EF50F8"/>
    <w:rsid w:val="00F03D03"/>
    <w:rsid w:val="00F04FC4"/>
    <w:rsid w:val="00F12414"/>
    <w:rsid w:val="00F12491"/>
    <w:rsid w:val="00F35420"/>
    <w:rsid w:val="00F355BB"/>
    <w:rsid w:val="00F36539"/>
    <w:rsid w:val="00F400A1"/>
    <w:rsid w:val="00F40F46"/>
    <w:rsid w:val="00F45ECE"/>
    <w:rsid w:val="00F57219"/>
    <w:rsid w:val="00F574F8"/>
    <w:rsid w:val="00F63777"/>
    <w:rsid w:val="00F67008"/>
    <w:rsid w:val="00F6777E"/>
    <w:rsid w:val="00F748E3"/>
    <w:rsid w:val="00F77549"/>
    <w:rsid w:val="00F809DE"/>
    <w:rsid w:val="00F96FB2"/>
    <w:rsid w:val="00FA1C9D"/>
    <w:rsid w:val="00FA1FEB"/>
    <w:rsid w:val="00FA343F"/>
    <w:rsid w:val="00FA47B1"/>
    <w:rsid w:val="00FA6485"/>
    <w:rsid w:val="00FB51D8"/>
    <w:rsid w:val="00FB70FE"/>
    <w:rsid w:val="00FD08E8"/>
    <w:rsid w:val="00FD2458"/>
    <w:rsid w:val="00FD2C4E"/>
    <w:rsid w:val="00FD467F"/>
    <w:rsid w:val="00FD4B4D"/>
    <w:rsid w:val="00FD5CC3"/>
    <w:rsid w:val="00FD7E5F"/>
    <w:rsid w:val="00FE2CA3"/>
    <w:rsid w:val="00FE41B7"/>
    <w:rsid w:val="00FF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B1D04"/>
  <w15:docId w15:val="{B9719512-2889-44AA-94DD-9E90E64E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51293B"/>
    <w:rPr>
      <w:sz w:val="20"/>
      <w:szCs w:val="20"/>
    </w:rPr>
  </w:style>
  <w:style w:type="character" w:customStyle="1" w:styleId="FootnoteTextChar">
    <w:name w:val="Footnote Text Char"/>
    <w:basedOn w:val="DefaultParagraphFont"/>
    <w:link w:val="FootnoteText"/>
    <w:rsid w:val="0051293B"/>
  </w:style>
  <w:style w:type="character" w:styleId="FootnoteReference">
    <w:name w:val="footnote reference"/>
    <w:rsid w:val="0051293B"/>
    <w:rPr>
      <w:vertAlign w:val="superscript"/>
    </w:rPr>
  </w:style>
  <w:style w:type="character" w:styleId="UnresolvedMention">
    <w:name w:val="Unresolved Mention"/>
    <w:uiPriority w:val="99"/>
    <w:semiHidden/>
    <w:unhideWhenUsed/>
    <w:rsid w:val="0051293B"/>
    <w:rPr>
      <w:color w:val="605E5C"/>
      <w:shd w:val="clear" w:color="auto" w:fill="E1DFDD"/>
    </w:rPr>
  </w:style>
  <w:style w:type="paragraph" w:styleId="Revision">
    <w:name w:val="Revision"/>
    <w:hidden/>
    <w:uiPriority w:val="99"/>
    <w:semiHidden/>
    <w:rsid w:val="00217A8D"/>
    <w:rPr>
      <w:sz w:val="24"/>
      <w:szCs w:val="24"/>
    </w:rPr>
  </w:style>
  <w:style w:type="character" w:styleId="FollowedHyperlink">
    <w:name w:val="FollowedHyperlink"/>
    <w:rsid w:val="0065646B"/>
    <w:rPr>
      <w:color w:val="954F72"/>
      <w:u w:val="single"/>
    </w:rPr>
  </w:style>
  <w:style w:type="character" w:customStyle="1" w:styleId="NormalArialChar">
    <w:name w:val="Normal+Arial Char"/>
    <w:link w:val="NormalArial"/>
    <w:rsid w:val="00027AE7"/>
    <w:rPr>
      <w:rFonts w:ascii="Arial" w:hAnsi="Arial"/>
      <w:sz w:val="24"/>
      <w:szCs w:val="24"/>
    </w:rPr>
  </w:style>
  <w:style w:type="character" w:customStyle="1" w:styleId="HeaderChar">
    <w:name w:val="Header Char"/>
    <w:link w:val="Header"/>
    <w:rsid w:val="00027AE7"/>
    <w:rPr>
      <w:rFonts w:ascii="Arial" w:hAnsi="Arial"/>
      <w:b/>
      <w:bCs/>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027AE7"/>
    <w:rPr>
      <w:sz w:val="24"/>
      <w:szCs w:val="24"/>
    </w:rPr>
  </w:style>
  <w:style w:type="paragraph" w:customStyle="1" w:styleId="xmsonormal">
    <w:name w:val="x_msonormal"/>
    <w:basedOn w:val="Normal"/>
    <w:rsid w:val="00027AE7"/>
    <w:rPr>
      <w:rFonts w:ascii="Calibri" w:eastAsia="Calibri" w:hAnsi="Calibri" w:cs="Calibri"/>
      <w:sz w:val="22"/>
      <w:szCs w:val="22"/>
    </w:rPr>
  </w:style>
  <w:style w:type="paragraph" w:styleId="ListParagraph">
    <w:name w:val="List Paragraph"/>
    <w:basedOn w:val="Normal"/>
    <w:uiPriority w:val="34"/>
    <w:qFormat/>
    <w:rsid w:val="0069698C"/>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24977">
      <w:bodyDiv w:val="1"/>
      <w:marLeft w:val="0"/>
      <w:marRight w:val="0"/>
      <w:marTop w:val="0"/>
      <w:marBottom w:val="0"/>
      <w:divBdr>
        <w:top w:val="none" w:sz="0" w:space="0" w:color="auto"/>
        <w:left w:val="none" w:sz="0" w:space="0" w:color="auto"/>
        <w:bottom w:val="none" w:sz="0" w:space="0" w:color="auto"/>
        <w:right w:val="none" w:sz="0" w:space="0" w:color="auto"/>
      </w:divBdr>
    </w:div>
    <w:div w:id="759450334">
      <w:bodyDiv w:val="1"/>
      <w:marLeft w:val="0"/>
      <w:marRight w:val="0"/>
      <w:marTop w:val="0"/>
      <w:marBottom w:val="0"/>
      <w:divBdr>
        <w:top w:val="none" w:sz="0" w:space="0" w:color="auto"/>
        <w:left w:val="none" w:sz="0" w:space="0" w:color="auto"/>
        <w:bottom w:val="none" w:sz="0" w:space="0" w:color="auto"/>
        <w:right w:val="none" w:sz="0" w:space="0" w:color="auto"/>
      </w:divBdr>
    </w:div>
    <w:div w:id="82667660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87448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an.Haley@Vistra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426C-55BA-43F0-B7A4-8F4A0D91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2417</CharactersWithSpaces>
  <SharedDoc>false</SharedDoc>
  <HLinks>
    <vt:vector size="18" baseType="variant">
      <vt:variant>
        <vt:i4>4128833</vt:i4>
      </vt:variant>
      <vt:variant>
        <vt:i4>3</vt:i4>
      </vt:variant>
      <vt:variant>
        <vt:i4>0</vt:i4>
      </vt:variant>
      <vt:variant>
        <vt:i4>5</vt:i4>
      </vt:variant>
      <vt:variant>
        <vt:lpwstr>mailto:Ian.Haley@VistraCorp.com</vt:lpwstr>
      </vt:variant>
      <vt:variant>
        <vt:lpwstr/>
      </vt:variant>
      <vt:variant>
        <vt:i4>1048647</vt:i4>
      </vt:variant>
      <vt:variant>
        <vt:i4>0</vt:i4>
      </vt:variant>
      <vt:variant>
        <vt:i4>0</vt:i4>
      </vt:variant>
      <vt:variant>
        <vt:i4>5</vt:i4>
      </vt:variant>
      <vt:variant>
        <vt:lpwstr>http://www.ercot.com/mktrules/issues/NPRR1092</vt:lpwstr>
      </vt:variant>
      <vt:variant>
        <vt:lpwstr/>
      </vt:variant>
      <vt:variant>
        <vt:i4>4653073</vt:i4>
      </vt:variant>
      <vt:variant>
        <vt:i4>0</vt:i4>
      </vt:variant>
      <vt:variant>
        <vt:i4>0</vt:i4>
      </vt:variant>
      <vt:variant>
        <vt:i4>5</vt:i4>
      </vt:variant>
      <vt:variant>
        <vt:lpwstr>https://rrctx.force.com/s/case/500t000000vY1mCAAS/detail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Hunt Energy Network</cp:lastModifiedBy>
  <cp:revision>3</cp:revision>
  <cp:lastPrinted>2022-02-07T17:36:00Z</cp:lastPrinted>
  <dcterms:created xsi:type="dcterms:W3CDTF">2022-03-25T23:31:00Z</dcterms:created>
  <dcterms:modified xsi:type="dcterms:W3CDTF">2022-03-25T23:34:00Z</dcterms:modified>
</cp:coreProperties>
</file>