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 w:type="dxa"/>
        <w:tblCellMar>
          <w:left w:w="0" w:type="dxa"/>
          <w:right w:w="0" w:type="dxa"/>
        </w:tblCellMar>
        <w:tblLook w:val="04A0" w:firstRow="1" w:lastRow="0" w:firstColumn="1" w:lastColumn="0" w:noHBand="0" w:noVBand="1"/>
      </w:tblPr>
      <w:tblGrid>
        <w:gridCol w:w="1303"/>
        <w:gridCol w:w="5527"/>
        <w:gridCol w:w="916"/>
        <w:gridCol w:w="2120"/>
        <w:gridCol w:w="4437"/>
      </w:tblGrid>
      <w:tr w:rsidR="001A0A9D" w14:paraId="2FE9C163" w14:textId="77777777" w:rsidTr="001A0A9D">
        <w:trPr>
          <w:trHeight w:val="610"/>
        </w:trPr>
        <w:tc>
          <w:tcPr>
            <w:tcW w:w="0" w:type="auto"/>
            <w:tcBorders>
              <w:top w:val="single" w:sz="8" w:space="0" w:color="auto"/>
              <w:left w:val="single" w:sz="8" w:space="0" w:color="auto"/>
              <w:bottom w:val="single" w:sz="4" w:space="0" w:color="auto"/>
              <w:right w:val="single" w:sz="8" w:space="0" w:color="auto"/>
            </w:tcBorders>
            <w:shd w:val="clear" w:color="auto" w:fill="366092"/>
            <w:tcMar>
              <w:top w:w="0" w:type="dxa"/>
              <w:left w:w="108" w:type="dxa"/>
              <w:bottom w:w="0" w:type="dxa"/>
              <w:right w:w="108" w:type="dxa"/>
            </w:tcMar>
            <w:hideMark/>
          </w:tcPr>
          <w:p w14:paraId="2E6E2AC6" w14:textId="77777777" w:rsidR="001A0A9D" w:rsidRDefault="001A0A9D">
            <w:pPr>
              <w:rPr>
                <w:b/>
                <w:bCs/>
                <w:color w:val="FFFFFF"/>
                <w:sz w:val="20"/>
                <w:szCs w:val="20"/>
              </w:rPr>
            </w:pPr>
            <w:r>
              <w:rPr>
                <w:b/>
                <w:bCs/>
                <w:color w:val="FFFFFF"/>
                <w:sz w:val="20"/>
                <w:szCs w:val="20"/>
              </w:rPr>
              <w:t>REV REQ NO.</w:t>
            </w:r>
          </w:p>
        </w:tc>
        <w:tc>
          <w:tcPr>
            <w:tcW w:w="5527" w:type="dxa"/>
            <w:tcBorders>
              <w:top w:val="single" w:sz="8" w:space="0" w:color="auto"/>
              <w:left w:val="nil"/>
              <w:bottom w:val="single" w:sz="4" w:space="0" w:color="auto"/>
              <w:right w:val="single" w:sz="8" w:space="0" w:color="auto"/>
            </w:tcBorders>
            <w:shd w:val="clear" w:color="auto" w:fill="366092"/>
            <w:tcMar>
              <w:top w:w="0" w:type="dxa"/>
              <w:left w:w="108" w:type="dxa"/>
              <w:bottom w:w="0" w:type="dxa"/>
              <w:right w:w="108" w:type="dxa"/>
            </w:tcMar>
            <w:hideMark/>
          </w:tcPr>
          <w:p w14:paraId="536BB38A" w14:textId="77777777" w:rsidR="001A0A9D" w:rsidRDefault="001A0A9D">
            <w:pPr>
              <w:rPr>
                <w:b/>
                <w:bCs/>
                <w:color w:val="FFFFFF"/>
                <w:sz w:val="20"/>
                <w:szCs w:val="20"/>
              </w:rPr>
            </w:pPr>
            <w:r>
              <w:rPr>
                <w:b/>
                <w:bCs/>
                <w:color w:val="FFFFFF"/>
                <w:sz w:val="20"/>
                <w:szCs w:val="20"/>
              </w:rPr>
              <w:t>DESCRIPTION</w:t>
            </w:r>
          </w:p>
        </w:tc>
        <w:tc>
          <w:tcPr>
            <w:tcW w:w="916" w:type="dxa"/>
            <w:tcBorders>
              <w:top w:val="single" w:sz="8" w:space="0" w:color="auto"/>
              <w:left w:val="nil"/>
              <w:bottom w:val="single" w:sz="4" w:space="0" w:color="auto"/>
              <w:right w:val="single" w:sz="8" w:space="0" w:color="auto"/>
            </w:tcBorders>
            <w:shd w:val="clear" w:color="auto" w:fill="366092"/>
            <w:tcMar>
              <w:top w:w="0" w:type="dxa"/>
              <w:left w:w="108" w:type="dxa"/>
              <w:bottom w:w="0" w:type="dxa"/>
              <w:right w:w="108" w:type="dxa"/>
            </w:tcMar>
            <w:hideMark/>
          </w:tcPr>
          <w:p w14:paraId="65D38527" w14:textId="77777777" w:rsidR="001A0A9D" w:rsidRDefault="001A0A9D">
            <w:pPr>
              <w:jc w:val="center"/>
              <w:rPr>
                <w:b/>
                <w:bCs/>
                <w:color w:val="FFFFFF"/>
                <w:sz w:val="20"/>
                <w:szCs w:val="20"/>
              </w:rPr>
            </w:pPr>
            <w:r>
              <w:rPr>
                <w:b/>
                <w:bCs/>
                <w:color w:val="FFFFFF"/>
                <w:sz w:val="20"/>
                <w:szCs w:val="20"/>
              </w:rPr>
              <w:t>URGENT</w:t>
            </w:r>
          </w:p>
        </w:tc>
        <w:tc>
          <w:tcPr>
            <w:tcW w:w="2120" w:type="dxa"/>
            <w:tcBorders>
              <w:top w:val="single" w:sz="8" w:space="0" w:color="auto"/>
              <w:left w:val="nil"/>
              <w:bottom w:val="single" w:sz="4" w:space="0" w:color="auto"/>
              <w:right w:val="single" w:sz="8" w:space="0" w:color="auto"/>
            </w:tcBorders>
            <w:shd w:val="clear" w:color="auto" w:fill="366092"/>
            <w:tcMar>
              <w:top w:w="0" w:type="dxa"/>
              <w:left w:w="108" w:type="dxa"/>
              <w:bottom w:w="0" w:type="dxa"/>
              <w:right w:w="108" w:type="dxa"/>
            </w:tcMar>
            <w:hideMark/>
          </w:tcPr>
          <w:p w14:paraId="143C73B4" w14:textId="77777777" w:rsidR="001A0A9D" w:rsidRDefault="001A0A9D">
            <w:pPr>
              <w:rPr>
                <w:b/>
                <w:bCs/>
                <w:color w:val="FFFFFF"/>
                <w:sz w:val="20"/>
                <w:szCs w:val="20"/>
              </w:rPr>
            </w:pPr>
            <w:r>
              <w:rPr>
                <w:b/>
                <w:bCs/>
                <w:color w:val="FFFFFF"/>
                <w:sz w:val="20"/>
                <w:szCs w:val="20"/>
              </w:rPr>
              <w:t>ERCOT Opinion</w:t>
            </w:r>
          </w:p>
        </w:tc>
        <w:tc>
          <w:tcPr>
            <w:tcW w:w="4437" w:type="dxa"/>
            <w:tcBorders>
              <w:top w:val="single" w:sz="8" w:space="0" w:color="auto"/>
              <w:left w:val="nil"/>
              <w:bottom w:val="single" w:sz="4" w:space="0" w:color="auto"/>
              <w:right w:val="single" w:sz="8" w:space="0" w:color="auto"/>
            </w:tcBorders>
            <w:shd w:val="clear" w:color="auto" w:fill="366092"/>
            <w:hideMark/>
          </w:tcPr>
          <w:p w14:paraId="6E2F840C" w14:textId="77777777" w:rsidR="001A0A9D" w:rsidRDefault="001A0A9D">
            <w:pPr>
              <w:rPr>
                <w:b/>
                <w:bCs/>
                <w:color w:val="FFFFFF"/>
                <w:sz w:val="20"/>
                <w:szCs w:val="20"/>
              </w:rPr>
            </w:pPr>
            <w:r>
              <w:rPr>
                <w:b/>
                <w:bCs/>
                <w:color w:val="FFFFFF"/>
                <w:sz w:val="20"/>
                <w:szCs w:val="20"/>
              </w:rPr>
              <w:t>ERCOT Market Impact Statement</w:t>
            </w:r>
          </w:p>
        </w:tc>
      </w:tr>
      <w:tr w:rsidR="001A0A9D" w14:paraId="726237A0" w14:textId="77777777" w:rsidTr="001A0A9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ACC4B6" w14:textId="7E147B0C" w:rsidR="001A0A9D" w:rsidRDefault="001A0A9D" w:rsidP="00D54ED3">
            <w:pPr>
              <w:rPr>
                <w:b/>
                <w:bCs/>
                <w:color w:val="000000"/>
                <w:sz w:val="20"/>
                <w:szCs w:val="20"/>
              </w:rPr>
            </w:pPr>
            <w:r>
              <w:rPr>
                <w:rFonts w:cs="Calibri"/>
                <w:b/>
                <w:bCs/>
                <w:color w:val="000000"/>
                <w:sz w:val="20"/>
                <w:szCs w:val="20"/>
              </w:rPr>
              <w:t>096PGRR</w:t>
            </w:r>
          </w:p>
        </w:tc>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035A7A" w14:textId="72C185C0" w:rsidR="001A0A9D" w:rsidRDefault="001A0A9D" w:rsidP="00D54ED3">
            <w:pPr>
              <w:rPr>
                <w:b/>
                <w:bCs/>
                <w:color w:val="000000"/>
                <w:sz w:val="20"/>
                <w:szCs w:val="20"/>
              </w:rPr>
            </w:pPr>
            <w:r>
              <w:rPr>
                <w:rFonts w:cs="Calibri"/>
                <w:b/>
                <w:bCs/>
                <w:color w:val="000000"/>
                <w:sz w:val="20"/>
                <w:szCs w:val="20"/>
              </w:rPr>
              <w:t xml:space="preserve">Achieve Consistent Representation of Distributed Generation in Steady-State Models.  </w:t>
            </w:r>
            <w:r>
              <w:rPr>
                <w:rFonts w:cs="Calibri"/>
                <w:color w:val="000000"/>
                <w:sz w:val="20"/>
                <w:szCs w:val="20"/>
              </w:rPr>
              <w:t>This Planning Guide Revision Request (PGRR) establishes requirements for the consistent representation of Distribution Generation Resources (DGRs), Distribution Energy Storage Resources (DESRs), Settlement Only Distribution Generators (SODGs), and unregistered Distributed Generation (DG) in steady-state base cases.  [ERCOT]</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B2C46C" w14:textId="0535037A" w:rsidR="001A0A9D" w:rsidRDefault="001A0A9D" w:rsidP="00D54ED3">
            <w:pPr>
              <w:jc w:val="center"/>
              <w:rPr>
                <w:color w:val="000000"/>
                <w:sz w:val="20"/>
                <w:szCs w:val="20"/>
              </w:rPr>
            </w:pPr>
            <w:r>
              <w:rPr>
                <w:rFonts w:cs="Calibri"/>
                <w:color w:val="000000"/>
                <w:sz w:val="20"/>
                <w:szCs w:val="20"/>
              </w:rPr>
              <w:t>N</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B38906" w14:textId="50CC983E" w:rsidR="001A0A9D" w:rsidRDefault="001A0A9D" w:rsidP="00D54ED3">
            <w:pPr>
              <w:rPr>
                <w:sz w:val="20"/>
                <w:szCs w:val="20"/>
              </w:rPr>
            </w:pPr>
            <w:r>
              <w:rPr>
                <w:sz w:val="20"/>
                <w:szCs w:val="20"/>
              </w:rPr>
              <w:t>ERCOT supports approval of PGRR096</w:t>
            </w:r>
          </w:p>
        </w:tc>
        <w:tc>
          <w:tcPr>
            <w:tcW w:w="4437" w:type="dxa"/>
            <w:tcBorders>
              <w:top w:val="single" w:sz="4" w:space="0" w:color="auto"/>
              <w:left w:val="single" w:sz="4" w:space="0" w:color="auto"/>
              <w:bottom w:val="single" w:sz="4" w:space="0" w:color="auto"/>
              <w:right w:val="single" w:sz="4" w:space="0" w:color="auto"/>
            </w:tcBorders>
          </w:tcPr>
          <w:p w14:paraId="6B9C9DE4" w14:textId="1F515C43" w:rsidR="001A0A9D" w:rsidRDefault="001A0A9D" w:rsidP="00D54ED3">
            <w:pPr>
              <w:rPr>
                <w:sz w:val="20"/>
                <w:szCs w:val="20"/>
              </w:rPr>
            </w:pPr>
            <w:r w:rsidRPr="00210A3C">
              <w:rPr>
                <w:sz w:val="20"/>
                <w:szCs w:val="20"/>
              </w:rPr>
              <w:t>ERCOT Staff has reviewed PGRR096 and believes the market impact for PGRR096 facilitates a consistent methodology for the representation of distributed energy resources in planning assessments for the maintenance and improvement of system reliability.</w:t>
            </w:r>
          </w:p>
        </w:tc>
      </w:tr>
      <w:tr w:rsidR="001A0A9D" w14:paraId="2C78596F" w14:textId="77777777" w:rsidTr="001A0A9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FCE272" w14:textId="5DD30203" w:rsidR="001A0A9D" w:rsidRDefault="001A0A9D" w:rsidP="00D54ED3">
            <w:pPr>
              <w:rPr>
                <w:b/>
                <w:bCs/>
                <w:color w:val="000000"/>
                <w:sz w:val="20"/>
                <w:szCs w:val="20"/>
              </w:rPr>
            </w:pPr>
            <w:r>
              <w:rPr>
                <w:rFonts w:cs="Calibri"/>
                <w:b/>
                <w:bCs/>
                <w:color w:val="000000"/>
                <w:sz w:val="20"/>
                <w:szCs w:val="20"/>
              </w:rPr>
              <w:t>098PGRR</w:t>
            </w:r>
          </w:p>
        </w:tc>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8809DA" w14:textId="03010AC1" w:rsidR="001A0A9D" w:rsidRDefault="001A0A9D" w:rsidP="00D54ED3">
            <w:pPr>
              <w:rPr>
                <w:b/>
                <w:bCs/>
                <w:color w:val="000000"/>
                <w:sz w:val="20"/>
                <w:szCs w:val="20"/>
              </w:rPr>
            </w:pPr>
            <w:r>
              <w:rPr>
                <w:rFonts w:cs="Calibri"/>
                <w:b/>
                <w:bCs/>
                <w:color w:val="000000"/>
                <w:sz w:val="20"/>
                <w:szCs w:val="20"/>
              </w:rPr>
              <w:t xml:space="preserve">Consideration of Load Shed in Transmission Planning Criteria. </w:t>
            </w:r>
            <w:r>
              <w:rPr>
                <w:rFonts w:cs="Calibri"/>
                <w:color w:val="000000"/>
                <w:sz w:val="20"/>
                <w:szCs w:val="20"/>
              </w:rPr>
              <w:t xml:space="preserve"> This Planning Guide Revision Request (PGRR) adds language to the existing reliability performance criteria that allows a corrective action plan to be developed under certain outage scenarios.  [LCRA]</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EED341" w14:textId="5A064389" w:rsidR="001A0A9D" w:rsidRDefault="001A0A9D" w:rsidP="00D54ED3">
            <w:pPr>
              <w:jc w:val="center"/>
              <w:rPr>
                <w:color w:val="000000"/>
                <w:sz w:val="20"/>
                <w:szCs w:val="20"/>
              </w:rPr>
            </w:pPr>
            <w:r>
              <w:rPr>
                <w:rFonts w:cs="Calibri"/>
                <w:color w:val="000000"/>
                <w:sz w:val="20"/>
                <w:szCs w:val="20"/>
              </w:rPr>
              <w:t>N</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05B37D" w14:textId="210E4550" w:rsidR="001A0A9D" w:rsidRDefault="001A0A9D" w:rsidP="00D54ED3">
            <w:pPr>
              <w:rPr>
                <w:sz w:val="20"/>
                <w:szCs w:val="20"/>
              </w:rPr>
            </w:pPr>
            <w:r>
              <w:rPr>
                <w:sz w:val="20"/>
                <w:szCs w:val="20"/>
              </w:rPr>
              <w:t>ERCOT supports approval of PGRR098</w:t>
            </w:r>
          </w:p>
        </w:tc>
        <w:tc>
          <w:tcPr>
            <w:tcW w:w="4437" w:type="dxa"/>
            <w:tcBorders>
              <w:top w:val="single" w:sz="4" w:space="0" w:color="auto"/>
              <w:left w:val="single" w:sz="4" w:space="0" w:color="auto"/>
              <w:bottom w:val="single" w:sz="4" w:space="0" w:color="auto"/>
              <w:right w:val="single" w:sz="4" w:space="0" w:color="auto"/>
            </w:tcBorders>
          </w:tcPr>
          <w:p w14:paraId="6CC3BEB7" w14:textId="77CC55C8" w:rsidR="001A0A9D" w:rsidRDefault="001A0A9D" w:rsidP="00D54ED3">
            <w:pPr>
              <w:rPr>
                <w:sz w:val="20"/>
                <w:szCs w:val="20"/>
              </w:rPr>
            </w:pPr>
            <w:r w:rsidRPr="003524E8">
              <w:rPr>
                <w:sz w:val="20"/>
                <w:szCs w:val="20"/>
              </w:rPr>
              <w:t>ERCOT Staff has reviewed PGRR098 and believes the market impact for PGRR098 permits TSPs to develop corrective action plans to facilitate the scheduling of maintenance outages during off-peak system conditions without additional risk of non-consequential load loss.</w:t>
            </w:r>
          </w:p>
        </w:tc>
      </w:tr>
      <w:tr w:rsidR="001A0A9D" w14:paraId="3388C430" w14:textId="77777777" w:rsidTr="001A0A9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0BC0FB" w14:textId="0051D002" w:rsidR="001A0A9D" w:rsidRDefault="001A0A9D" w:rsidP="00D54ED3">
            <w:pPr>
              <w:rPr>
                <w:b/>
                <w:bCs/>
                <w:color w:val="000000"/>
                <w:sz w:val="20"/>
                <w:szCs w:val="20"/>
              </w:rPr>
            </w:pPr>
            <w:r>
              <w:rPr>
                <w:rFonts w:cs="Calibri"/>
                <w:b/>
                <w:bCs/>
                <w:color w:val="000000"/>
                <w:sz w:val="20"/>
                <w:szCs w:val="20"/>
              </w:rPr>
              <w:t>1096NPRR</w:t>
            </w:r>
          </w:p>
        </w:tc>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F725DC" w14:textId="5DA58D0E" w:rsidR="001A0A9D" w:rsidRDefault="001A0A9D" w:rsidP="00D54ED3">
            <w:pPr>
              <w:rPr>
                <w:b/>
                <w:bCs/>
                <w:color w:val="000000"/>
                <w:sz w:val="20"/>
                <w:szCs w:val="20"/>
              </w:rPr>
            </w:pPr>
            <w:r>
              <w:rPr>
                <w:rFonts w:cs="Calibri"/>
                <w:b/>
                <w:bCs/>
                <w:color w:val="000000"/>
                <w:sz w:val="20"/>
                <w:szCs w:val="20"/>
              </w:rPr>
              <w:t xml:space="preserve">Require Sustained Two-Hour Capability for ECRS and Four-Hour Capability for Non-Spin.  </w:t>
            </w:r>
            <w:r>
              <w:rPr>
                <w:rFonts w:cs="Calibri"/>
                <w:color w:val="000000"/>
                <w:sz w:val="20"/>
                <w:szCs w:val="20"/>
              </w:rPr>
              <w:t>This Nodal Protocol Revision Request (NPRR) requires Resources that provide ERCOT Contingency Reserve Service (ECRS) to limit their responsibility to a quantity of capacity that is capable of being sustained for two consecutive hours and/or Non-Spinning Reserve (Non-Spin) to limit their responsibility to a quantity of capacity that is capable of being sustained for four consecutive hours. Additionally, this NPRR also requires ERCOT to conduct unannounced tests on Energy Storage Resources (ESRs) that are providing ECRS and/or Non-Spin in Real-Time.  [ERCOT]</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747078" w14:textId="332131FF" w:rsidR="001A0A9D" w:rsidRDefault="001A0A9D" w:rsidP="00D54ED3">
            <w:pPr>
              <w:jc w:val="center"/>
              <w:rPr>
                <w:color w:val="000000"/>
                <w:sz w:val="20"/>
                <w:szCs w:val="20"/>
              </w:rPr>
            </w:pPr>
            <w:r>
              <w:rPr>
                <w:rFonts w:cs="Calibri"/>
                <w:color w:val="000000"/>
                <w:sz w:val="20"/>
                <w:szCs w:val="20"/>
              </w:rPr>
              <w:t>N</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AF2028" w14:textId="3D410231" w:rsidR="001A0A9D" w:rsidRDefault="001A0A9D" w:rsidP="00D54ED3">
            <w:pPr>
              <w:rPr>
                <w:sz w:val="20"/>
                <w:szCs w:val="20"/>
              </w:rPr>
            </w:pPr>
            <w:r>
              <w:rPr>
                <w:sz w:val="20"/>
                <w:szCs w:val="20"/>
              </w:rPr>
              <w:t>ERCOT supports approval of NPRR1096</w:t>
            </w:r>
          </w:p>
        </w:tc>
        <w:tc>
          <w:tcPr>
            <w:tcW w:w="4437" w:type="dxa"/>
            <w:tcBorders>
              <w:top w:val="single" w:sz="4" w:space="0" w:color="auto"/>
              <w:left w:val="single" w:sz="4" w:space="0" w:color="auto"/>
              <w:bottom w:val="single" w:sz="4" w:space="0" w:color="auto"/>
              <w:right w:val="single" w:sz="4" w:space="0" w:color="auto"/>
            </w:tcBorders>
          </w:tcPr>
          <w:p w14:paraId="627166FC" w14:textId="43FD85FE" w:rsidR="001A0A9D" w:rsidRDefault="001A0A9D" w:rsidP="00D54ED3">
            <w:pPr>
              <w:rPr>
                <w:sz w:val="20"/>
                <w:szCs w:val="20"/>
              </w:rPr>
            </w:pPr>
            <w:r w:rsidRPr="003524E8">
              <w:rPr>
                <w:sz w:val="20"/>
                <w:szCs w:val="20"/>
              </w:rPr>
              <w:t xml:space="preserve">ERCOT Staff has reviewed </w:t>
            </w:r>
            <w:r>
              <w:rPr>
                <w:sz w:val="20"/>
                <w:szCs w:val="20"/>
              </w:rPr>
              <w:t>NPRR1096</w:t>
            </w:r>
            <w:r w:rsidRPr="003524E8">
              <w:rPr>
                <w:sz w:val="20"/>
                <w:szCs w:val="20"/>
              </w:rPr>
              <w:t xml:space="preserve"> and believes the market impact for </w:t>
            </w:r>
            <w:r>
              <w:rPr>
                <w:sz w:val="20"/>
                <w:szCs w:val="20"/>
              </w:rPr>
              <w:t>NPRR1096</w:t>
            </w:r>
            <w:r w:rsidRPr="003524E8">
              <w:rPr>
                <w:sz w:val="20"/>
                <w:szCs w:val="20"/>
              </w:rPr>
              <w:t xml:space="preserve"> provides clarity to </w:t>
            </w:r>
            <w:r>
              <w:rPr>
                <w:sz w:val="20"/>
                <w:szCs w:val="20"/>
              </w:rPr>
              <w:t>R</w:t>
            </w:r>
            <w:r w:rsidRPr="003524E8">
              <w:rPr>
                <w:sz w:val="20"/>
                <w:szCs w:val="20"/>
              </w:rPr>
              <w:t xml:space="preserve">esources that provide ECRS and/or Non-Spin </w:t>
            </w:r>
            <w:r>
              <w:rPr>
                <w:sz w:val="20"/>
                <w:szCs w:val="20"/>
              </w:rPr>
              <w:t>with</w:t>
            </w:r>
            <w:r w:rsidRPr="003524E8">
              <w:rPr>
                <w:sz w:val="20"/>
                <w:szCs w:val="20"/>
              </w:rPr>
              <w:t xml:space="preserve"> regards to the requirements needed to meet the reliability objectives of these Ancillary Services</w:t>
            </w:r>
            <w:r>
              <w:rPr>
                <w:sz w:val="20"/>
                <w:szCs w:val="20"/>
              </w:rPr>
              <w:t>.</w:t>
            </w:r>
          </w:p>
        </w:tc>
      </w:tr>
      <w:tr w:rsidR="001A0A9D" w14:paraId="5ACE5F13" w14:textId="77777777" w:rsidTr="001A0A9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DB3BD5" w14:textId="3B861B99" w:rsidR="001A0A9D" w:rsidRDefault="001A0A9D" w:rsidP="00D54ED3">
            <w:pPr>
              <w:rPr>
                <w:b/>
                <w:bCs/>
                <w:color w:val="000000"/>
                <w:sz w:val="20"/>
                <w:szCs w:val="20"/>
              </w:rPr>
            </w:pPr>
            <w:r>
              <w:rPr>
                <w:rFonts w:cs="Calibri"/>
                <w:b/>
                <w:bCs/>
                <w:color w:val="000000"/>
                <w:sz w:val="20"/>
                <w:szCs w:val="20"/>
              </w:rPr>
              <w:t>1116NPRR</w:t>
            </w:r>
          </w:p>
        </w:tc>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931E6B" w14:textId="22DD9A78" w:rsidR="001A0A9D" w:rsidRDefault="001A0A9D" w:rsidP="00D54ED3">
            <w:pPr>
              <w:rPr>
                <w:b/>
                <w:bCs/>
                <w:color w:val="000000"/>
                <w:sz w:val="20"/>
                <w:szCs w:val="20"/>
              </w:rPr>
            </w:pPr>
            <w:r>
              <w:rPr>
                <w:rFonts w:cs="Calibri"/>
                <w:b/>
                <w:bCs/>
                <w:color w:val="000000"/>
                <w:sz w:val="20"/>
                <w:szCs w:val="20"/>
              </w:rPr>
              <w:t xml:space="preserve">Remove Obsolete Reference to Market Information System (MIS). </w:t>
            </w:r>
            <w:r>
              <w:rPr>
                <w:rFonts w:cs="Calibri"/>
                <w:color w:val="000000"/>
                <w:sz w:val="20"/>
                <w:szCs w:val="20"/>
              </w:rPr>
              <w:t xml:space="preserve"> This Nodal Protocol Revision Request (NPRR) removes obsolete paragraph (h) of Section 12.3, which references Other Binding Documents on the Market Information System (MIS).  With the implementation of NPRR1039, Replace the Term MIS Public Area with ERCOT Website, the reference to public Other Binding Document postings in paragraph (5) of Section 12.2, ERCOT Responsibilities, was updated to reflect that public Other Binding Documents are posted to the ERCOT website.  [ERCOT]</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029FA6" w14:textId="5F2276A8" w:rsidR="001A0A9D" w:rsidRDefault="001A0A9D" w:rsidP="00D54ED3">
            <w:pPr>
              <w:jc w:val="center"/>
              <w:rPr>
                <w:color w:val="000000"/>
                <w:sz w:val="20"/>
                <w:szCs w:val="20"/>
              </w:rPr>
            </w:pPr>
            <w:r>
              <w:rPr>
                <w:color w:val="000000"/>
                <w:sz w:val="20"/>
                <w:szCs w:val="20"/>
              </w:rPr>
              <w:t>N</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41D5B1" w14:textId="3A67D163" w:rsidR="001A0A9D" w:rsidRDefault="001A0A9D" w:rsidP="00D54ED3">
            <w:pPr>
              <w:rPr>
                <w:sz w:val="20"/>
                <w:szCs w:val="20"/>
              </w:rPr>
            </w:pPr>
            <w:r>
              <w:rPr>
                <w:sz w:val="20"/>
                <w:szCs w:val="20"/>
              </w:rPr>
              <w:t>ERCOT supports approval of NPRR1116</w:t>
            </w:r>
          </w:p>
        </w:tc>
        <w:tc>
          <w:tcPr>
            <w:tcW w:w="4437" w:type="dxa"/>
            <w:tcBorders>
              <w:top w:val="single" w:sz="4" w:space="0" w:color="auto"/>
              <w:left w:val="single" w:sz="4" w:space="0" w:color="auto"/>
              <w:bottom w:val="single" w:sz="4" w:space="0" w:color="auto"/>
              <w:right w:val="single" w:sz="4" w:space="0" w:color="auto"/>
            </w:tcBorders>
          </w:tcPr>
          <w:p w14:paraId="51AFA80A" w14:textId="47BC4927" w:rsidR="001A0A9D" w:rsidRDefault="001A0A9D" w:rsidP="00D54ED3">
            <w:pPr>
              <w:rPr>
                <w:sz w:val="20"/>
                <w:szCs w:val="20"/>
              </w:rPr>
            </w:pPr>
            <w:r w:rsidRPr="00210A3C">
              <w:rPr>
                <w:sz w:val="20"/>
                <w:szCs w:val="20"/>
              </w:rPr>
              <w:t>ERCOT Staff has reviewed NPRR1116 and believes the market impact for NPRR1116 improves access to public Other Binding Documents.</w:t>
            </w:r>
          </w:p>
        </w:tc>
      </w:tr>
      <w:tr w:rsidR="001A0A9D" w14:paraId="26C34FAF" w14:textId="77777777" w:rsidTr="001A0A9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2234C5" w14:textId="2A7BB7ED" w:rsidR="001A0A9D" w:rsidRDefault="001A0A9D" w:rsidP="00D54ED3">
            <w:pPr>
              <w:rPr>
                <w:b/>
                <w:bCs/>
                <w:color w:val="000000"/>
                <w:sz w:val="20"/>
                <w:szCs w:val="20"/>
              </w:rPr>
            </w:pPr>
            <w:r>
              <w:rPr>
                <w:rFonts w:cs="Calibri"/>
                <w:b/>
                <w:bCs/>
                <w:color w:val="000000"/>
                <w:sz w:val="20"/>
                <w:szCs w:val="20"/>
              </w:rPr>
              <w:t>1117NPRR</w:t>
            </w:r>
          </w:p>
        </w:tc>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4F2D60" w14:textId="674BB9C4" w:rsidR="001A0A9D" w:rsidRDefault="001A0A9D" w:rsidP="00D54ED3">
            <w:pPr>
              <w:rPr>
                <w:b/>
                <w:bCs/>
                <w:color w:val="000000"/>
                <w:sz w:val="20"/>
                <w:szCs w:val="20"/>
              </w:rPr>
            </w:pPr>
            <w:r>
              <w:rPr>
                <w:rFonts w:cs="Calibri"/>
                <w:b/>
                <w:bCs/>
                <w:color w:val="000000"/>
                <w:sz w:val="20"/>
                <w:szCs w:val="20"/>
              </w:rPr>
              <w:t xml:space="preserve">Related to SMOGRR025, Modifications to Line Loss Compensation Requirement for EPS Metering.  </w:t>
            </w:r>
            <w:r>
              <w:rPr>
                <w:rFonts w:cs="Calibri"/>
                <w:color w:val="000000"/>
                <w:sz w:val="20"/>
                <w:szCs w:val="20"/>
              </w:rPr>
              <w:t xml:space="preserve">This Nodal Protocol Revision Request (NPRR) aligns the Protocols with Settlement Meter Operating Guide (SMOG) revisions allowing for losses in short runs of connecting lines to be disregarded in </w:t>
            </w:r>
            <w:r>
              <w:rPr>
                <w:rFonts w:cs="Calibri"/>
                <w:color w:val="000000"/>
                <w:sz w:val="20"/>
                <w:szCs w:val="20"/>
              </w:rPr>
              <w:lastRenderedPageBreak/>
              <w:t>instances where the ERCOT-Polled Settlement (EPS) Meter is not physically placed at the Point of Interconnection (POI).  [ERCOT]</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8CA479" w14:textId="482EFECC" w:rsidR="001A0A9D" w:rsidRDefault="001A0A9D" w:rsidP="00D54ED3">
            <w:pPr>
              <w:jc w:val="center"/>
              <w:rPr>
                <w:color w:val="000000"/>
                <w:sz w:val="20"/>
                <w:szCs w:val="20"/>
              </w:rPr>
            </w:pPr>
            <w:r>
              <w:rPr>
                <w:color w:val="000000"/>
                <w:sz w:val="20"/>
                <w:szCs w:val="20"/>
              </w:rPr>
              <w:lastRenderedPageBreak/>
              <w:t>N</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76B117" w14:textId="783ED177" w:rsidR="001A0A9D" w:rsidRDefault="001A0A9D" w:rsidP="00D54ED3">
            <w:pPr>
              <w:rPr>
                <w:sz w:val="20"/>
                <w:szCs w:val="20"/>
              </w:rPr>
            </w:pPr>
            <w:r>
              <w:rPr>
                <w:sz w:val="20"/>
                <w:szCs w:val="20"/>
              </w:rPr>
              <w:t>ERCOT supports approval of NPRR1117</w:t>
            </w:r>
          </w:p>
        </w:tc>
        <w:tc>
          <w:tcPr>
            <w:tcW w:w="4437" w:type="dxa"/>
            <w:tcBorders>
              <w:top w:val="single" w:sz="4" w:space="0" w:color="auto"/>
              <w:left w:val="single" w:sz="4" w:space="0" w:color="auto"/>
              <w:bottom w:val="single" w:sz="4" w:space="0" w:color="auto"/>
              <w:right w:val="single" w:sz="4" w:space="0" w:color="auto"/>
            </w:tcBorders>
          </w:tcPr>
          <w:p w14:paraId="6674B7FD" w14:textId="00350A57" w:rsidR="001A0A9D" w:rsidRDefault="001A0A9D" w:rsidP="00D54ED3">
            <w:pPr>
              <w:rPr>
                <w:sz w:val="20"/>
                <w:szCs w:val="20"/>
              </w:rPr>
            </w:pPr>
            <w:r w:rsidRPr="00210A3C">
              <w:rPr>
                <w:sz w:val="20"/>
                <w:szCs w:val="20"/>
              </w:rPr>
              <w:t>ERCOT Staff has reviewed NPRR1117 and believes the market impact for NPRR1117, in conjunction with SMOGRR025, will facilitate calculations to determine whether to require the EPS Meter to be programmed to account for line losses.</w:t>
            </w:r>
          </w:p>
        </w:tc>
      </w:tr>
      <w:tr w:rsidR="001A0A9D" w14:paraId="23FA8B3C" w14:textId="77777777" w:rsidTr="001A0A9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C391E" w14:textId="3EFA7A3A" w:rsidR="001A0A9D" w:rsidRDefault="001A0A9D" w:rsidP="00D54ED3">
            <w:pPr>
              <w:rPr>
                <w:rFonts w:cs="Calibri"/>
                <w:b/>
                <w:bCs/>
                <w:color w:val="000000"/>
                <w:sz w:val="20"/>
                <w:szCs w:val="20"/>
              </w:rPr>
            </w:pPr>
            <w:r>
              <w:rPr>
                <w:rFonts w:cs="Calibri"/>
                <w:b/>
                <w:bCs/>
                <w:color w:val="000000"/>
                <w:sz w:val="20"/>
                <w:szCs w:val="20"/>
              </w:rPr>
              <w:t>1122NPRR</w:t>
            </w:r>
          </w:p>
        </w:tc>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47F71D" w14:textId="2A2FCE73" w:rsidR="001A0A9D" w:rsidRDefault="001A0A9D" w:rsidP="00D54ED3">
            <w:pPr>
              <w:rPr>
                <w:rFonts w:cs="Calibri"/>
                <w:b/>
                <w:bCs/>
                <w:color w:val="000000"/>
                <w:sz w:val="20"/>
                <w:szCs w:val="20"/>
              </w:rPr>
            </w:pPr>
            <w:r>
              <w:rPr>
                <w:rFonts w:cs="Calibri"/>
                <w:b/>
                <w:bCs/>
                <w:color w:val="000000"/>
                <w:sz w:val="20"/>
                <w:szCs w:val="20"/>
              </w:rPr>
              <w:t xml:space="preserve">Clarifications for PURA Subchapter M Securitization Default Charges.  </w:t>
            </w:r>
            <w:r>
              <w:rPr>
                <w:rFonts w:cs="Calibri"/>
                <w:color w:val="000000"/>
                <w:sz w:val="20"/>
                <w:szCs w:val="20"/>
              </w:rPr>
              <w:t>This Nodal Protocol Revision Request (NPRR) clarifies that ERCOT shall retain all Securitization Default Charge escrow deposits to cover, if necessary, potential future obligations for Securitization Default Charges, without the limitation that this is only after termination of a Market Participant’s Standard Form Market Participant Agreement. In addition, the NPRR clarifies that funds provided for Securitization Default Charge escrow deposits must be sent to the correct account to be properly credited. Finally, this NPRR corrects a subscript definition error in the Securitization Default Charge Maximum MWh Activity Ratio Share.  [ERCOT]</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DFC463" w14:textId="070FE148" w:rsidR="001A0A9D" w:rsidRDefault="001A0A9D" w:rsidP="00D54ED3">
            <w:pPr>
              <w:jc w:val="center"/>
              <w:rPr>
                <w:color w:val="000000"/>
                <w:sz w:val="20"/>
                <w:szCs w:val="20"/>
              </w:rPr>
            </w:pPr>
            <w:r>
              <w:rPr>
                <w:rFonts w:cs="Calibri"/>
                <w:color w:val="000000"/>
                <w:sz w:val="20"/>
                <w:szCs w:val="20"/>
              </w:rPr>
              <w:t>Y</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118B0F" w14:textId="177EA7E5" w:rsidR="001A0A9D" w:rsidRDefault="001A0A9D" w:rsidP="00D54ED3">
            <w:pPr>
              <w:rPr>
                <w:sz w:val="20"/>
                <w:szCs w:val="20"/>
              </w:rPr>
            </w:pPr>
            <w:r>
              <w:rPr>
                <w:sz w:val="20"/>
                <w:szCs w:val="20"/>
              </w:rPr>
              <w:t>ERCOT supports approval of NPRR1122</w:t>
            </w:r>
          </w:p>
        </w:tc>
        <w:tc>
          <w:tcPr>
            <w:tcW w:w="4437" w:type="dxa"/>
            <w:tcBorders>
              <w:top w:val="single" w:sz="4" w:space="0" w:color="auto"/>
              <w:left w:val="single" w:sz="4" w:space="0" w:color="auto"/>
              <w:bottom w:val="single" w:sz="4" w:space="0" w:color="auto"/>
              <w:right w:val="single" w:sz="4" w:space="0" w:color="auto"/>
            </w:tcBorders>
          </w:tcPr>
          <w:p w14:paraId="50107F90" w14:textId="074F5D2E" w:rsidR="001A0A9D" w:rsidRDefault="001A0A9D" w:rsidP="00D54ED3">
            <w:pPr>
              <w:rPr>
                <w:sz w:val="20"/>
                <w:szCs w:val="20"/>
              </w:rPr>
            </w:pPr>
            <w:r w:rsidRPr="003524E8">
              <w:rPr>
                <w:sz w:val="20"/>
                <w:szCs w:val="20"/>
              </w:rPr>
              <w:t>ERCOT Staff has reviewed NPRR1122 and believes the market impact for NPRR1122 clarifies processes for assessment and collection of Default Charges and Default Escrow Deposits to QSEs and CRR Account Holders as reflected in the DOO issued in PUCT Docket No. 52321, Subchapter M, of PURA.</w:t>
            </w:r>
          </w:p>
        </w:tc>
      </w:tr>
      <w:tr w:rsidR="001A0A9D" w14:paraId="1513053A" w14:textId="77777777" w:rsidTr="001A0A9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6CF38E" w14:textId="07422FEC" w:rsidR="001A0A9D" w:rsidRDefault="001A0A9D" w:rsidP="00D54ED3">
            <w:pPr>
              <w:rPr>
                <w:rFonts w:cs="Calibri"/>
                <w:b/>
                <w:bCs/>
                <w:color w:val="000000"/>
                <w:sz w:val="20"/>
                <w:szCs w:val="20"/>
              </w:rPr>
            </w:pPr>
            <w:r>
              <w:rPr>
                <w:rFonts w:cs="Calibri"/>
                <w:b/>
                <w:bCs/>
                <w:color w:val="000000"/>
                <w:sz w:val="20"/>
                <w:szCs w:val="20"/>
              </w:rPr>
              <w:t>1123NPRR</w:t>
            </w:r>
          </w:p>
        </w:tc>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C86761" w14:textId="11351D05" w:rsidR="001A0A9D" w:rsidRDefault="001A0A9D" w:rsidP="00D54ED3">
            <w:pPr>
              <w:rPr>
                <w:rFonts w:cs="Calibri"/>
                <w:b/>
                <w:bCs/>
                <w:color w:val="000000"/>
                <w:sz w:val="20"/>
                <w:szCs w:val="20"/>
              </w:rPr>
            </w:pPr>
            <w:r>
              <w:rPr>
                <w:rFonts w:cs="Calibri"/>
                <w:b/>
                <w:bCs/>
                <w:color w:val="000000"/>
                <w:sz w:val="20"/>
                <w:szCs w:val="20"/>
              </w:rPr>
              <w:t xml:space="preserve">Clarifications for PURA Subchapter N Securitization Uplift Charges.  </w:t>
            </w:r>
            <w:r>
              <w:rPr>
                <w:rFonts w:cs="Calibri"/>
                <w:color w:val="000000"/>
                <w:sz w:val="20"/>
                <w:szCs w:val="20"/>
              </w:rPr>
              <w:t xml:space="preserve">This NPRR provides for initial assessment of Securitization Uplift Charge escrow deposits based on Counter-Party initial estimated Adjusted Meter Load. In addition, the NPRR clarifies that funds provided for Securitization Uplift Charge escrow deposits must be sent to the correct account to be properly credited, </w:t>
            </w:r>
            <w:proofErr w:type="gramStart"/>
            <w:r>
              <w:rPr>
                <w:rFonts w:cs="Calibri"/>
                <w:color w:val="000000"/>
                <w:sz w:val="20"/>
                <w:szCs w:val="20"/>
              </w:rPr>
              <w:t>and also</w:t>
            </w:r>
            <w:proofErr w:type="gramEnd"/>
            <w:r>
              <w:rPr>
                <w:rFonts w:cs="Calibri"/>
                <w:color w:val="000000"/>
                <w:sz w:val="20"/>
                <w:szCs w:val="20"/>
              </w:rPr>
              <w:t xml:space="preserve"> provides a process for return of securitization proceeds if required by statute or the Debt Obligation Order (DOO) in Public Utility Commission of Texas (PUCT) Docket No. 52322.  [ERCOT]</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32B115" w14:textId="3DA709B4" w:rsidR="001A0A9D" w:rsidRDefault="001A0A9D" w:rsidP="00D54ED3">
            <w:pPr>
              <w:jc w:val="center"/>
              <w:rPr>
                <w:color w:val="000000"/>
                <w:sz w:val="20"/>
                <w:szCs w:val="20"/>
              </w:rPr>
            </w:pPr>
            <w:r>
              <w:rPr>
                <w:rFonts w:cs="Calibri"/>
                <w:color w:val="000000"/>
                <w:sz w:val="20"/>
                <w:szCs w:val="20"/>
              </w:rPr>
              <w:t>Y</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570AE5" w14:textId="6B5B6B58" w:rsidR="001A0A9D" w:rsidRDefault="001A0A9D" w:rsidP="00D54ED3">
            <w:pPr>
              <w:rPr>
                <w:sz w:val="20"/>
                <w:szCs w:val="20"/>
              </w:rPr>
            </w:pPr>
            <w:r>
              <w:rPr>
                <w:sz w:val="20"/>
                <w:szCs w:val="20"/>
              </w:rPr>
              <w:t>ERCOT supports approval of NPRR1123</w:t>
            </w:r>
          </w:p>
        </w:tc>
        <w:tc>
          <w:tcPr>
            <w:tcW w:w="4437" w:type="dxa"/>
            <w:tcBorders>
              <w:top w:val="single" w:sz="4" w:space="0" w:color="auto"/>
              <w:left w:val="single" w:sz="4" w:space="0" w:color="auto"/>
              <w:bottom w:val="single" w:sz="4" w:space="0" w:color="auto"/>
              <w:right w:val="single" w:sz="4" w:space="0" w:color="auto"/>
            </w:tcBorders>
          </w:tcPr>
          <w:p w14:paraId="2549A386" w14:textId="266C2BEA" w:rsidR="001A0A9D" w:rsidRDefault="001A0A9D" w:rsidP="00D54ED3">
            <w:pPr>
              <w:rPr>
                <w:sz w:val="20"/>
                <w:szCs w:val="20"/>
              </w:rPr>
            </w:pPr>
            <w:r w:rsidRPr="003524E8">
              <w:rPr>
                <w:sz w:val="20"/>
                <w:szCs w:val="20"/>
              </w:rPr>
              <w:t>ERCOT Staff has reviewed NPRR1123 and believes the market impact for NPRR1123 clarifies processes to assess and collect Uplift Charges to QSEs representing LSEs as reflected in the DOO issued in PUCT Docket No. 52322, Subchapter N, of PURA.</w:t>
            </w:r>
          </w:p>
        </w:tc>
      </w:tr>
      <w:tr w:rsidR="001A0A9D" w14:paraId="350FDF11" w14:textId="77777777" w:rsidTr="001A0A9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0523CA" w14:textId="6FEBE3A7" w:rsidR="001A0A9D" w:rsidRDefault="001A0A9D" w:rsidP="001A0A9D">
            <w:pPr>
              <w:rPr>
                <w:rFonts w:cs="Calibri"/>
                <w:b/>
                <w:bCs/>
                <w:color w:val="000000"/>
                <w:sz w:val="20"/>
                <w:szCs w:val="20"/>
              </w:rPr>
            </w:pPr>
            <w:r>
              <w:rPr>
                <w:rFonts w:cs="Calibri"/>
                <w:b/>
                <w:bCs/>
                <w:color w:val="000000"/>
                <w:sz w:val="20"/>
                <w:szCs w:val="20"/>
              </w:rPr>
              <w:t>1092NPRR</w:t>
            </w:r>
          </w:p>
        </w:tc>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3AE7D4" w14:textId="7CCEF273" w:rsidR="001A0A9D" w:rsidRDefault="001A0A9D" w:rsidP="001A0A9D">
            <w:pPr>
              <w:rPr>
                <w:rFonts w:cs="Calibri"/>
                <w:b/>
                <w:bCs/>
                <w:color w:val="000000"/>
                <w:sz w:val="20"/>
                <w:szCs w:val="20"/>
              </w:rPr>
            </w:pPr>
            <w:r>
              <w:rPr>
                <w:b/>
                <w:bCs/>
                <w:color w:val="000000"/>
                <w:sz w:val="20"/>
                <w:szCs w:val="20"/>
              </w:rPr>
              <w:t xml:space="preserve">Reduce RUC Offer Floor and Remove RUC Opt-Out Provision.  </w:t>
            </w:r>
            <w:r>
              <w:rPr>
                <w:color w:val="000000"/>
                <w:sz w:val="20"/>
                <w:szCs w:val="20"/>
              </w:rPr>
              <w:t>This Nodal Protocol Revision Request (NPRR) reduces the value of the offer floor on Resources that have the status of ONRUC and removes the ONOPTOUT status.  [IMM]</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DC9BFD" w14:textId="0474EC9B" w:rsidR="001A0A9D" w:rsidRDefault="001A0A9D" w:rsidP="001A0A9D">
            <w:pPr>
              <w:jc w:val="center"/>
              <w:rPr>
                <w:rFonts w:cs="Calibri"/>
                <w:color w:val="000000"/>
                <w:sz w:val="20"/>
                <w:szCs w:val="20"/>
              </w:rPr>
            </w:pPr>
            <w:r>
              <w:rPr>
                <w:rFonts w:cs="Calibri"/>
                <w:color w:val="000000"/>
                <w:sz w:val="20"/>
                <w:szCs w:val="20"/>
              </w:rPr>
              <w:t>N</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BB723B" w14:textId="370BE917" w:rsidR="001A0A9D" w:rsidRDefault="001A0A9D" w:rsidP="001A0A9D">
            <w:pPr>
              <w:rPr>
                <w:sz w:val="20"/>
                <w:szCs w:val="20"/>
              </w:rPr>
            </w:pPr>
            <w:r>
              <w:rPr>
                <w:sz w:val="20"/>
                <w:szCs w:val="20"/>
              </w:rPr>
              <w:t>ERCOT supports approval of NPRR1092</w:t>
            </w:r>
          </w:p>
        </w:tc>
        <w:tc>
          <w:tcPr>
            <w:tcW w:w="4437" w:type="dxa"/>
            <w:tcBorders>
              <w:top w:val="single" w:sz="4" w:space="0" w:color="auto"/>
              <w:left w:val="single" w:sz="4" w:space="0" w:color="auto"/>
              <w:bottom w:val="single" w:sz="4" w:space="0" w:color="auto"/>
              <w:right w:val="single" w:sz="4" w:space="0" w:color="auto"/>
            </w:tcBorders>
          </w:tcPr>
          <w:p w14:paraId="5F13CF3D" w14:textId="77777777" w:rsidR="001A0A9D" w:rsidRDefault="001A0A9D" w:rsidP="001A0A9D">
            <w:pPr>
              <w:rPr>
                <w:sz w:val="20"/>
                <w:szCs w:val="20"/>
              </w:rPr>
            </w:pPr>
            <w:r w:rsidRPr="00C2433B">
              <w:rPr>
                <w:sz w:val="20"/>
                <w:szCs w:val="20"/>
              </w:rPr>
              <w:t>ERCOT Staff has reviewed NPRR1</w:t>
            </w:r>
            <w:r>
              <w:rPr>
                <w:sz w:val="20"/>
                <w:szCs w:val="20"/>
              </w:rPr>
              <w:t>092</w:t>
            </w:r>
            <w:r w:rsidRPr="00C2433B">
              <w:rPr>
                <w:sz w:val="20"/>
                <w:szCs w:val="20"/>
              </w:rPr>
              <w:t xml:space="preserve"> and believes the market impact for NPRR1</w:t>
            </w:r>
            <w:r>
              <w:rPr>
                <w:sz w:val="20"/>
                <w:szCs w:val="20"/>
              </w:rPr>
              <w:t>092 establishes more appropriate incentives for Resources related to Reliability Unit Commitment (RUC)</w:t>
            </w:r>
          </w:p>
          <w:p w14:paraId="271A3FD7" w14:textId="09CED6D1" w:rsidR="001A0A9D" w:rsidRPr="003524E8" w:rsidRDefault="001A0A9D" w:rsidP="001A0A9D">
            <w:pPr>
              <w:rPr>
                <w:sz w:val="20"/>
                <w:szCs w:val="20"/>
              </w:rPr>
            </w:pPr>
          </w:p>
        </w:tc>
      </w:tr>
      <w:tr w:rsidR="001A0A9D" w14:paraId="35D537A6" w14:textId="77777777" w:rsidTr="001A0A9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F2C1AE" w14:textId="4C2C23C5" w:rsidR="001A0A9D" w:rsidRDefault="001A0A9D" w:rsidP="001A0A9D">
            <w:pPr>
              <w:rPr>
                <w:rFonts w:cs="Calibri"/>
                <w:b/>
                <w:bCs/>
                <w:color w:val="000000"/>
                <w:sz w:val="20"/>
                <w:szCs w:val="20"/>
              </w:rPr>
            </w:pPr>
            <w:r>
              <w:rPr>
                <w:rFonts w:cs="Calibri"/>
                <w:b/>
                <w:bCs/>
                <w:color w:val="000000"/>
                <w:sz w:val="20"/>
                <w:szCs w:val="20"/>
              </w:rPr>
              <w:t>818SCR</w:t>
            </w:r>
          </w:p>
        </w:tc>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FD0BED" w14:textId="54650D30" w:rsidR="001A0A9D" w:rsidRDefault="001A0A9D" w:rsidP="001A0A9D">
            <w:pPr>
              <w:rPr>
                <w:rFonts w:cs="Calibri"/>
                <w:b/>
                <w:bCs/>
                <w:color w:val="000000"/>
                <w:sz w:val="20"/>
                <w:szCs w:val="20"/>
              </w:rPr>
            </w:pPr>
            <w:r>
              <w:rPr>
                <w:rFonts w:cs="Calibri"/>
                <w:b/>
                <w:bCs/>
                <w:color w:val="000000"/>
                <w:sz w:val="20"/>
                <w:szCs w:val="20"/>
              </w:rPr>
              <w:t>Changes to Incorporate GIC Modeling Data into Existing Modeling Applications.</w:t>
            </w:r>
            <w:r>
              <w:rPr>
                <w:rFonts w:cs="Calibri"/>
                <w:color w:val="000000"/>
                <w:sz w:val="20"/>
                <w:szCs w:val="20"/>
              </w:rPr>
              <w:t xml:space="preserve">  This System Change Request (SCR) proposes to modify the ERCOT Network Model Management System (NMMS) and Topology Processor to incorporate Geomagnetically-Induced Currents (GIC) modeling data for maintaining GIC System models for the Electric Reliability Council of Texas, Inc. (ERCOT) planning area for compliance with North American Electric Reliability Corporation (NERC) Reliability Standard, TPL-007-4, Transmission System Planned Performance for Geomagnetic Disturbance Events.  The NMMS and Topology Processor should allow applicable Entities to provide the necessary data for the GIC System Model, per Section 6.11 of the </w:t>
            </w:r>
            <w:r>
              <w:rPr>
                <w:rFonts w:cs="Calibri"/>
                <w:color w:val="000000"/>
                <w:sz w:val="20"/>
                <w:szCs w:val="20"/>
              </w:rPr>
              <w:lastRenderedPageBreak/>
              <w:t>ERCOT Planning Guide and in accordance with ERCOT’s GIC System Model Procedure Manual.   Additional changes are requested to include automated email notifications of the need for the GIC modeling data submittals and updates.  [CenterPoint]</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BF4329" w14:textId="43B7D55C" w:rsidR="001A0A9D" w:rsidRDefault="001A0A9D" w:rsidP="001A0A9D">
            <w:pPr>
              <w:jc w:val="center"/>
              <w:rPr>
                <w:color w:val="000000"/>
                <w:sz w:val="20"/>
                <w:szCs w:val="20"/>
              </w:rPr>
            </w:pPr>
            <w:r>
              <w:rPr>
                <w:rFonts w:cs="Calibri"/>
                <w:color w:val="000000"/>
                <w:sz w:val="20"/>
                <w:szCs w:val="20"/>
              </w:rPr>
              <w:lastRenderedPageBreak/>
              <w:t>N</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236AEC" w14:textId="77450B39" w:rsidR="001A0A9D" w:rsidRDefault="001A0A9D" w:rsidP="001A0A9D">
            <w:pPr>
              <w:rPr>
                <w:sz w:val="20"/>
                <w:szCs w:val="20"/>
              </w:rPr>
            </w:pPr>
            <w:r>
              <w:rPr>
                <w:sz w:val="20"/>
                <w:szCs w:val="20"/>
              </w:rPr>
              <w:t>ERCOT supports approval of SCR818</w:t>
            </w:r>
          </w:p>
        </w:tc>
        <w:tc>
          <w:tcPr>
            <w:tcW w:w="4437" w:type="dxa"/>
            <w:tcBorders>
              <w:top w:val="single" w:sz="4" w:space="0" w:color="auto"/>
              <w:left w:val="single" w:sz="4" w:space="0" w:color="auto"/>
              <w:bottom w:val="single" w:sz="4" w:space="0" w:color="auto"/>
              <w:right w:val="single" w:sz="4" w:space="0" w:color="auto"/>
            </w:tcBorders>
          </w:tcPr>
          <w:p w14:paraId="76C9C69C" w14:textId="100589C8" w:rsidR="001A0A9D" w:rsidRDefault="001A0A9D" w:rsidP="001A0A9D">
            <w:pPr>
              <w:rPr>
                <w:sz w:val="20"/>
                <w:szCs w:val="20"/>
              </w:rPr>
            </w:pPr>
            <w:r>
              <w:rPr>
                <w:sz w:val="20"/>
                <w:szCs w:val="20"/>
              </w:rPr>
              <w:t>ERCOT Staff has reviewed SCR818 and believes the market impact for SCR818 would improve the GIC System Model development process by aligning the process for building the GIC System Models with the existing process for building Steady-State and Near-Term Transmission Planning Horizon Models, improve the efficiency of maintaining the GIC data of operational equipment, and satisfy requirements of NERC Reliability Standard TPL-007-4, to complete the benchmark and supplemental GMD Vulnerability Assessments of the Near-Term Transmission Planning Horizon at least once every 60 calendar months. </w:t>
            </w:r>
          </w:p>
        </w:tc>
      </w:tr>
    </w:tbl>
    <w:p w14:paraId="10BCEE7F" w14:textId="77777777" w:rsidR="00554C6B" w:rsidRPr="0001521E" w:rsidRDefault="00554C6B" w:rsidP="0001521E"/>
    <w:sectPr w:rsidR="00554C6B" w:rsidRPr="0001521E"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41B42" w14:textId="77777777" w:rsidR="00E71BAA" w:rsidRDefault="00E71BAA" w:rsidP="00985FF4">
      <w:r>
        <w:separator/>
      </w:r>
    </w:p>
  </w:endnote>
  <w:endnote w:type="continuationSeparator" w:id="0">
    <w:p w14:paraId="16A3635B" w14:textId="77777777" w:rsidR="00E71BAA" w:rsidRDefault="00E71BAA"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06D0F" w14:textId="77777777" w:rsidR="00E71BAA" w:rsidRDefault="00E71BAA" w:rsidP="00985FF4">
      <w:r>
        <w:separator/>
      </w:r>
    </w:p>
  </w:footnote>
  <w:footnote w:type="continuationSeparator" w:id="0">
    <w:p w14:paraId="79FE77BA" w14:textId="77777777" w:rsidR="00E71BAA" w:rsidRDefault="00E71BAA"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7B0144BC" w:rsidR="00985FF4" w:rsidRDefault="00985FF4" w:rsidP="00985FF4">
    <w:pPr>
      <w:pStyle w:val="Header"/>
      <w:jc w:val="center"/>
    </w:pPr>
    <w:r>
      <w:t xml:space="preserve">ERCOT Opinions </w:t>
    </w:r>
    <w:r w:rsidR="00557905">
      <w:t xml:space="preserve">and ERCOT Market Impact Statements </w:t>
    </w:r>
    <w:r>
      <w:t xml:space="preserve">for the </w:t>
    </w:r>
    <w:r w:rsidR="003D6A28">
      <w:t>03/30</w:t>
    </w:r>
    <w:r w:rsidR="0001521E">
      <w:t>/22</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14426"/>
    <w:rsid w:val="0001521E"/>
    <w:rsid w:val="00032EC2"/>
    <w:rsid w:val="000A7FEC"/>
    <w:rsid w:val="000B5B40"/>
    <w:rsid w:val="000D0F28"/>
    <w:rsid w:val="000F22EA"/>
    <w:rsid w:val="00101E68"/>
    <w:rsid w:val="0011791D"/>
    <w:rsid w:val="00124255"/>
    <w:rsid w:val="0012461F"/>
    <w:rsid w:val="00131AD8"/>
    <w:rsid w:val="001A0A9D"/>
    <w:rsid w:val="001A11D5"/>
    <w:rsid w:val="001A2D79"/>
    <w:rsid w:val="001B13CF"/>
    <w:rsid w:val="001D2296"/>
    <w:rsid w:val="001F4319"/>
    <w:rsid w:val="00210A3C"/>
    <w:rsid w:val="0023113D"/>
    <w:rsid w:val="00231C14"/>
    <w:rsid w:val="002378E5"/>
    <w:rsid w:val="00293347"/>
    <w:rsid w:val="00320296"/>
    <w:rsid w:val="00320D47"/>
    <w:rsid w:val="003215C0"/>
    <w:rsid w:val="003504F7"/>
    <w:rsid w:val="003524E8"/>
    <w:rsid w:val="003A2191"/>
    <w:rsid w:val="003B12BD"/>
    <w:rsid w:val="003D6A28"/>
    <w:rsid w:val="003F25EE"/>
    <w:rsid w:val="0044443B"/>
    <w:rsid w:val="004447B8"/>
    <w:rsid w:val="004A5D45"/>
    <w:rsid w:val="004E1095"/>
    <w:rsid w:val="004F2E07"/>
    <w:rsid w:val="00502C7D"/>
    <w:rsid w:val="00536692"/>
    <w:rsid w:val="0054089F"/>
    <w:rsid w:val="00554C6B"/>
    <w:rsid w:val="00557905"/>
    <w:rsid w:val="00566AFF"/>
    <w:rsid w:val="0057069B"/>
    <w:rsid w:val="005A278D"/>
    <w:rsid w:val="005E147E"/>
    <w:rsid w:val="006256A5"/>
    <w:rsid w:val="0063436F"/>
    <w:rsid w:val="006679D2"/>
    <w:rsid w:val="00672B98"/>
    <w:rsid w:val="006B11F5"/>
    <w:rsid w:val="006F1E45"/>
    <w:rsid w:val="00715A89"/>
    <w:rsid w:val="00723A40"/>
    <w:rsid w:val="00734E3F"/>
    <w:rsid w:val="007D6858"/>
    <w:rsid w:val="007F3DD6"/>
    <w:rsid w:val="00805A86"/>
    <w:rsid w:val="00813BAC"/>
    <w:rsid w:val="00825E43"/>
    <w:rsid w:val="008874B6"/>
    <w:rsid w:val="008B23B9"/>
    <w:rsid w:val="008E5BDD"/>
    <w:rsid w:val="008F1FF2"/>
    <w:rsid w:val="0091176A"/>
    <w:rsid w:val="0096024F"/>
    <w:rsid w:val="00981A1E"/>
    <w:rsid w:val="00985FF4"/>
    <w:rsid w:val="00991077"/>
    <w:rsid w:val="00993006"/>
    <w:rsid w:val="009B27B4"/>
    <w:rsid w:val="009B474D"/>
    <w:rsid w:val="009C5427"/>
    <w:rsid w:val="00A715C7"/>
    <w:rsid w:val="00A94986"/>
    <w:rsid w:val="00AA0971"/>
    <w:rsid w:val="00AA5D58"/>
    <w:rsid w:val="00AC0725"/>
    <w:rsid w:val="00AD50EB"/>
    <w:rsid w:val="00B61A42"/>
    <w:rsid w:val="00B87C79"/>
    <w:rsid w:val="00BD2E29"/>
    <w:rsid w:val="00BD6400"/>
    <w:rsid w:val="00BE7782"/>
    <w:rsid w:val="00BF2584"/>
    <w:rsid w:val="00C174FF"/>
    <w:rsid w:val="00C2433B"/>
    <w:rsid w:val="00C44799"/>
    <w:rsid w:val="00C67F93"/>
    <w:rsid w:val="00C80DBA"/>
    <w:rsid w:val="00C846DE"/>
    <w:rsid w:val="00C94AFF"/>
    <w:rsid w:val="00CC25B3"/>
    <w:rsid w:val="00D26039"/>
    <w:rsid w:val="00D436A5"/>
    <w:rsid w:val="00D54ED3"/>
    <w:rsid w:val="00D807DF"/>
    <w:rsid w:val="00DA2A46"/>
    <w:rsid w:val="00DE3961"/>
    <w:rsid w:val="00DF1748"/>
    <w:rsid w:val="00E238B8"/>
    <w:rsid w:val="00E53E2D"/>
    <w:rsid w:val="00E60BF8"/>
    <w:rsid w:val="00E666FF"/>
    <w:rsid w:val="00E71BAA"/>
    <w:rsid w:val="00E76DAD"/>
    <w:rsid w:val="00E950DB"/>
    <w:rsid w:val="00EA187D"/>
    <w:rsid w:val="00F66BDC"/>
    <w:rsid w:val="00F72A15"/>
    <w:rsid w:val="00F73D35"/>
    <w:rsid w:val="00FA2B06"/>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1145</Words>
  <Characters>6528</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Boren, Ann</cp:lastModifiedBy>
  <cp:revision>2</cp:revision>
  <dcterms:created xsi:type="dcterms:W3CDTF">2022-03-23T18:30:00Z</dcterms:created>
  <dcterms:modified xsi:type="dcterms:W3CDTF">2022-03-23T18:30:00Z</dcterms:modified>
</cp:coreProperties>
</file>