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9025B4" w14:paraId="2810863F" w14:textId="77777777">
        <w:tblPrEx>
          <w:tblCellMar>
            <w:top w:w="0" w:type="dxa"/>
            <w:bottom w:w="0" w:type="dxa"/>
          </w:tblCellMar>
        </w:tblPrEx>
        <w:tc>
          <w:tcPr>
            <w:tcW w:w="1620" w:type="dxa"/>
            <w:tcBorders>
              <w:bottom w:val="single" w:sz="4" w:space="0" w:color="auto"/>
            </w:tcBorders>
            <w:shd w:val="clear" w:color="auto" w:fill="FFFFFF"/>
            <w:vAlign w:val="center"/>
          </w:tcPr>
          <w:p w14:paraId="67DC1169" w14:textId="77777777" w:rsidR="009025B4" w:rsidRDefault="009025B4" w:rsidP="009025B4">
            <w:pPr>
              <w:pStyle w:val="Header"/>
              <w:rPr>
                <w:rFonts w:ascii="Verdana" w:hAnsi="Verdana"/>
                <w:sz w:val="22"/>
              </w:rPr>
            </w:pPr>
            <w:r>
              <w:t>NPRR Number</w:t>
            </w:r>
          </w:p>
        </w:tc>
        <w:tc>
          <w:tcPr>
            <w:tcW w:w="1260" w:type="dxa"/>
            <w:tcBorders>
              <w:bottom w:val="single" w:sz="4" w:space="0" w:color="auto"/>
            </w:tcBorders>
            <w:vAlign w:val="center"/>
          </w:tcPr>
          <w:p w14:paraId="0094D4D2" w14:textId="77777777" w:rsidR="009025B4" w:rsidRDefault="009025B4" w:rsidP="009025B4">
            <w:pPr>
              <w:pStyle w:val="Header"/>
            </w:pPr>
            <w:hyperlink r:id="rId7" w:history="1">
              <w:r w:rsidRPr="004E5245">
                <w:rPr>
                  <w:rStyle w:val="Hyperlink"/>
                </w:rPr>
                <w:t>1108</w:t>
              </w:r>
            </w:hyperlink>
          </w:p>
        </w:tc>
        <w:tc>
          <w:tcPr>
            <w:tcW w:w="900" w:type="dxa"/>
            <w:tcBorders>
              <w:bottom w:val="single" w:sz="4" w:space="0" w:color="auto"/>
            </w:tcBorders>
            <w:shd w:val="clear" w:color="auto" w:fill="FFFFFF"/>
            <w:vAlign w:val="center"/>
          </w:tcPr>
          <w:p w14:paraId="68B53070" w14:textId="77777777" w:rsidR="009025B4" w:rsidRDefault="009025B4" w:rsidP="009025B4">
            <w:pPr>
              <w:pStyle w:val="Header"/>
            </w:pPr>
            <w:r>
              <w:t>NPRR Title</w:t>
            </w:r>
          </w:p>
        </w:tc>
        <w:tc>
          <w:tcPr>
            <w:tcW w:w="6660" w:type="dxa"/>
            <w:tcBorders>
              <w:bottom w:val="single" w:sz="4" w:space="0" w:color="auto"/>
            </w:tcBorders>
            <w:vAlign w:val="center"/>
          </w:tcPr>
          <w:p w14:paraId="0A1022B7" w14:textId="77777777" w:rsidR="009025B4" w:rsidRDefault="009025B4" w:rsidP="009025B4">
            <w:pPr>
              <w:pStyle w:val="Header"/>
            </w:pPr>
            <w:r>
              <w:t>ERCOT Shall Approve or Deny All Resource Outage Requests</w:t>
            </w:r>
          </w:p>
        </w:tc>
      </w:tr>
      <w:tr w:rsidR="009025B4" w14:paraId="1B9966A4" w14:textId="77777777">
        <w:tblPrEx>
          <w:tblCellMar>
            <w:top w:w="0" w:type="dxa"/>
            <w:bottom w:w="0" w:type="dxa"/>
          </w:tblCellMar>
        </w:tblPrEx>
        <w:trPr>
          <w:trHeight w:val="413"/>
        </w:trPr>
        <w:tc>
          <w:tcPr>
            <w:tcW w:w="2880" w:type="dxa"/>
            <w:gridSpan w:val="2"/>
            <w:tcBorders>
              <w:top w:val="nil"/>
              <w:left w:val="nil"/>
              <w:bottom w:val="single" w:sz="4" w:space="0" w:color="auto"/>
              <w:right w:val="nil"/>
            </w:tcBorders>
            <w:vAlign w:val="center"/>
          </w:tcPr>
          <w:p w14:paraId="1CFAE878" w14:textId="77777777" w:rsidR="009025B4" w:rsidRDefault="009025B4" w:rsidP="009025B4">
            <w:pPr>
              <w:pStyle w:val="NormalArial"/>
            </w:pPr>
          </w:p>
        </w:tc>
        <w:tc>
          <w:tcPr>
            <w:tcW w:w="7560" w:type="dxa"/>
            <w:gridSpan w:val="2"/>
            <w:tcBorders>
              <w:top w:val="single" w:sz="4" w:space="0" w:color="auto"/>
              <w:left w:val="nil"/>
              <w:bottom w:val="nil"/>
              <w:right w:val="nil"/>
            </w:tcBorders>
            <w:vAlign w:val="center"/>
          </w:tcPr>
          <w:p w14:paraId="60B5054E" w14:textId="77777777" w:rsidR="009025B4" w:rsidRDefault="009025B4" w:rsidP="009025B4">
            <w:pPr>
              <w:pStyle w:val="NormalArial"/>
            </w:pPr>
          </w:p>
        </w:tc>
      </w:tr>
      <w:tr w:rsidR="009025B4" w14:paraId="6A1A1A80" w14:textId="77777777">
        <w:tblPrEx>
          <w:tblCellMar>
            <w:top w:w="0" w:type="dxa"/>
            <w:bottom w:w="0" w:type="dxa"/>
          </w:tblCellMar>
        </w:tblPrEx>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7036B3B" w14:textId="77777777" w:rsidR="009025B4" w:rsidRDefault="009025B4" w:rsidP="009025B4">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935A57B" w14:textId="745C2A7F" w:rsidR="009025B4" w:rsidRDefault="00B663D4" w:rsidP="009025B4">
            <w:pPr>
              <w:pStyle w:val="NormalArial"/>
            </w:pPr>
            <w:r>
              <w:t>March 22, 2022</w:t>
            </w:r>
          </w:p>
        </w:tc>
      </w:tr>
      <w:tr w:rsidR="009025B4" w14:paraId="41A95746" w14:textId="77777777">
        <w:tblPrEx>
          <w:tblCellMar>
            <w:top w:w="0" w:type="dxa"/>
            <w:bottom w:w="0" w:type="dxa"/>
          </w:tblCellMar>
        </w:tblPrEx>
        <w:trPr>
          <w:trHeight w:val="467"/>
        </w:trPr>
        <w:tc>
          <w:tcPr>
            <w:tcW w:w="2880" w:type="dxa"/>
            <w:gridSpan w:val="2"/>
            <w:tcBorders>
              <w:top w:val="single" w:sz="4" w:space="0" w:color="auto"/>
              <w:left w:val="nil"/>
              <w:bottom w:val="nil"/>
              <w:right w:val="nil"/>
            </w:tcBorders>
            <w:shd w:val="clear" w:color="auto" w:fill="FFFFFF"/>
            <w:vAlign w:val="center"/>
          </w:tcPr>
          <w:p w14:paraId="067790E5" w14:textId="77777777" w:rsidR="009025B4" w:rsidRDefault="009025B4" w:rsidP="009025B4">
            <w:pPr>
              <w:pStyle w:val="NormalArial"/>
            </w:pPr>
          </w:p>
        </w:tc>
        <w:tc>
          <w:tcPr>
            <w:tcW w:w="7560" w:type="dxa"/>
            <w:gridSpan w:val="2"/>
            <w:tcBorders>
              <w:top w:val="nil"/>
              <w:left w:val="nil"/>
              <w:bottom w:val="nil"/>
              <w:right w:val="nil"/>
            </w:tcBorders>
            <w:vAlign w:val="center"/>
          </w:tcPr>
          <w:p w14:paraId="33FE665A" w14:textId="77777777" w:rsidR="009025B4" w:rsidRDefault="009025B4" w:rsidP="009025B4">
            <w:pPr>
              <w:pStyle w:val="NormalArial"/>
            </w:pPr>
          </w:p>
        </w:tc>
      </w:tr>
      <w:tr w:rsidR="009025B4" w14:paraId="63956ACA" w14:textId="77777777">
        <w:tblPrEx>
          <w:tblCellMar>
            <w:top w:w="0" w:type="dxa"/>
            <w:bottom w:w="0" w:type="dxa"/>
          </w:tblCellMar>
        </w:tblPrEx>
        <w:trPr>
          <w:trHeight w:val="440"/>
        </w:trPr>
        <w:tc>
          <w:tcPr>
            <w:tcW w:w="10440" w:type="dxa"/>
            <w:gridSpan w:val="4"/>
            <w:tcBorders>
              <w:top w:val="single" w:sz="4" w:space="0" w:color="auto"/>
            </w:tcBorders>
            <w:shd w:val="clear" w:color="auto" w:fill="FFFFFF"/>
            <w:vAlign w:val="center"/>
          </w:tcPr>
          <w:p w14:paraId="1885E456" w14:textId="77777777" w:rsidR="009025B4" w:rsidRDefault="009025B4" w:rsidP="009025B4">
            <w:pPr>
              <w:pStyle w:val="Header"/>
              <w:jc w:val="center"/>
            </w:pPr>
            <w:r>
              <w:t>Submitter’s Information</w:t>
            </w:r>
          </w:p>
        </w:tc>
      </w:tr>
      <w:tr w:rsidR="009025B4" w14:paraId="1C6C618D" w14:textId="77777777">
        <w:tblPrEx>
          <w:tblCellMar>
            <w:top w:w="0" w:type="dxa"/>
            <w:bottom w:w="0" w:type="dxa"/>
          </w:tblCellMar>
        </w:tblPrEx>
        <w:trPr>
          <w:trHeight w:val="350"/>
        </w:trPr>
        <w:tc>
          <w:tcPr>
            <w:tcW w:w="2880" w:type="dxa"/>
            <w:gridSpan w:val="2"/>
            <w:shd w:val="clear" w:color="auto" w:fill="FFFFFF"/>
            <w:vAlign w:val="center"/>
          </w:tcPr>
          <w:p w14:paraId="762EC662" w14:textId="77777777" w:rsidR="009025B4" w:rsidRPr="00EC55B3" w:rsidRDefault="009025B4" w:rsidP="009025B4">
            <w:pPr>
              <w:pStyle w:val="Header"/>
            </w:pPr>
            <w:r w:rsidRPr="00EC55B3">
              <w:t>Name</w:t>
            </w:r>
          </w:p>
        </w:tc>
        <w:tc>
          <w:tcPr>
            <w:tcW w:w="7560" w:type="dxa"/>
            <w:gridSpan w:val="2"/>
            <w:vAlign w:val="center"/>
          </w:tcPr>
          <w:p w14:paraId="7B7D993B" w14:textId="77777777" w:rsidR="009025B4" w:rsidRDefault="009025B4" w:rsidP="009025B4">
            <w:pPr>
              <w:pStyle w:val="NormalArial"/>
            </w:pPr>
            <w:r>
              <w:t>Ian Haley</w:t>
            </w:r>
          </w:p>
        </w:tc>
      </w:tr>
      <w:tr w:rsidR="009025B4" w14:paraId="4DABBEAA" w14:textId="77777777">
        <w:tblPrEx>
          <w:tblCellMar>
            <w:top w:w="0" w:type="dxa"/>
            <w:bottom w:w="0" w:type="dxa"/>
          </w:tblCellMar>
        </w:tblPrEx>
        <w:trPr>
          <w:trHeight w:val="350"/>
        </w:trPr>
        <w:tc>
          <w:tcPr>
            <w:tcW w:w="2880" w:type="dxa"/>
            <w:gridSpan w:val="2"/>
            <w:shd w:val="clear" w:color="auto" w:fill="FFFFFF"/>
            <w:vAlign w:val="center"/>
          </w:tcPr>
          <w:p w14:paraId="04E70E1B" w14:textId="77777777" w:rsidR="009025B4" w:rsidRPr="00EC55B3" w:rsidRDefault="009025B4" w:rsidP="009025B4">
            <w:pPr>
              <w:pStyle w:val="Header"/>
            </w:pPr>
            <w:r w:rsidRPr="00EC55B3">
              <w:t>E-mail Address</w:t>
            </w:r>
          </w:p>
        </w:tc>
        <w:tc>
          <w:tcPr>
            <w:tcW w:w="7560" w:type="dxa"/>
            <w:gridSpan w:val="2"/>
            <w:vAlign w:val="center"/>
          </w:tcPr>
          <w:p w14:paraId="2F14D7E8" w14:textId="77777777" w:rsidR="009025B4" w:rsidRDefault="009025B4" w:rsidP="009025B4">
            <w:pPr>
              <w:pStyle w:val="NormalArial"/>
            </w:pPr>
            <w:hyperlink r:id="rId8" w:history="1">
              <w:r w:rsidRPr="00A76124">
                <w:rPr>
                  <w:rStyle w:val="Hyperlink"/>
                </w:rPr>
                <w:t>Ian.Haley@VistraCorp.com</w:t>
              </w:r>
            </w:hyperlink>
          </w:p>
        </w:tc>
      </w:tr>
      <w:tr w:rsidR="009025B4" w14:paraId="7FC44035" w14:textId="77777777">
        <w:tblPrEx>
          <w:tblCellMar>
            <w:top w:w="0" w:type="dxa"/>
            <w:bottom w:w="0" w:type="dxa"/>
          </w:tblCellMar>
        </w:tblPrEx>
        <w:trPr>
          <w:trHeight w:val="350"/>
        </w:trPr>
        <w:tc>
          <w:tcPr>
            <w:tcW w:w="2880" w:type="dxa"/>
            <w:gridSpan w:val="2"/>
            <w:shd w:val="clear" w:color="auto" w:fill="FFFFFF"/>
            <w:vAlign w:val="center"/>
          </w:tcPr>
          <w:p w14:paraId="50BE625D" w14:textId="77777777" w:rsidR="009025B4" w:rsidRPr="00EC55B3" w:rsidRDefault="009025B4" w:rsidP="009025B4">
            <w:pPr>
              <w:pStyle w:val="Header"/>
            </w:pPr>
            <w:r w:rsidRPr="00EC55B3">
              <w:t>Company</w:t>
            </w:r>
          </w:p>
        </w:tc>
        <w:tc>
          <w:tcPr>
            <w:tcW w:w="7560" w:type="dxa"/>
            <w:gridSpan w:val="2"/>
            <w:vAlign w:val="center"/>
          </w:tcPr>
          <w:p w14:paraId="32D06520" w14:textId="77777777" w:rsidR="009025B4" w:rsidRDefault="009025B4" w:rsidP="009025B4">
            <w:pPr>
              <w:pStyle w:val="NormalArial"/>
            </w:pPr>
            <w:r>
              <w:t>Luminant Generation Company LLC</w:t>
            </w:r>
          </w:p>
        </w:tc>
      </w:tr>
      <w:tr w:rsidR="009025B4" w14:paraId="3D1EB793"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26E02B50" w14:textId="77777777" w:rsidR="009025B4" w:rsidRPr="00EC55B3" w:rsidRDefault="009025B4" w:rsidP="009025B4">
            <w:pPr>
              <w:pStyle w:val="Header"/>
            </w:pPr>
            <w:r w:rsidRPr="00EC55B3">
              <w:t>Phone Number</w:t>
            </w:r>
          </w:p>
        </w:tc>
        <w:tc>
          <w:tcPr>
            <w:tcW w:w="7560" w:type="dxa"/>
            <w:gridSpan w:val="2"/>
            <w:tcBorders>
              <w:bottom w:val="single" w:sz="4" w:space="0" w:color="auto"/>
            </w:tcBorders>
            <w:vAlign w:val="center"/>
          </w:tcPr>
          <w:p w14:paraId="00EA71DC" w14:textId="77777777" w:rsidR="009025B4" w:rsidRDefault="009025B4" w:rsidP="009025B4">
            <w:pPr>
              <w:pStyle w:val="NormalArial"/>
            </w:pPr>
            <w:r>
              <w:t>512-673-9655</w:t>
            </w:r>
          </w:p>
        </w:tc>
      </w:tr>
      <w:tr w:rsidR="009025B4" w14:paraId="2958DF94" w14:textId="77777777">
        <w:tblPrEx>
          <w:tblCellMar>
            <w:top w:w="0" w:type="dxa"/>
            <w:bottom w:w="0" w:type="dxa"/>
          </w:tblCellMar>
        </w:tblPrEx>
        <w:trPr>
          <w:trHeight w:val="350"/>
        </w:trPr>
        <w:tc>
          <w:tcPr>
            <w:tcW w:w="2880" w:type="dxa"/>
            <w:gridSpan w:val="2"/>
            <w:shd w:val="clear" w:color="auto" w:fill="FFFFFF"/>
            <w:vAlign w:val="center"/>
          </w:tcPr>
          <w:p w14:paraId="5E755426" w14:textId="77777777" w:rsidR="009025B4" w:rsidRPr="00EC55B3" w:rsidRDefault="009025B4" w:rsidP="009025B4">
            <w:pPr>
              <w:pStyle w:val="Header"/>
            </w:pPr>
            <w:r>
              <w:t>Cell</w:t>
            </w:r>
            <w:r w:rsidRPr="00EC55B3">
              <w:t xml:space="preserve"> Number</w:t>
            </w:r>
          </w:p>
        </w:tc>
        <w:tc>
          <w:tcPr>
            <w:tcW w:w="7560" w:type="dxa"/>
            <w:gridSpan w:val="2"/>
            <w:vAlign w:val="center"/>
          </w:tcPr>
          <w:p w14:paraId="562A21A0" w14:textId="77777777" w:rsidR="009025B4" w:rsidRDefault="009025B4" w:rsidP="009025B4">
            <w:pPr>
              <w:pStyle w:val="NormalArial"/>
            </w:pPr>
          </w:p>
        </w:tc>
      </w:tr>
      <w:tr w:rsidR="009025B4" w14:paraId="5AE05FF6"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5185EC2F" w14:textId="77777777" w:rsidR="009025B4" w:rsidRPr="00EC55B3" w:rsidDel="00075A94" w:rsidRDefault="009025B4" w:rsidP="009025B4">
            <w:pPr>
              <w:pStyle w:val="Header"/>
            </w:pPr>
            <w:r>
              <w:t>Market Segment</w:t>
            </w:r>
          </w:p>
        </w:tc>
        <w:tc>
          <w:tcPr>
            <w:tcW w:w="7560" w:type="dxa"/>
            <w:gridSpan w:val="2"/>
            <w:tcBorders>
              <w:bottom w:val="single" w:sz="4" w:space="0" w:color="auto"/>
            </w:tcBorders>
            <w:vAlign w:val="center"/>
          </w:tcPr>
          <w:p w14:paraId="19C2A27D" w14:textId="77777777" w:rsidR="009025B4" w:rsidRDefault="009025B4" w:rsidP="009025B4">
            <w:pPr>
              <w:pStyle w:val="NormalArial"/>
            </w:pPr>
            <w:r>
              <w:t>Independent Generator</w:t>
            </w:r>
          </w:p>
        </w:tc>
      </w:tr>
    </w:tbl>
    <w:p w14:paraId="42D1C46E"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5E29228B" w14:textId="77777777" w:rsidTr="00B5080A">
        <w:trPr>
          <w:trHeight w:val="422"/>
          <w:jc w:val="center"/>
        </w:trPr>
        <w:tc>
          <w:tcPr>
            <w:tcW w:w="10440" w:type="dxa"/>
            <w:vAlign w:val="center"/>
          </w:tcPr>
          <w:p w14:paraId="04697E91" w14:textId="77777777" w:rsidR="00075A94" w:rsidRPr="00075A94" w:rsidRDefault="00075A94" w:rsidP="00B5080A">
            <w:pPr>
              <w:pStyle w:val="Header"/>
              <w:jc w:val="center"/>
            </w:pPr>
            <w:r w:rsidRPr="00075A94">
              <w:t>Comments</w:t>
            </w:r>
          </w:p>
        </w:tc>
      </w:tr>
    </w:tbl>
    <w:p w14:paraId="6B1F0C3B" w14:textId="1807297B" w:rsidR="009025B4" w:rsidRPr="00FA2126" w:rsidRDefault="009025B4" w:rsidP="00FA2126">
      <w:pPr>
        <w:spacing w:before="120" w:after="120"/>
        <w:rPr>
          <w:rFonts w:ascii="Arial" w:hAnsi="Arial" w:cs="Arial"/>
        </w:rPr>
      </w:pPr>
      <w:r w:rsidRPr="00FA2126">
        <w:rPr>
          <w:rFonts w:ascii="Arial" w:hAnsi="Arial" w:cs="Arial"/>
        </w:rPr>
        <w:t xml:space="preserve">Luminant Generation Company LLC understands the desire of ERCOT and the Public Utility Commission to move forward with Nodal Protocol Revision Request </w:t>
      </w:r>
      <w:r w:rsidR="00FA2126">
        <w:rPr>
          <w:rFonts w:ascii="Arial" w:hAnsi="Arial" w:cs="Arial"/>
        </w:rPr>
        <w:t xml:space="preserve">(NPRR) </w:t>
      </w:r>
      <w:r w:rsidRPr="00FA2126">
        <w:rPr>
          <w:rFonts w:ascii="Arial" w:hAnsi="Arial" w:cs="Arial"/>
        </w:rPr>
        <w:t>1108.  However, as ERCOT only posted the methodology and limits on March 7</w:t>
      </w:r>
      <w:r w:rsidRPr="00FA2126">
        <w:rPr>
          <w:rFonts w:ascii="Arial" w:hAnsi="Arial" w:cs="Arial"/>
          <w:vertAlign w:val="superscript"/>
        </w:rPr>
        <w:t>th</w:t>
      </w:r>
      <w:r w:rsidRPr="00FA2126">
        <w:rPr>
          <w:rFonts w:ascii="Arial" w:hAnsi="Arial" w:cs="Arial"/>
        </w:rPr>
        <w:t xml:space="preserve">, stakeholders are only just now able to evaluate and ascertain its impacts. </w:t>
      </w:r>
      <w:r w:rsidR="00FA2126">
        <w:rPr>
          <w:rFonts w:ascii="Arial" w:hAnsi="Arial" w:cs="Arial"/>
        </w:rPr>
        <w:t xml:space="preserve"> </w:t>
      </w:r>
      <w:r w:rsidRPr="00FA2126">
        <w:rPr>
          <w:rFonts w:ascii="Arial" w:hAnsi="Arial" w:cs="Arial"/>
        </w:rPr>
        <w:t xml:space="preserve">Luminant has identified a number of changes needed and additional questions that need to be answered.  Luminant acknowledges that some of these questions may fall outside of ERCOT’s jurisdiction and need to be addressed by the </w:t>
      </w:r>
      <w:r w:rsidR="00FA2126">
        <w:rPr>
          <w:rFonts w:ascii="Arial" w:hAnsi="Arial" w:cs="Arial"/>
        </w:rPr>
        <w:t>Commission</w:t>
      </w:r>
      <w:r w:rsidRPr="00FA2126">
        <w:rPr>
          <w:rFonts w:ascii="Arial" w:hAnsi="Arial" w:cs="Arial"/>
        </w:rPr>
        <w:t xml:space="preserve">.  </w:t>
      </w:r>
    </w:p>
    <w:p w14:paraId="26D118DD" w14:textId="4FF612AD" w:rsidR="009025B4" w:rsidRPr="00FA2126" w:rsidRDefault="009025B4" w:rsidP="00FA2126">
      <w:pPr>
        <w:spacing w:before="120" w:after="120"/>
        <w:rPr>
          <w:rFonts w:ascii="Arial" w:hAnsi="Arial" w:cs="Arial"/>
        </w:rPr>
      </w:pPr>
      <w:r w:rsidRPr="00FA2126">
        <w:rPr>
          <w:rFonts w:ascii="Arial" w:hAnsi="Arial" w:cs="Arial"/>
        </w:rPr>
        <w:t xml:space="preserve">At a more fundamental level, however, Luminant is concerned with the potential for long-term incentive problems with the approach laid out in NPRR1108 and already being implemented under Operations Market Notice M-B031622-01, which could easily have a negative impact on </w:t>
      </w:r>
      <w:r w:rsidR="00FA2126">
        <w:rPr>
          <w:rFonts w:ascii="Arial" w:hAnsi="Arial" w:cs="Arial"/>
        </w:rPr>
        <w:t>R</w:t>
      </w:r>
      <w:r w:rsidRPr="00FA2126">
        <w:rPr>
          <w:rFonts w:ascii="Arial" w:hAnsi="Arial" w:cs="Arial"/>
        </w:rPr>
        <w:t xml:space="preserve">esource adequacy without some reasonable accommodations.  ERCOT’s proposed firm limits on </w:t>
      </w:r>
      <w:r w:rsidR="00FA2126">
        <w:rPr>
          <w:rFonts w:ascii="Arial" w:hAnsi="Arial" w:cs="Arial"/>
        </w:rPr>
        <w:t>O</w:t>
      </w:r>
      <w:r w:rsidRPr="00FA2126">
        <w:rPr>
          <w:rFonts w:ascii="Arial" w:hAnsi="Arial" w:cs="Arial"/>
        </w:rPr>
        <w:t xml:space="preserve">utages effectively holds dispatchable </w:t>
      </w:r>
      <w:r w:rsidR="00FA2126">
        <w:rPr>
          <w:rFonts w:ascii="Arial" w:hAnsi="Arial" w:cs="Arial"/>
        </w:rPr>
        <w:t>R</w:t>
      </w:r>
      <w:r w:rsidRPr="00FA2126">
        <w:rPr>
          <w:rFonts w:ascii="Arial" w:hAnsi="Arial" w:cs="Arial"/>
        </w:rPr>
        <w:t xml:space="preserve">esources’ maintenance needs hostage to the whims of wind, sun, and </w:t>
      </w:r>
      <w:r w:rsidR="00FA2126">
        <w:rPr>
          <w:rFonts w:ascii="Arial" w:hAnsi="Arial" w:cs="Arial"/>
        </w:rPr>
        <w:t>L</w:t>
      </w:r>
      <w:r w:rsidRPr="00FA2126">
        <w:rPr>
          <w:rFonts w:ascii="Arial" w:hAnsi="Arial" w:cs="Arial"/>
        </w:rPr>
        <w:t xml:space="preserve">oad forecasts. </w:t>
      </w:r>
      <w:r w:rsidR="00FA2126">
        <w:rPr>
          <w:rFonts w:ascii="Arial" w:hAnsi="Arial" w:cs="Arial"/>
        </w:rPr>
        <w:t xml:space="preserve"> </w:t>
      </w:r>
      <w:r w:rsidRPr="00FA2126">
        <w:rPr>
          <w:rFonts w:ascii="Arial" w:hAnsi="Arial" w:cs="Arial"/>
        </w:rPr>
        <w:t xml:space="preserve">This dynamic will only get worse over time, as the more </w:t>
      </w:r>
      <w:r w:rsidR="00FA2126">
        <w:rPr>
          <w:rFonts w:ascii="Arial" w:hAnsi="Arial" w:cs="Arial"/>
        </w:rPr>
        <w:t>Intermittent Renewable Resources (</w:t>
      </w:r>
      <w:r w:rsidRPr="00FA2126">
        <w:rPr>
          <w:rFonts w:ascii="Arial" w:hAnsi="Arial" w:cs="Arial"/>
        </w:rPr>
        <w:t>IRRs</w:t>
      </w:r>
      <w:r w:rsidR="00FA2126">
        <w:rPr>
          <w:rFonts w:ascii="Arial" w:hAnsi="Arial" w:cs="Arial"/>
        </w:rPr>
        <w:t>)</w:t>
      </w:r>
      <w:r w:rsidRPr="00FA2126">
        <w:rPr>
          <w:rFonts w:ascii="Arial" w:hAnsi="Arial" w:cs="Arial"/>
        </w:rPr>
        <w:t xml:space="preserve"> there are, the more dispatchable capacity will get squeezed to complete </w:t>
      </w:r>
      <w:r w:rsidR="00FA2126">
        <w:rPr>
          <w:rFonts w:ascii="Arial" w:hAnsi="Arial" w:cs="Arial"/>
        </w:rPr>
        <w:t>O</w:t>
      </w:r>
      <w:r w:rsidRPr="00FA2126">
        <w:rPr>
          <w:rFonts w:ascii="Arial" w:hAnsi="Arial" w:cs="Arial"/>
        </w:rPr>
        <w:t xml:space="preserve">utages in smaller windows and with less flexibility.  These smaller </w:t>
      </w:r>
      <w:r w:rsidR="00FA2126">
        <w:rPr>
          <w:rFonts w:ascii="Arial" w:hAnsi="Arial" w:cs="Arial"/>
        </w:rPr>
        <w:t>P</w:t>
      </w:r>
      <w:r w:rsidRPr="00FA2126">
        <w:rPr>
          <w:rFonts w:ascii="Arial" w:hAnsi="Arial" w:cs="Arial"/>
        </w:rPr>
        <w:t xml:space="preserve">lanned </w:t>
      </w:r>
      <w:r w:rsidR="00FA2126">
        <w:rPr>
          <w:rFonts w:ascii="Arial" w:hAnsi="Arial" w:cs="Arial"/>
        </w:rPr>
        <w:t>O</w:t>
      </w:r>
      <w:r w:rsidRPr="00FA2126">
        <w:rPr>
          <w:rFonts w:ascii="Arial" w:hAnsi="Arial" w:cs="Arial"/>
        </w:rPr>
        <w:t xml:space="preserve">utage windows, limited by a “top-down” analysis that does not take into account thermal </w:t>
      </w:r>
      <w:r w:rsidR="00FA2126">
        <w:rPr>
          <w:rFonts w:ascii="Arial" w:hAnsi="Arial" w:cs="Arial"/>
        </w:rPr>
        <w:t>R</w:t>
      </w:r>
      <w:r w:rsidRPr="00FA2126">
        <w:rPr>
          <w:rFonts w:ascii="Arial" w:hAnsi="Arial" w:cs="Arial"/>
        </w:rPr>
        <w:t xml:space="preserve">esources’ maintenance needs and logistical risks, will likely result in additional </w:t>
      </w:r>
      <w:r w:rsidR="00FA2126">
        <w:rPr>
          <w:rFonts w:ascii="Arial" w:hAnsi="Arial" w:cs="Arial"/>
        </w:rPr>
        <w:t>F</w:t>
      </w:r>
      <w:r w:rsidRPr="00FA2126">
        <w:rPr>
          <w:rFonts w:ascii="Arial" w:hAnsi="Arial" w:cs="Arial"/>
        </w:rPr>
        <w:t xml:space="preserve">orced and </w:t>
      </w:r>
      <w:r w:rsidR="00FA2126">
        <w:rPr>
          <w:rFonts w:ascii="Arial" w:hAnsi="Arial" w:cs="Arial"/>
        </w:rPr>
        <w:t>M</w:t>
      </w:r>
      <w:r w:rsidRPr="00FA2126">
        <w:rPr>
          <w:rFonts w:ascii="Arial" w:hAnsi="Arial" w:cs="Arial"/>
        </w:rPr>
        <w:t xml:space="preserve">aintenance </w:t>
      </w:r>
      <w:r w:rsidR="00FA2126">
        <w:rPr>
          <w:rFonts w:ascii="Arial" w:hAnsi="Arial" w:cs="Arial"/>
        </w:rPr>
        <w:t>O</w:t>
      </w:r>
      <w:r w:rsidRPr="00FA2126">
        <w:rPr>
          <w:rFonts w:ascii="Arial" w:hAnsi="Arial" w:cs="Arial"/>
        </w:rPr>
        <w:t xml:space="preserve">utages by restricting their ability to efficiently complete </w:t>
      </w:r>
      <w:r w:rsidR="00FA2126">
        <w:rPr>
          <w:rFonts w:ascii="Arial" w:hAnsi="Arial" w:cs="Arial"/>
        </w:rPr>
        <w:t>P</w:t>
      </w:r>
      <w:r w:rsidRPr="00FA2126">
        <w:rPr>
          <w:rFonts w:ascii="Arial" w:hAnsi="Arial" w:cs="Arial"/>
        </w:rPr>
        <w:t xml:space="preserve">lanned </w:t>
      </w:r>
      <w:r w:rsidR="00FA2126">
        <w:rPr>
          <w:rFonts w:ascii="Arial" w:hAnsi="Arial" w:cs="Arial"/>
        </w:rPr>
        <w:t>O</w:t>
      </w:r>
      <w:r w:rsidRPr="00FA2126">
        <w:rPr>
          <w:rFonts w:ascii="Arial" w:hAnsi="Arial" w:cs="Arial"/>
        </w:rPr>
        <w:t xml:space="preserve">utages. </w:t>
      </w:r>
      <w:r w:rsidR="00FA2126">
        <w:rPr>
          <w:rFonts w:ascii="Arial" w:hAnsi="Arial" w:cs="Arial"/>
        </w:rPr>
        <w:t xml:space="preserve"> </w:t>
      </w:r>
      <w:r w:rsidRPr="00FA2126">
        <w:rPr>
          <w:rFonts w:ascii="Arial" w:hAnsi="Arial" w:cs="Arial"/>
        </w:rPr>
        <w:t xml:space="preserve">Hard restrictions on </w:t>
      </w:r>
      <w:r w:rsidR="00FA2126">
        <w:rPr>
          <w:rFonts w:ascii="Arial" w:hAnsi="Arial" w:cs="Arial"/>
        </w:rPr>
        <w:t>O</w:t>
      </w:r>
      <w:r w:rsidRPr="00FA2126">
        <w:rPr>
          <w:rFonts w:ascii="Arial" w:hAnsi="Arial" w:cs="Arial"/>
        </w:rPr>
        <w:t xml:space="preserve">utages will make it more difficult to move </w:t>
      </w:r>
      <w:r w:rsidR="00FA2126">
        <w:rPr>
          <w:rFonts w:ascii="Arial" w:hAnsi="Arial" w:cs="Arial"/>
        </w:rPr>
        <w:t>O</w:t>
      </w:r>
      <w:r w:rsidRPr="00FA2126">
        <w:rPr>
          <w:rFonts w:ascii="Arial" w:hAnsi="Arial" w:cs="Arial"/>
        </w:rPr>
        <w:t xml:space="preserve">utages in response to near-term weather events or logistical hurdles, strongly incentivizing generators to stick firmly to their approved </w:t>
      </w:r>
      <w:r w:rsidR="00FA2126">
        <w:rPr>
          <w:rFonts w:ascii="Arial" w:hAnsi="Arial" w:cs="Arial"/>
        </w:rPr>
        <w:t>O</w:t>
      </w:r>
      <w:r w:rsidRPr="00FA2126">
        <w:rPr>
          <w:rFonts w:ascii="Arial" w:hAnsi="Arial" w:cs="Arial"/>
        </w:rPr>
        <w:t xml:space="preserve">utage schedule (if they can) or risk losing the ability to complete the </w:t>
      </w:r>
      <w:r w:rsidR="00FA2126">
        <w:rPr>
          <w:rFonts w:ascii="Arial" w:hAnsi="Arial" w:cs="Arial"/>
        </w:rPr>
        <w:t>O</w:t>
      </w:r>
      <w:r w:rsidRPr="00FA2126">
        <w:rPr>
          <w:rFonts w:ascii="Arial" w:hAnsi="Arial" w:cs="Arial"/>
        </w:rPr>
        <w:t xml:space="preserve">utage before the </w:t>
      </w:r>
      <w:r w:rsidR="00FA2126">
        <w:rPr>
          <w:rFonts w:ascii="Arial" w:hAnsi="Arial" w:cs="Arial"/>
        </w:rPr>
        <w:t>O</w:t>
      </w:r>
      <w:r w:rsidRPr="00FA2126">
        <w:rPr>
          <w:rFonts w:ascii="Arial" w:hAnsi="Arial" w:cs="Arial"/>
        </w:rPr>
        <w:t xml:space="preserve">utage window closes. </w:t>
      </w:r>
      <w:r w:rsidR="00FA2126">
        <w:rPr>
          <w:rFonts w:ascii="Arial" w:hAnsi="Arial" w:cs="Arial"/>
        </w:rPr>
        <w:t xml:space="preserve"> </w:t>
      </w:r>
      <w:r w:rsidRPr="00FA2126">
        <w:rPr>
          <w:rFonts w:ascii="Arial" w:hAnsi="Arial" w:cs="Arial"/>
        </w:rPr>
        <w:t xml:space="preserve">This dynamic will only feed into ERCOT’s formula to further restrict the MDRPOC calculation through the increased </w:t>
      </w:r>
      <w:r w:rsidR="00FA2126">
        <w:rPr>
          <w:rFonts w:ascii="Arial" w:hAnsi="Arial" w:cs="Arial"/>
        </w:rPr>
        <w:t>F</w:t>
      </w:r>
      <w:r w:rsidRPr="00FA2126">
        <w:rPr>
          <w:rFonts w:ascii="Arial" w:hAnsi="Arial" w:cs="Arial"/>
        </w:rPr>
        <w:t xml:space="preserve">orced </w:t>
      </w:r>
      <w:r w:rsidR="00FA2126">
        <w:rPr>
          <w:rFonts w:ascii="Arial" w:hAnsi="Arial" w:cs="Arial"/>
        </w:rPr>
        <w:t>O</w:t>
      </w:r>
      <w:r w:rsidRPr="00FA2126">
        <w:rPr>
          <w:rFonts w:ascii="Arial" w:hAnsi="Arial" w:cs="Arial"/>
        </w:rPr>
        <w:t xml:space="preserve">utages (in addition to the IRR and </w:t>
      </w:r>
      <w:r w:rsidR="00FA2126">
        <w:rPr>
          <w:rFonts w:ascii="Arial" w:hAnsi="Arial" w:cs="Arial"/>
        </w:rPr>
        <w:t>L</w:t>
      </w:r>
      <w:r w:rsidRPr="00FA2126">
        <w:rPr>
          <w:rFonts w:ascii="Arial" w:hAnsi="Arial" w:cs="Arial"/>
        </w:rPr>
        <w:t xml:space="preserve">oad forecast dynamics).  </w:t>
      </w:r>
    </w:p>
    <w:p w14:paraId="0BFD49E2" w14:textId="3F2D1F62" w:rsidR="009025B4" w:rsidRPr="00FA2126" w:rsidRDefault="009025B4" w:rsidP="00FA2126">
      <w:pPr>
        <w:spacing w:before="120" w:after="120"/>
        <w:rPr>
          <w:rFonts w:ascii="Arial" w:hAnsi="Arial" w:cs="Arial"/>
        </w:rPr>
      </w:pPr>
      <w:r w:rsidRPr="00FA2126">
        <w:rPr>
          <w:rFonts w:ascii="Arial" w:hAnsi="Arial" w:cs="Arial"/>
        </w:rPr>
        <w:lastRenderedPageBreak/>
        <w:t xml:space="preserve">Luminant is concerned that ERCOT’s proposal will drive more uncertainty into operations and have the opposite effect that the Legislature had hoped for, and wants to explore options with ERCOT, the Commission, and other stakeholders to provide ERCOT with its statutorily required </w:t>
      </w:r>
      <w:r w:rsidR="00FA2126">
        <w:rPr>
          <w:rFonts w:ascii="Arial" w:hAnsi="Arial" w:cs="Arial"/>
        </w:rPr>
        <w:t>O</w:t>
      </w:r>
      <w:r w:rsidRPr="00FA2126">
        <w:rPr>
          <w:rFonts w:ascii="Arial" w:hAnsi="Arial" w:cs="Arial"/>
        </w:rPr>
        <w:t xml:space="preserve">utage controls while avoiding (or at least minimizing) negative unintended consequences. </w:t>
      </w:r>
      <w:r w:rsidR="00FA2126">
        <w:rPr>
          <w:rFonts w:ascii="Arial" w:hAnsi="Arial" w:cs="Arial"/>
        </w:rPr>
        <w:t xml:space="preserve"> </w:t>
      </w:r>
      <w:r w:rsidRPr="00FA2126">
        <w:rPr>
          <w:rFonts w:ascii="Arial" w:hAnsi="Arial" w:cs="Arial"/>
        </w:rPr>
        <w:t xml:space="preserve">At a minimum, ERCOT should reconcile the proposed “top-down” approach currently embedded in NPRR1108 with a “bottoms-up” needs assessment to ensure that the entire ERCOT fleet is able to complete OEM-recommended maintenance across an </w:t>
      </w:r>
      <w:r w:rsidR="00FA2126">
        <w:rPr>
          <w:rFonts w:ascii="Arial" w:hAnsi="Arial" w:cs="Arial"/>
        </w:rPr>
        <w:t>O</w:t>
      </w:r>
      <w:r w:rsidRPr="00FA2126">
        <w:rPr>
          <w:rFonts w:ascii="Arial" w:hAnsi="Arial" w:cs="Arial"/>
        </w:rPr>
        <w:t xml:space="preserve">utage season, taking into account the need for some headroom to exist so that resources can adjust </w:t>
      </w:r>
      <w:r w:rsidR="00FA2126">
        <w:rPr>
          <w:rFonts w:ascii="Arial" w:hAnsi="Arial" w:cs="Arial"/>
        </w:rPr>
        <w:t>O</w:t>
      </w:r>
      <w:r w:rsidRPr="00FA2126">
        <w:rPr>
          <w:rFonts w:ascii="Arial" w:hAnsi="Arial" w:cs="Arial"/>
        </w:rPr>
        <w:t xml:space="preserve">utage schedules without fear of losing </w:t>
      </w:r>
      <w:r w:rsidR="00FA2126">
        <w:rPr>
          <w:rFonts w:ascii="Arial" w:hAnsi="Arial" w:cs="Arial"/>
        </w:rPr>
        <w:t>P</w:t>
      </w:r>
      <w:r w:rsidRPr="00FA2126">
        <w:rPr>
          <w:rFonts w:ascii="Arial" w:hAnsi="Arial" w:cs="Arial"/>
        </w:rPr>
        <w:t xml:space="preserve">lanned </w:t>
      </w:r>
      <w:r w:rsidR="00FA2126">
        <w:rPr>
          <w:rFonts w:ascii="Arial" w:hAnsi="Arial" w:cs="Arial"/>
        </w:rPr>
        <w:t>O</w:t>
      </w:r>
      <w:r w:rsidRPr="00FA2126">
        <w:rPr>
          <w:rFonts w:ascii="Arial" w:hAnsi="Arial" w:cs="Arial"/>
        </w:rPr>
        <w:t xml:space="preserve">utages altogether (which may be supplemented with other reasonable accommodations that could also help alleviate </w:t>
      </w:r>
      <w:r w:rsidR="00FA2126">
        <w:rPr>
          <w:rFonts w:ascii="Arial" w:hAnsi="Arial" w:cs="Arial"/>
        </w:rPr>
        <w:t>O</w:t>
      </w:r>
      <w:r w:rsidRPr="00FA2126">
        <w:rPr>
          <w:rFonts w:ascii="Arial" w:hAnsi="Arial" w:cs="Arial"/>
        </w:rPr>
        <w:t xml:space="preserve">utage frictions, such as trading similar approved </w:t>
      </w:r>
      <w:r w:rsidR="00FA2126">
        <w:rPr>
          <w:rFonts w:ascii="Arial" w:hAnsi="Arial" w:cs="Arial"/>
        </w:rPr>
        <w:t>O</w:t>
      </w:r>
      <w:r w:rsidRPr="00FA2126">
        <w:rPr>
          <w:rFonts w:ascii="Arial" w:hAnsi="Arial" w:cs="Arial"/>
        </w:rPr>
        <w:t>utages within a fleet).</w:t>
      </w:r>
      <w:r w:rsidR="00FA2126">
        <w:rPr>
          <w:rFonts w:ascii="Arial" w:hAnsi="Arial" w:cs="Arial"/>
        </w:rPr>
        <w:t xml:space="preserve"> </w:t>
      </w:r>
      <w:r w:rsidRPr="00FA2126">
        <w:rPr>
          <w:rFonts w:ascii="Arial" w:hAnsi="Arial" w:cs="Arial"/>
        </w:rPr>
        <w:t xml:space="preserve"> Given that the Spring </w:t>
      </w:r>
      <w:r w:rsidR="00FA2126">
        <w:rPr>
          <w:rFonts w:ascii="Arial" w:hAnsi="Arial" w:cs="Arial"/>
        </w:rPr>
        <w:t>O</w:t>
      </w:r>
      <w:r w:rsidRPr="00FA2126">
        <w:rPr>
          <w:rFonts w:ascii="Arial" w:hAnsi="Arial" w:cs="Arial"/>
        </w:rPr>
        <w:t>utage season is already well underway and ERCOT already starting to implement some of the underlying policies, Luminant believes there is sufficient time to discuss and address these issues without unduly delaying the effectiveness of the policy change.</w:t>
      </w:r>
    </w:p>
    <w:p w14:paraId="42C76F6A" w14:textId="1C6C173D" w:rsidR="009025B4" w:rsidRPr="00FA2126" w:rsidRDefault="009025B4" w:rsidP="00FA2126">
      <w:pPr>
        <w:spacing w:before="120" w:after="120"/>
        <w:rPr>
          <w:rFonts w:ascii="Arial" w:hAnsi="Arial" w:cs="Arial"/>
        </w:rPr>
      </w:pPr>
      <w:r w:rsidRPr="00FA2126">
        <w:rPr>
          <w:rFonts w:ascii="Arial" w:hAnsi="Arial" w:cs="Arial"/>
        </w:rPr>
        <w:t>In order to allow Market Participants the maximum amount of time to work through these questions and needed changes, Luminant has drafted these comments as an outline while next steps are determined.  Luminant looks forward to the discussion at the March 25</w:t>
      </w:r>
      <w:r w:rsidRPr="00FA2126">
        <w:rPr>
          <w:rFonts w:ascii="Arial" w:hAnsi="Arial" w:cs="Arial"/>
          <w:vertAlign w:val="superscript"/>
        </w:rPr>
        <w:t>th</w:t>
      </w:r>
      <w:r w:rsidRPr="00FA2126">
        <w:rPr>
          <w:rFonts w:ascii="Arial" w:hAnsi="Arial" w:cs="Arial"/>
        </w:rPr>
        <w:t xml:space="preserve"> </w:t>
      </w:r>
      <w:r w:rsidR="00FA2126">
        <w:rPr>
          <w:rFonts w:ascii="Arial" w:hAnsi="Arial" w:cs="Arial"/>
        </w:rPr>
        <w:t>Wholesale Market Working Group (</w:t>
      </w:r>
      <w:r w:rsidRPr="00FA2126">
        <w:rPr>
          <w:rFonts w:ascii="Arial" w:hAnsi="Arial" w:cs="Arial"/>
        </w:rPr>
        <w:t>WMWG</w:t>
      </w:r>
      <w:r w:rsidR="00FA2126">
        <w:rPr>
          <w:rFonts w:ascii="Arial" w:hAnsi="Arial" w:cs="Arial"/>
        </w:rPr>
        <w:t>)</w:t>
      </w:r>
      <w:r w:rsidRPr="00FA2126">
        <w:rPr>
          <w:rFonts w:ascii="Arial" w:hAnsi="Arial" w:cs="Arial"/>
        </w:rPr>
        <w:t xml:space="preserve"> meeting on these and other concerns. </w:t>
      </w:r>
    </w:p>
    <w:p w14:paraId="3485C04F" w14:textId="77777777" w:rsidR="009025B4" w:rsidRPr="00FA2126" w:rsidRDefault="009025B4" w:rsidP="00FA2126">
      <w:pPr>
        <w:spacing w:before="120" w:after="120"/>
        <w:rPr>
          <w:rFonts w:ascii="Arial" w:hAnsi="Arial" w:cs="Arial"/>
        </w:rPr>
      </w:pPr>
      <w:r w:rsidRPr="00FA2126">
        <w:rPr>
          <w:rFonts w:ascii="Arial" w:hAnsi="Arial" w:cs="Arial"/>
        </w:rPr>
        <w:t>Changes needed to be included in the NPRR:</w:t>
      </w:r>
    </w:p>
    <w:p w14:paraId="0A2F5950" w14:textId="77777777" w:rsidR="009025B4" w:rsidRPr="00FA2126" w:rsidRDefault="009025B4" w:rsidP="00B663D4">
      <w:pPr>
        <w:pStyle w:val="ListParagraph"/>
        <w:numPr>
          <w:ilvl w:val="0"/>
          <w:numId w:val="4"/>
        </w:numPr>
        <w:spacing w:before="60" w:after="60"/>
        <w:rPr>
          <w:rFonts w:ascii="Arial" w:eastAsia="Times New Roman" w:hAnsi="Arial" w:cs="Arial"/>
          <w:sz w:val="24"/>
          <w:szCs w:val="24"/>
        </w:rPr>
      </w:pPr>
      <w:r w:rsidRPr="00FA2126">
        <w:rPr>
          <w:rFonts w:ascii="Arial" w:eastAsia="Times New Roman" w:hAnsi="Arial" w:cs="Arial"/>
          <w:sz w:val="24"/>
          <w:szCs w:val="24"/>
        </w:rPr>
        <w:t>The specific MDRPOC calculations need to be documented in the Protocols or in an Other Binding Document.</w:t>
      </w:r>
    </w:p>
    <w:p w14:paraId="558217E5" w14:textId="77777777" w:rsidR="009025B4" w:rsidRPr="00FA2126" w:rsidRDefault="009025B4" w:rsidP="00B663D4">
      <w:pPr>
        <w:pStyle w:val="ListParagraph"/>
        <w:numPr>
          <w:ilvl w:val="0"/>
          <w:numId w:val="4"/>
        </w:numPr>
        <w:spacing w:before="60" w:after="60"/>
        <w:rPr>
          <w:rFonts w:ascii="Arial" w:hAnsi="Arial" w:cs="Arial"/>
          <w:sz w:val="24"/>
          <w:szCs w:val="24"/>
        </w:rPr>
      </w:pPr>
      <w:r w:rsidRPr="00FA2126">
        <w:rPr>
          <w:rFonts w:ascii="Arial" w:eastAsia="Times New Roman" w:hAnsi="Arial" w:cs="Arial"/>
          <w:sz w:val="24"/>
          <w:szCs w:val="24"/>
        </w:rPr>
        <w:t>To ensure all Market Participants are aware of changes, fixed MDRPOC input values and indexed MDRPOC input sources need to be reviewed and approved by TAC at least annually.</w:t>
      </w:r>
    </w:p>
    <w:p w14:paraId="7ADB911E" w14:textId="0DA82BA6" w:rsidR="009025B4" w:rsidRPr="00FA2126" w:rsidRDefault="009025B4" w:rsidP="00B663D4">
      <w:pPr>
        <w:pStyle w:val="ListParagraph"/>
        <w:numPr>
          <w:ilvl w:val="0"/>
          <w:numId w:val="4"/>
        </w:numPr>
        <w:spacing w:before="60" w:after="60"/>
        <w:rPr>
          <w:rFonts w:ascii="Arial" w:hAnsi="Arial" w:cs="Arial"/>
          <w:sz w:val="24"/>
          <w:szCs w:val="24"/>
        </w:rPr>
      </w:pPr>
      <w:r w:rsidRPr="00FA2126">
        <w:rPr>
          <w:rFonts w:ascii="Arial" w:eastAsia="Times New Roman" w:hAnsi="Arial" w:cs="Arial"/>
          <w:sz w:val="24"/>
          <w:szCs w:val="24"/>
        </w:rPr>
        <w:t xml:space="preserve">An </w:t>
      </w:r>
      <w:r w:rsidR="00FA2126">
        <w:rPr>
          <w:rFonts w:ascii="Arial" w:eastAsia="Times New Roman" w:hAnsi="Arial" w:cs="Arial"/>
          <w:sz w:val="24"/>
          <w:szCs w:val="24"/>
        </w:rPr>
        <w:t>O</w:t>
      </w:r>
      <w:r w:rsidRPr="00FA2126">
        <w:rPr>
          <w:rFonts w:ascii="Arial" w:eastAsia="Times New Roman" w:hAnsi="Arial" w:cs="Arial"/>
          <w:sz w:val="24"/>
          <w:szCs w:val="24"/>
        </w:rPr>
        <w:t xml:space="preserve">utage allowance based on general forecasts needs to utilize in the calculation.  ERCOT’s proposed use of </w:t>
      </w:r>
      <w:r w:rsidR="00FA2126">
        <w:rPr>
          <w:rFonts w:ascii="Arial" w:eastAsia="Times New Roman" w:hAnsi="Arial" w:cs="Arial"/>
          <w:sz w:val="24"/>
          <w:szCs w:val="24"/>
        </w:rPr>
        <w:t>L</w:t>
      </w:r>
      <w:r w:rsidRPr="00FA2126">
        <w:rPr>
          <w:rFonts w:ascii="Arial" w:eastAsia="Times New Roman" w:hAnsi="Arial" w:cs="Arial"/>
          <w:sz w:val="24"/>
          <w:szCs w:val="24"/>
        </w:rPr>
        <w:t xml:space="preserve">oad, wind, and solar forecasts many months into the future is an extreme form of false precision. </w:t>
      </w:r>
      <w:r w:rsidR="00FA2126">
        <w:rPr>
          <w:rFonts w:ascii="Arial" w:eastAsia="Times New Roman" w:hAnsi="Arial" w:cs="Arial"/>
          <w:sz w:val="24"/>
          <w:szCs w:val="24"/>
        </w:rPr>
        <w:t xml:space="preserve"> </w:t>
      </w:r>
      <w:r w:rsidRPr="00FA2126">
        <w:rPr>
          <w:rFonts w:ascii="Arial" w:eastAsia="Times New Roman" w:hAnsi="Arial" w:cs="Arial"/>
          <w:sz w:val="24"/>
          <w:szCs w:val="24"/>
        </w:rPr>
        <w:t xml:space="preserve">Even a </w:t>
      </w:r>
      <w:r w:rsidR="00FA2126">
        <w:rPr>
          <w:rFonts w:ascii="Arial" w:eastAsia="Times New Roman" w:hAnsi="Arial" w:cs="Arial"/>
          <w:sz w:val="24"/>
          <w:szCs w:val="24"/>
        </w:rPr>
        <w:t>L</w:t>
      </w:r>
      <w:r w:rsidRPr="00FA2126">
        <w:rPr>
          <w:rFonts w:ascii="Arial" w:eastAsia="Times New Roman" w:hAnsi="Arial" w:cs="Arial"/>
          <w:sz w:val="24"/>
          <w:szCs w:val="24"/>
        </w:rPr>
        <w:t xml:space="preserve">oad forecast one year out cannot with any reasonable certainty identify expectations on a daily basis, which MDRPOC contemplates. </w:t>
      </w:r>
      <w:r w:rsidR="00FA2126">
        <w:rPr>
          <w:rFonts w:ascii="Arial" w:eastAsia="Times New Roman" w:hAnsi="Arial" w:cs="Arial"/>
          <w:sz w:val="24"/>
          <w:szCs w:val="24"/>
        </w:rPr>
        <w:t xml:space="preserve"> </w:t>
      </w:r>
      <w:r w:rsidRPr="00FA2126">
        <w:rPr>
          <w:rFonts w:ascii="Arial" w:eastAsia="Times New Roman" w:hAnsi="Arial" w:cs="Arial"/>
          <w:sz w:val="24"/>
          <w:szCs w:val="24"/>
        </w:rPr>
        <w:t xml:space="preserve">Forecasts vary from actual experience both to near-term trends, like a weather event, as well as to exogenous shocks. </w:t>
      </w:r>
      <w:r w:rsidR="00FA2126">
        <w:rPr>
          <w:rFonts w:ascii="Arial" w:eastAsia="Times New Roman" w:hAnsi="Arial" w:cs="Arial"/>
          <w:sz w:val="24"/>
          <w:szCs w:val="24"/>
        </w:rPr>
        <w:t xml:space="preserve"> </w:t>
      </w:r>
      <w:r w:rsidRPr="00FA2126">
        <w:rPr>
          <w:rFonts w:ascii="Arial" w:eastAsia="Times New Roman" w:hAnsi="Arial" w:cs="Arial"/>
          <w:sz w:val="24"/>
          <w:szCs w:val="24"/>
        </w:rPr>
        <w:t xml:space="preserve">ERCOT could not have forecasted Winter Storm Uri a year in advance, nor the global shut down due to Covid-19 in 2020. </w:t>
      </w:r>
      <w:r w:rsidR="00FA2126">
        <w:rPr>
          <w:rFonts w:ascii="Arial" w:eastAsia="Times New Roman" w:hAnsi="Arial" w:cs="Arial"/>
          <w:sz w:val="24"/>
          <w:szCs w:val="24"/>
        </w:rPr>
        <w:t xml:space="preserve"> </w:t>
      </w:r>
      <w:r w:rsidRPr="00FA2126">
        <w:rPr>
          <w:rFonts w:ascii="Arial" w:eastAsia="Times New Roman" w:hAnsi="Arial" w:cs="Arial"/>
          <w:sz w:val="24"/>
          <w:szCs w:val="24"/>
        </w:rPr>
        <w:t xml:space="preserve">Providing some amount of slack in the calculation could help to account for the need to move and reoptimize </w:t>
      </w:r>
      <w:r w:rsidR="00FA2126">
        <w:rPr>
          <w:rFonts w:ascii="Arial" w:eastAsia="Times New Roman" w:hAnsi="Arial" w:cs="Arial"/>
          <w:sz w:val="24"/>
          <w:szCs w:val="24"/>
        </w:rPr>
        <w:t>O</w:t>
      </w:r>
      <w:r w:rsidRPr="00FA2126">
        <w:rPr>
          <w:rFonts w:ascii="Arial" w:eastAsia="Times New Roman" w:hAnsi="Arial" w:cs="Arial"/>
          <w:sz w:val="24"/>
          <w:szCs w:val="24"/>
        </w:rPr>
        <w:t>utages in response to unpredicted events.</w:t>
      </w:r>
    </w:p>
    <w:p w14:paraId="545B1F70" w14:textId="009CFDA5" w:rsidR="009025B4" w:rsidRPr="00FA2126" w:rsidRDefault="009025B4" w:rsidP="00B663D4">
      <w:pPr>
        <w:pStyle w:val="ListParagraph"/>
        <w:numPr>
          <w:ilvl w:val="0"/>
          <w:numId w:val="4"/>
        </w:numPr>
        <w:spacing w:before="60" w:after="60"/>
        <w:rPr>
          <w:rFonts w:ascii="Arial" w:hAnsi="Arial" w:cs="Arial"/>
          <w:sz w:val="24"/>
          <w:szCs w:val="24"/>
        </w:rPr>
      </w:pPr>
      <w:r w:rsidRPr="00FA2126">
        <w:rPr>
          <w:rFonts w:ascii="Arial" w:eastAsia="Times New Roman" w:hAnsi="Arial" w:cs="Arial"/>
          <w:sz w:val="24"/>
          <w:szCs w:val="24"/>
        </w:rPr>
        <w:t xml:space="preserve">Outage allowances must reflect the blocky nature of Resource </w:t>
      </w:r>
      <w:r w:rsidR="00FA2126">
        <w:rPr>
          <w:rFonts w:ascii="Arial" w:eastAsia="Times New Roman" w:hAnsi="Arial" w:cs="Arial"/>
          <w:sz w:val="24"/>
          <w:szCs w:val="24"/>
        </w:rPr>
        <w:t>O</w:t>
      </w:r>
      <w:r w:rsidRPr="00FA2126">
        <w:rPr>
          <w:rFonts w:ascii="Arial" w:eastAsia="Times New Roman" w:hAnsi="Arial" w:cs="Arial"/>
          <w:sz w:val="24"/>
          <w:szCs w:val="24"/>
        </w:rPr>
        <w:t>utages.</w:t>
      </w:r>
    </w:p>
    <w:p w14:paraId="46D1E91F" w14:textId="2956EAE9" w:rsidR="009025B4" w:rsidRPr="00FA2126" w:rsidRDefault="009025B4" w:rsidP="00B663D4">
      <w:pPr>
        <w:pStyle w:val="ListParagraph"/>
        <w:numPr>
          <w:ilvl w:val="0"/>
          <w:numId w:val="4"/>
        </w:numPr>
        <w:spacing w:before="60" w:after="60"/>
        <w:rPr>
          <w:rFonts w:ascii="Arial" w:hAnsi="Arial" w:cs="Arial"/>
          <w:sz w:val="24"/>
          <w:szCs w:val="24"/>
        </w:rPr>
      </w:pPr>
      <w:r w:rsidRPr="00FA2126">
        <w:rPr>
          <w:rFonts w:ascii="Arial" w:hAnsi="Arial" w:cs="Arial"/>
          <w:sz w:val="24"/>
          <w:szCs w:val="24"/>
        </w:rPr>
        <w:t xml:space="preserve">There needs to be an automatic approval if the </w:t>
      </w:r>
      <w:r w:rsidR="00FA2126">
        <w:rPr>
          <w:rFonts w:ascii="Arial" w:hAnsi="Arial" w:cs="Arial"/>
          <w:sz w:val="24"/>
          <w:szCs w:val="24"/>
        </w:rPr>
        <w:t>O</w:t>
      </w:r>
      <w:r w:rsidRPr="00FA2126">
        <w:rPr>
          <w:rFonts w:ascii="Arial" w:hAnsi="Arial" w:cs="Arial"/>
          <w:sz w:val="24"/>
          <w:szCs w:val="24"/>
        </w:rPr>
        <w:t xml:space="preserve">utage is more than 45 days out and it is under the aggregate limits.  Outage planning is a very complex endeavor, with the potential need to schedule multiple vendors.  </w:t>
      </w:r>
    </w:p>
    <w:p w14:paraId="7DE93781" w14:textId="45EF430C" w:rsidR="009025B4" w:rsidRPr="00FA2126" w:rsidRDefault="009025B4" w:rsidP="00B663D4">
      <w:pPr>
        <w:pStyle w:val="ListParagraph"/>
        <w:numPr>
          <w:ilvl w:val="0"/>
          <w:numId w:val="4"/>
        </w:numPr>
        <w:spacing w:before="60" w:after="60"/>
        <w:rPr>
          <w:rFonts w:ascii="Arial" w:hAnsi="Arial" w:cs="Arial"/>
          <w:sz w:val="24"/>
          <w:szCs w:val="24"/>
        </w:rPr>
      </w:pPr>
      <w:r w:rsidRPr="00FA2126">
        <w:rPr>
          <w:rFonts w:ascii="Arial" w:hAnsi="Arial" w:cs="Arial"/>
          <w:sz w:val="24"/>
          <w:szCs w:val="24"/>
        </w:rPr>
        <w:lastRenderedPageBreak/>
        <w:t xml:space="preserve">The </w:t>
      </w:r>
      <w:r w:rsidR="00FA2126">
        <w:rPr>
          <w:rFonts w:ascii="Arial" w:hAnsi="Arial" w:cs="Arial"/>
          <w:sz w:val="24"/>
          <w:szCs w:val="24"/>
        </w:rPr>
        <w:t>O</w:t>
      </w:r>
      <w:r w:rsidRPr="00FA2126">
        <w:rPr>
          <w:rFonts w:ascii="Arial" w:hAnsi="Arial" w:cs="Arial"/>
          <w:sz w:val="24"/>
          <w:szCs w:val="24"/>
        </w:rPr>
        <w:t xml:space="preserve">utage availability needs to be updated and published to the market each hour.  </w:t>
      </w:r>
    </w:p>
    <w:p w14:paraId="7703499E" w14:textId="65ED1047" w:rsidR="009025B4" w:rsidRPr="00FA2126" w:rsidRDefault="009025B4" w:rsidP="00B663D4">
      <w:pPr>
        <w:pStyle w:val="ListParagraph"/>
        <w:numPr>
          <w:ilvl w:val="0"/>
          <w:numId w:val="4"/>
        </w:numPr>
        <w:spacing w:before="60" w:after="60"/>
        <w:rPr>
          <w:rFonts w:ascii="Arial" w:eastAsia="Times New Roman" w:hAnsi="Arial" w:cs="Arial"/>
          <w:sz w:val="24"/>
          <w:szCs w:val="24"/>
        </w:rPr>
      </w:pPr>
      <w:r w:rsidRPr="00FA2126">
        <w:rPr>
          <w:rFonts w:ascii="Arial" w:eastAsia="Times New Roman" w:hAnsi="Arial" w:cs="Arial"/>
          <w:sz w:val="24"/>
          <w:szCs w:val="24"/>
        </w:rPr>
        <w:t>Language is needed to guarantee that outages moved due to an Outage Schedule Adjustment</w:t>
      </w:r>
      <w:r w:rsidR="00FA2126">
        <w:rPr>
          <w:rFonts w:ascii="Arial" w:eastAsia="Times New Roman" w:hAnsi="Arial" w:cs="Arial"/>
          <w:sz w:val="24"/>
          <w:szCs w:val="24"/>
        </w:rPr>
        <w:t xml:space="preserve"> (OSA)</w:t>
      </w:r>
      <w:r w:rsidRPr="00FA2126">
        <w:rPr>
          <w:rFonts w:ascii="Arial" w:eastAsia="Times New Roman" w:hAnsi="Arial" w:cs="Arial"/>
          <w:sz w:val="24"/>
          <w:szCs w:val="24"/>
        </w:rPr>
        <w:t xml:space="preserve"> can be taken immediately after the event or at the </w:t>
      </w:r>
      <w:r w:rsidR="00FA2126">
        <w:rPr>
          <w:rFonts w:ascii="Arial" w:eastAsia="Times New Roman" w:hAnsi="Arial" w:cs="Arial"/>
          <w:sz w:val="24"/>
          <w:szCs w:val="24"/>
        </w:rPr>
        <w:t>R</w:t>
      </w:r>
      <w:r w:rsidRPr="00FA2126">
        <w:rPr>
          <w:rFonts w:ascii="Arial" w:eastAsia="Times New Roman" w:hAnsi="Arial" w:cs="Arial"/>
          <w:sz w:val="24"/>
          <w:szCs w:val="24"/>
        </w:rPr>
        <w:t xml:space="preserve">esource owner’s discretion even if they violate the limits.  Resource owners must not be forced to limp into a peak season after all Market Participants benefited from the delay of their </w:t>
      </w:r>
      <w:r w:rsidR="00FA2126">
        <w:rPr>
          <w:rFonts w:ascii="Arial" w:eastAsia="Times New Roman" w:hAnsi="Arial" w:cs="Arial"/>
          <w:sz w:val="24"/>
          <w:szCs w:val="24"/>
        </w:rPr>
        <w:t>O</w:t>
      </w:r>
      <w:r w:rsidRPr="00FA2126">
        <w:rPr>
          <w:rFonts w:ascii="Arial" w:eastAsia="Times New Roman" w:hAnsi="Arial" w:cs="Arial"/>
          <w:sz w:val="24"/>
          <w:szCs w:val="24"/>
        </w:rPr>
        <w:t xml:space="preserve">utage.  </w:t>
      </w:r>
    </w:p>
    <w:p w14:paraId="542C390B" w14:textId="77777777" w:rsidR="009025B4" w:rsidRPr="00FA2126" w:rsidRDefault="009025B4" w:rsidP="00B663D4">
      <w:pPr>
        <w:pStyle w:val="ListParagraph"/>
        <w:numPr>
          <w:ilvl w:val="0"/>
          <w:numId w:val="4"/>
        </w:numPr>
        <w:spacing w:before="60" w:after="60"/>
        <w:rPr>
          <w:rFonts w:ascii="Arial" w:hAnsi="Arial" w:cs="Arial"/>
          <w:sz w:val="24"/>
          <w:szCs w:val="24"/>
        </w:rPr>
      </w:pPr>
      <w:r w:rsidRPr="00FA2126">
        <w:rPr>
          <w:rFonts w:ascii="Arial" w:hAnsi="Arial" w:cs="Arial"/>
          <w:sz w:val="24"/>
          <w:szCs w:val="24"/>
        </w:rPr>
        <w:t>Nuclear units need to be exempt from this requirement.</w:t>
      </w:r>
    </w:p>
    <w:p w14:paraId="3F954492" w14:textId="1F1ACA10" w:rsidR="009025B4" w:rsidRPr="00FA2126" w:rsidRDefault="009025B4" w:rsidP="00B663D4">
      <w:pPr>
        <w:pStyle w:val="ListParagraph"/>
        <w:numPr>
          <w:ilvl w:val="0"/>
          <w:numId w:val="4"/>
        </w:numPr>
        <w:spacing w:before="60" w:after="60"/>
        <w:rPr>
          <w:rFonts w:ascii="Arial" w:hAnsi="Arial" w:cs="Arial"/>
          <w:sz w:val="24"/>
          <w:szCs w:val="24"/>
        </w:rPr>
      </w:pPr>
      <w:r w:rsidRPr="00FA2126">
        <w:rPr>
          <w:rFonts w:ascii="Arial" w:hAnsi="Arial" w:cs="Arial"/>
          <w:sz w:val="24"/>
          <w:szCs w:val="24"/>
        </w:rPr>
        <w:t xml:space="preserve">The ability to allow </w:t>
      </w:r>
      <w:r w:rsidR="00FA2126">
        <w:rPr>
          <w:rFonts w:ascii="Arial" w:hAnsi="Arial" w:cs="Arial"/>
          <w:sz w:val="24"/>
          <w:szCs w:val="24"/>
        </w:rPr>
        <w:t>R</w:t>
      </w:r>
      <w:r w:rsidRPr="00FA2126">
        <w:rPr>
          <w:rFonts w:ascii="Arial" w:hAnsi="Arial" w:cs="Arial"/>
          <w:sz w:val="24"/>
          <w:szCs w:val="24"/>
        </w:rPr>
        <w:t xml:space="preserve">esources to transfer approved </w:t>
      </w:r>
      <w:r w:rsidR="00FA2126">
        <w:rPr>
          <w:rFonts w:ascii="Arial" w:hAnsi="Arial" w:cs="Arial"/>
          <w:sz w:val="24"/>
          <w:szCs w:val="24"/>
        </w:rPr>
        <w:t>O</w:t>
      </w:r>
      <w:r w:rsidRPr="00FA2126">
        <w:rPr>
          <w:rFonts w:ascii="Arial" w:hAnsi="Arial" w:cs="Arial"/>
          <w:sz w:val="24"/>
          <w:szCs w:val="24"/>
        </w:rPr>
        <w:t xml:space="preserve">utages within its fleet as long as it stays under the agreed limits.  </w:t>
      </w:r>
    </w:p>
    <w:p w14:paraId="5C746C41" w14:textId="340858A4" w:rsidR="009025B4" w:rsidRPr="00FA2126" w:rsidRDefault="009025B4" w:rsidP="00B663D4">
      <w:pPr>
        <w:pStyle w:val="ListParagraph"/>
        <w:numPr>
          <w:ilvl w:val="0"/>
          <w:numId w:val="4"/>
        </w:numPr>
        <w:spacing w:before="60" w:after="60"/>
        <w:rPr>
          <w:rFonts w:ascii="Arial" w:hAnsi="Arial" w:cs="Arial"/>
          <w:sz w:val="24"/>
          <w:szCs w:val="24"/>
        </w:rPr>
      </w:pPr>
      <w:r w:rsidRPr="00FA2126">
        <w:rPr>
          <w:rFonts w:ascii="Arial" w:hAnsi="Arial" w:cs="Arial"/>
          <w:sz w:val="24"/>
          <w:szCs w:val="24"/>
        </w:rPr>
        <w:t xml:space="preserve">The long-term MDRPOC needs to be at least consistent with </w:t>
      </w:r>
      <w:r w:rsidR="00FA2126">
        <w:rPr>
          <w:rFonts w:ascii="Arial" w:hAnsi="Arial" w:cs="Arial"/>
          <w:sz w:val="24"/>
          <w:szCs w:val="24"/>
        </w:rPr>
        <w:t xml:space="preserve">the </w:t>
      </w:r>
      <w:r w:rsidR="00FA2126" w:rsidRPr="00FA2126">
        <w:rPr>
          <w:rFonts w:ascii="Arial" w:hAnsi="Arial" w:cs="Arial"/>
          <w:sz w:val="24"/>
          <w:szCs w:val="24"/>
        </w:rPr>
        <w:t>Report</w:t>
      </w:r>
      <w:r w:rsidR="00FA2126">
        <w:rPr>
          <w:rFonts w:ascii="Arial" w:hAnsi="Arial" w:cs="Arial"/>
          <w:sz w:val="24"/>
          <w:szCs w:val="24"/>
        </w:rPr>
        <w:t xml:space="preserve"> </w:t>
      </w:r>
      <w:r w:rsidR="00FA2126" w:rsidRPr="00FA2126">
        <w:rPr>
          <w:rFonts w:ascii="Arial" w:hAnsi="Arial" w:cs="Arial"/>
          <w:sz w:val="24"/>
          <w:szCs w:val="24"/>
        </w:rPr>
        <w:t>on Capacity, Demand and Reserves in the ERCOT Region</w:t>
      </w:r>
      <w:r w:rsidR="00FA2126" w:rsidRPr="00FA2126">
        <w:rPr>
          <w:rFonts w:ascii="Arial" w:hAnsi="Arial" w:cs="Arial"/>
          <w:sz w:val="24"/>
          <w:szCs w:val="24"/>
        </w:rPr>
        <w:t xml:space="preserve"> (</w:t>
      </w:r>
      <w:r w:rsidR="00FA2126">
        <w:rPr>
          <w:rFonts w:ascii="Arial" w:hAnsi="Arial" w:cs="Arial"/>
          <w:sz w:val="24"/>
          <w:szCs w:val="24"/>
        </w:rPr>
        <w:t>“</w:t>
      </w:r>
      <w:r w:rsidRPr="00FA2126">
        <w:rPr>
          <w:rFonts w:ascii="Arial" w:hAnsi="Arial" w:cs="Arial"/>
          <w:sz w:val="24"/>
          <w:szCs w:val="24"/>
        </w:rPr>
        <w:t>CDR</w:t>
      </w:r>
      <w:r w:rsidR="00FA2126">
        <w:rPr>
          <w:rFonts w:ascii="Arial" w:hAnsi="Arial" w:cs="Arial"/>
          <w:sz w:val="24"/>
          <w:szCs w:val="24"/>
        </w:rPr>
        <w:t>”</w:t>
      </w:r>
      <w:r w:rsidR="00FA2126" w:rsidRPr="00FA2126">
        <w:rPr>
          <w:rFonts w:ascii="Arial" w:hAnsi="Arial" w:cs="Arial"/>
          <w:sz w:val="24"/>
          <w:szCs w:val="24"/>
        </w:rPr>
        <w:t>)</w:t>
      </w:r>
      <w:r w:rsidRPr="00FA2126">
        <w:rPr>
          <w:rFonts w:ascii="Arial" w:hAnsi="Arial" w:cs="Arial"/>
          <w:sz w:val="24"/>
          <w:szCs w:val="24"/>
        </w:rPr>
        <w:t xml:space="preserve"> for new capacity additions.</w:t>
      </w:r>
    </w:p>
    <w:p w14:paraId="6E5A3E5C" w14:textId="77777777" w:rsidR="009025B4" w:rsidRPr="00FA2126" w:rsidRDefault="009025B4" w:rsidP="00FA2126">
      <w:pPr>
        <w:spacing w:before="120" w:after="120"/>
        <w:rPr>
          <w:rFonts w:ascii="Arial" w:hAnsi="Arial" w:cs="Arial"/>
        </w:rPr>
      </w:pPr>
      <w:r w:rsidRPr="00FA2126">
        <w:rPr>
          <w:rFonts w:ascii="Arial" w:hAnsi="Arial" w:cs="Arial"/>
        </w:rPr>
        <w:t>Changes needed to the ERCOT System:</w:t>
      </w:r>
    </w:p>
    <w:p w14:paraId="1717370D" w14:textId="770B43BE" w:rsidR="009025B4" w:rsidRPr="00FA2126" w:rsidRDefault="009025B4" w:rsidP="00FA2126">
      <w:pPr>
        <w:pStyle w:val="ListParagraph"/>
        <w:numPr>
          <w:ilvl w:val="0"/>
          <w:numId w:val="3"/>
        </w:numPr>
        <w:spacing w:before="120" w:after="120"/>
        <w:rPr>
          <w:rFonts w:ascii="Arial" w:eastAsia="Times New Roman" w:hAnsi="Arial" w:cs="Arial"/>
          <w:sz w:val="24"/>
          <w:szCs w:val="24"/>
        </w:rPr>
      </w:pPr>
      <w:r w:rsidRPr="00FA2126">
        <w:rPr>
          <w:rFonts w:ascii="Arial" w:eastAsia="Times New Roman" w:hAnsi="Arial" w:cs="Arial"/>
          <w:sz w:val="24"/>
          <w:szCs w:val="24"/>
        </w:rPr>
        <w:t xml:space="preserve">The </w:t>
      </w:r>
      <w:r w:rsidR="00FA2126">
        <w:rPr>
          <w:rFonts w:ascii="Arial" w:eastAsia="Times New Roman" w:hAnsi="Arial" w:cs="Arial"/>
          <w:sz w:val="24"/>
          <w:szCs w:val="24"/>
        </w:rPr>
        <w:t>O</w:t>
      </w:r>
      <w:r w:rsidRPr="00FA2126">
        <w:rPr>
          <w:rFonts w:ascii="Arial" w:eastAsia="Times New Roman" w:hAnsi="Arial" w:cs="Arial"/>
          <w:sz w:val="24"/>
          <w:szCs w:val="24"/>
        </w:rPr>
        <w:t xml:space="preserve">utage </w:t>
      </w:r>
      <w:r w:rsidR="00FA2126">
        <w:rPr>
          <w:rFonts w:ascii="Arial" w:eastAsia="Times New Roman" w:hAnsi="Arial" w:cs="Arial"/>
          <w:sz w:val="24"/>
          <w:szCs w:val="24"/>
        </w:rPr>
        <w:t>S</w:t>
      </w:r>
      <w:r w:rsidRPr="00FA2126">
        <w:rPr>
          <w:rFonts w:ascii="Arial" w:eastAsia="Times New Roman" w:hAnsi="Arial" w:cs="Arial"/>
          <w:sz w:val="24"/>
          <w:szCs w:val="24"/>
        </w:rPr>
        <w:t>cheduler Resources use needs a complete overhaul before this can take effect.  Luminant has stated this is also an issue with NPRR1084</w:t>
      </w:r>
      <w:r w:rsidR="00FA2126">
        <w:rPr>
          <w:rFonts w:ascii="Arial" w:eastAsia="Times New Roman" w:hAnsi="Arial" w:cs="Arial"/>
          <w:sz w:val="24"/>
          <w:szCs w:val="24"/>
        </w:rPr>
        <w:t xml:space="preserve">, </w:t>
      </w:r>
      <w:r w:rsidR="00FA2126" w:rsidRPr="00FA2126">
        <w:rPr>
          <w:rFonts w:ascii="Arial" w:eastAsia="Times New Roman" w:hAnsi="Arial" w:cs="Arial"/>
          <w:sz w:val="24"/>
          <w:szCs w:val="24"/>
        </w:rPr>
        <w:t>Improvements to Reporting of Resource Outages and Derates</w:t>
      </w:r>
      <w:r w:rsidRPr="00FA2126">
        <w:rPr>
          <w:rFonts w:ascii="Arial" w:eastAsia="Times New Roman" w:hAnsi="Arial" w:cs="Arial"/>
          <w:sz w:val="24"/>
          <w:szCs w:val="24"/>
        </w:rPr>
        <w:t xml:space="preserve">.  An updated system with the ability to update, shorten, lengthen, and move outages has been needed and this proposal is not possible without it.  </w:t>
      </w:r>
    </w:p>
    <w:p w14:paraId="6B16653B" w14:textId="77777777" w:rsidR="009025B4" w:rsidRPr="00FA2126" w:rsidRDefault="009025B4" w:rsidP="00FA2126">
      <w:pPr>
        <w:spacing w:before="120" w:after="120"/>
        <w:rPr>
          <w:rFonts w:ascii="Arial" w:hAnsi="Arial" w:cs="Arial"/>
        </w:rPr>
      </w:pPr>
      <w:r w:rsidRPr="00FA2126">
        <w:rPr>
          <w:rFonts w:ascii="Arial" w:hAnsi="Arial" w:cs="Arial"/>
        </w:rPr>
        <w:t>Open Questions that need to be addressed:</w:t>
      </w:r>
    </w:p>
    <w:p w14:paraId="55367142" w14:textId="6728E135" w:rsidR="009025B4" w:rsidRPr="00FA2126" w:rsidRDefault="009025B4" w:rsidP="00B663D4">
      <w:pPr>
        <w:pStyle w:val="ListParagraph"/>
        <w:numPr>
          <w:ilvl w:val="0"/>
          <w:numId w:val="5"/>
        </w:numPr>
        <w:spacing w:before="60" w:after="60"/>
        <w:rPr>
          <w:rFonts w:ascii="Arial" w:eastAsia="Times New Roman" w:hAnsi="Arial" w:cs="Arial"/>
          <w:sz w:val="24"/>
          <w:szCs w:val="24"/>
        </w:rPr>
      </w:pPr>
      <w:r w:rsidRPr="00FA2126">
        <w:rPr>
          <w:rFonts w:ascii="Arial" w:eastAsia="Times New Roman" w:hAnsi="Arial" w:cs="Arial"/>
          <w:sz w:val="24"/>
          <w:szCs w:val="24"/>
        </w:rPr>
        <w:t xml:space="preserve">Will there be rules to prevent or enforce against potential abuse of the </w:t>
      </w:r>
      <w:r w:rsidR="00FA2126">
        <w:rPr>
          <w:rFonts w:ascii="Arial" w:eastAsia="Times New Roman" w:hAnsi="Arial" w:cs="Arial"/>
          <w:sz w:val="24"/>
          <w:szCs w:val="24"/>
        </w:rPr>
        <w:t>O</w:t>
      </w:r>
      <w:r w:rsidRPr="00FA2126">
        <w:rPr>
          <w:rFonts w:ascii="Arial" w:eastAsia="Times New Roman" w:hAnsi="Arial" w:cs="Arial"/>
          <w:sz w:val="24"/>
          <w:szCs w:val="24"/>
        </w:rPr>
        <w:t>utage limits?</w:t>
      </w:r>
    </w:p>
    <w:p w14:paraId="24A3CF50" w14:textId="17C4468D" w:rsidR="009025B4" w:rsidRPr="00FA2126" w:rsidRDefault="009025B4" w:rsidP="00B663D4">
      <w:pPr>
        <w:pStyle w:val="ListParagraph"/>
        <w:numPr>
          <w:ilvl w:val="0"/>
          <w:numId w:val="5"/>
        </w:numPr>
        <w:spacing w:before="60" w:after="60"/>
        <w:rPr>
          <w:rFonts w:ascii="Arial" w:eastAsia="Times New Roman" w:hAnsi="Arial" w:cs="Arial"/>
          <w:sz w:val="24"/>
          <w:szCs w:val="24"/>
        </w:rPr>
      </w:pPr>
      <w:r w:rsidRPr="00FA2126">
        <w:rPr>
          <w:rFonts w:ascii="Arial" w:eastAsia="Times New Roman" w:hAnsi="Arial" w:cs="Arial"/>
          <w:sz w:val="24"/>
          <w:szCs w:val="24"/>
        </w:rPr>
        <w:t xml:space="preserve">Should criteria be established for evaluating potential hoarding of </w:t>
      </w:r>
      <w:r w:rsidR="00FA2126">
        <w:rPr>
          <w:rFonts w:ascii="Arial" w:eastAsia="Times New Roman" w:hAnsi="Arial" w:cs="Arial"/>
          <w:sz w:val="24"/>
          <w:szCs w:val="24"/>
        </w:rPr>
        <w:t>O</w:t>
      </w:r>
      <w:r w:rsidRPr="00FA2126">
        <w:rPr>
          <w:rFonts w:ascii="Arial" w:eastAsia="Times New Roman" w:hAnsi="Arial" w:cs="Arial"/>
          <w:sz w:val="24"/>
          <w:szCs w:val="24"/>
        </w:rPr>
        <w:t>utage availabilities?</w:t>
      </w:r>
    </w:p>
    <w:p w14:paraId="3B54FDD7" w14:textId="49FCD8CE" w:rsidR="009025B4" w:rsidRPr="00FA2126" w:rsidRDefault="009025B4" w:rsidP="00B663D4">
      <w:pPr>
        <w:pStyle w:val="ListParagraph"/>
        <w:numPr>
          <w:ilvl w:val="1"/>
          <w:numId w:val="5"/>
        </w:numPr>
        <w:spacing w:before="60" w:after="60"/>
        <w:rPr>
          <w:rFonts w:ascii="Arial" w:eastAsia="Times New Roman" w:hAnsi="Arial" w:cs="Arial"/>
          <w:sz w:val="24"/>
          <w:szCs w:val="24"/>
        </w:rPr>
      </w:pPr>
      <w:r w:rsidRPr="00FA2126">
        <w:rPr>
          <w:rFonts w:ascii="Arial" w:eastAsia="Times New Roman" w:hAnsi="Arial" w:cs="Arial"/>
          <w:sz w:val="24"/>
          <w:szCs w:val="24"/>
        </w:rPr>
        <w:t xml:space="preserve">For example, there should be an allowance for intentionally booking some flexible </w:t>
      </w:r>
      <w:r w:rsidR="00FA2126">
        <w:rPr>
          <w:rFonts w:ascii="Arial" w:eastAsia="Times New Roman" w:hAnsi="Arial" w:cs="Arial"/>
          <w:sz w:val="24"/>
          <w:szCs w:val="24"/>
        </w:rPr>
        <w:t>O</w:t>
      </w:r>
      <w:r w:rsidRPr="00FA2126">
        <w:rPr>
          <w:rFonts w:ascii="Arial" w:eastAsia="Times New Roman" w:hAnsi="Arial" w:cs="Arial"/>
          <w:sz w:val="24"/>
          <w:szCs w:val="24"/>
        </w:rPr>
        <w:t>utage time on top of the minimum required time, but should there be limits?</w:t>
      </w:r>
    </w:p>
    <w:p w14:paraId="469AE969" w14:textId="5EA0BC4E" w:rsidR="009025B4" w:rsidRPr="00FA2126" w:rsidRDefault="009025B4" w:rsidP="00B663D4">
      <w:pPr>
        <w:pStyle w:val="ListParagraph"/>
        <w:numPr>
          <w:ilvl w:val="0"/>
          <w:numId w:val="5"/>
        </w:numPr>
        <w:spacing w:before="60" w:after="60"/>
        <w:rPr>
          <w:rFonts w:ascii="Arial" w:eastAsia="Times New Roman" w:hAnsi="Arial" w:cs="Arial"/>
          <w:sz w:val="24"/>
          <w:szCs w:val="24"/>
        </w:rPr>
      </w:pPr>
      <w:r w:rsidRPr="00FA2126">
        <w:rPr>
          <w:rFonts w:ascii="Arial" w:eastAsia="Times New Roman" w:hAnsi="Arial" w:cs="Arial"/>
          <w:sz w:val="24"/>
          <w:szCs w:val="24"/>
        </w:rPr>
        <w:t xml:space="preserve">Will there be additional requirements to prove a </w:t>
      </w:r>
      <w:r w:rsidR="00FA2126">
        <w:rPr>
          <w:rFonts w:ascii="Arial" w:eastAsia="Times New Roman" w:hAnsi="Arial" w:cs="Arial"/>
          <w:sz w:val="24"/>
          <w:szCs w:val="24"/>
        </w:rPr>
        <w:t>M</w:t>
      </w:r>
      <w:r w:rsidRPr="00FA2126">
        <w:rPr>
          <w:rFonts w:ascii="Arial" w:eastAsia="Times New Roman" w:hAnsi="Arial" w:cs="Arial"/>
          <w:sz w:val="24"/>
          <w:szCs w:val="24"/>
        </w:rPr>
        <w:t xml:space="preserve">aintenance </w:t>
      </w:r>
      <w:r w:rsidR="00FA2126">
        <w:rPr>
          <w:rFonts w:ascii="Arial" w:eastAsia="Times New Roman" w:hAnsi="Arial" w:cs="Arial"/>
          <w:sz w:val="24"/>
          <w:szCs w:val="24"/>
        </w:rPr>
        <w:t>O</w:t>
      </w:r>
      <w:r w:rsidRPr="00FA2126">
        <w:rPr>
          <w:rFonts w:ascii="Arial" w:eastAsia="Times New Roman" w:hAnsi="Arial" w:cs="Arial"/>
          <w:sz w:val="24"/>
          <w:szCs w:val="24"/>
        </w:rPr>
        <w:t>utage?</w:t>
      </w:r>
    </w:p>
    <w:p w14:paraId="3FF945D9" w14:textId="4E10E0AD" w:rsidR="009025B4" w:rsidRPr="00FA2126" w:rsidRDefault="009025B4" w:rsidP="00B663D4">
      <w:pPr>
        <w:pStyle w:val="ListParagraph"/>
        <w:numPr>
          <w:ilvl w:val="0"/>
          <w:numId w:val="5"/>
        </w:numPr>
        <w:spacing w:before="60" w:after="60"/>
        <w:rPr>
          <w:rFonts w:ascii="Arial" w:eastAsia="Times New Roman" w:hAnsi="Arial" w:cs="Arial"/>
          <w:sz w:val="24"/>
          <w:szCs w:val="24"/>
        </w:rPr>
      </w:pPr>
      <w:r w:rsidRPr="00FA2126">
        <w:rPr>
          <w:rFonts w:ascii="Arial" w:eastAsia="Times New Roman" w:hAnsi="Arial" w:cs="Arial"/>
          <w:sz w:val="24"/>
          <w:szCs w:val="24"/>
        </w:rPr>
        <w:t xml:space="preserve">Will the </w:t>
      </w:r>
      <w:r w:rsidR="00FA2126">
        <w:rPr>
          <w:rFonts w:ascii="Arial" w:eastAsia="Times New Roman" w:hAnsi="Arial" w:cs="Arial"/>
          <w:sz w:val="24"/>
          <w:szCs w:val="24"/>
        </w:rPr>
        <w:t>Independent Market Monitor (</w:t>
      </w:r>
      <w:r w:rsidRPr="00FA2126">
        <w:rPr>
          <w:rFonts w:ascii="Arial" w:eastAsia="Times New Roman" w:hAnsi="Arial" w:cs="Arial"/>
          <w:sz w:val="24"/>
          <w:szCs w:val="24"/>
        </w:rPr>
        <w:t>IMM</w:t>
      </w:r>
      <w:r w:rsidR="00FA2126">
        <w:rPr>
          <w:rFonts w:ascii="Arial" w:eastAsia="Times New Roman" w:hAnsi="Arial" w:cs="Arial"/>
          <w:sz w:val="24"/>
          <w:szCs w:val="24"/>
        </w:rPr>
        <w:t>)</w:t>
      </w:r>
      <w:r w:rsidRPr="00FA2126">
        <w:rPr>
          <w:rFonts w:ascii="Arial" w:eastAsia="Times New Roman" w:hAnsi="Arial" w:cs="Arial"/>
          <w:sz w:val="24"/>
          <w:szCs w:val="24"/>
        </w:rPr>
        <w:t xml:space="preserve"> be tasked with investigating </w:t>
      </w:r>
      <w:r w:rsidR="00FA2126">
        <w:rPr>
          <w:rFonts w:ascii="Arial" w:eastAsia="Times New Roman" w:hAnsi="Arial" w:cs="Arial"/>
          <w:sz w:val="24"/>
          <w:szCs w:val="24"/>
        </w:rPr>
        <w:t>O</w:t>
      </w:r>
      <w:r w:rsidRPr="00FA2126">
        <w:rPr>
          <w:rFonts w:ascii="Arial" w:eastAsia="Times New Roman" w:hAnsi="Arial" w:cs="Arial"/>
          <w:sz w:val="24"/>
          <w:szCs w:val="24"/>
        </w:rPr>
        <w:t>utage hoarding or abuse?</w:t>
      </w:r>
    </w:p>
    <w:p w14:paraId="58F97477" w14:textId="271EC50C" w:rsidR="009025B4" w:rsidRPr="00FA2126" w:rsidRDefault="009025B4" w:rsidP="00B663D4">
      <w:pPr>
        <w:pStyle w:val="ListParagraph"/>
        <w:numPr>
          <w:ilvl w:val="0"/>
          <w:numId w:val="5"/>
        </w:numPr>
        <w:spacing w:before="60" w:after="60"/>
        <w:rPr>
          <w:rFonts w:ascii="Arial" w:eastAsia="Times New Roman" w:hAnsi="Arial" w:cs="Arial"/>
          <w:sz w:val="24"/>
          <w:szCs w:val="24"/>
        </w:rPr>
      </w:pPr>
      <w:r w:rsidRPr="00FA2126">
        <w:rPr>
          <w:rFonts w:ascii="Arial" w:eastAsia="Times New Roman" w:hAnsi="Arial" w:cs="Arial"/>
          <w:sz w:val="24"/>
          <w:szCs w:val="24"/>
        </w:rPr>
        <w:t xml:space="preserve">Does PUC enforcement have access and the tools they need to prosecute if criteria for </w:t>
      </w:r>
      <w:r w:rsidR="00B663D4">
        <w:rPr>
          <w:rFonts w:ascii="Arial" w:eastAsia="Times New Roman" w:hAnsi="Arial" w:cs="Arial"/>
          <w:sz w:val="24"/>
          <w:szCs w:val="24"/>
        </w:rPr>
        <w:t>O</w:t>
      </w:r>
      <w:r w:rsidRPr="00FA2126">
        <w:rPr>
          <w:rFonts w:ascii="Arial" w:eastAsia="Times New Roman" w:hAnsi="Arial" w:cs="Arial"/>
          <w:sz w:val="24"/>
          <w:szCs w:val="24"/>
        </w:rPr>
        <w:t>utage hoarding abuse is created?</w:t>
      </w:r>
    </w:p>
    <w:p w14:paraId="74F5E2E0" w14:textId="0262D6B5" w:rsidR="009025B4" w:rsidRPr="00FA2126" w:rsidRDefault="009025B4" w:rsidP="00B663D4">
      <w:pPr>
        <w:pStyle w:val="ListParagraph"/>
        <w:numPr>
          <w:ilvl w:val="0"/>
          <w:numId w:val="5"/>
        </w:numPr>
        <w:spacing w:before="60" w:after="60"/>
        <w:rPr>
          <w:rFonts w:ascii="Arial" w:eastAsia="Times New Roman" w:hAnsi="Arial" w:cs="Arial"/>
          <w:sz w:val="24"/>
          <w:szCs w:val="24"/>
        </w:rPr>
      </w:pPr>
      <w:r w:rsidRPr="00FA2126">
        <w:rPr>
          <w:rFonts w:ascii="Arial" w:eastAsia="Times New Roman" w:hAnsi="Arial" w:cs="Arial"/>
          <w:sz w:val="24"/>
          <w:szCs w:val="24"/>
        </w:rPr>
        <w:t xml:space="preserve">As Resource owners were previously allowed to determine the most economically efficient </w:t>
      </w:r>
      <w:r w:rsidR="00B663D4">
        <w:rPr>
          <w:rFonts w:ascii="Arial" w:eastAsia="Times New Roman" w:hAnsi="Arial" w:cs="Arial"/>
          <w:sz w:val="24"/>
          <w:szCs w:val="24"/>
        </w:rPr>
        <w:t>O</w:t>
      </w:r>
      <w:r w:rsidRPr="00FA2126">
        <w:rPr>
          <w:rFonts w:ascii="Arial" w:eastAsia="Times New Roman" w:hAnsi="Arial" w:cs="Arial"/>
          <w:sz w:val="24"/>
          <w:szCs w:val="24"/>
        </w:rPr>
        <w:t>utage time, will they now receive compensation for being forced into a less economically efficient system?</w:t>
      </w:r>
    </w:p>
    <w:p w14:paraId="180DAFED" w14:textId="4614EF49" w:rsidR="009025B4" w:rsidRPr="00FA2126" w:rsidRDefault="009025B4" w:rsidP="00B663D4">
      <w:pPr>
        <w:pStyle w:val="ListParagraph"/>
        <w:numPr>
          <w:ilvl w:val="0"/>
          <w:numId w:val="5"/>
        </w:numPr>
        <w:spacing w:before="60" w:after="60"/>
        <w:rPr>
          <w:rFonts w:ascii="Arial" w:eastAsia="Times New Roman" w:hAnsi="Arial" w:cs="Arial"/>
          <w:sz w:val="24"/>
          <w:szCs w:val="24"/>
        </w:rPr>
      </w:pPr>
      <w:r w:rsidRPr="00FA2126">
        <w:rPr>
          <w:rFonts w:ascii="Arial" w:eastAsia="Times New Roman" w:hAnsi="Arial" w:cs="Arial"/>
          <w:sz w:val="24"/>
          <w:szCs w:val="24"/>
        </w:rPr>
        <w:t xml:space="preserve">Will </w:t>
      </w:r>
      <w:r w:rsidR="00B663D4">
        <w:rPr>
          <w:rFonts w:ascii="Arial" w:eastAsia="Times New Roman" w:hAnsi="Arial" w:cs="Arial"/>
          <w:sz w:val="24"/>
          <w:szCs w:val="24"/>
        </w:rPr>
        <w:t>Transmission and/or Distribution Service Providers (</w:t>
      </w:r>
      <w:r w:rsidRPr="00FA2126">
        <w:rPr>
          <w:rFonts w:ascii="Arial" w:eastAsia="Times New Roman" w:hAnsi="Arial" w:cs="Arial"/>
          <w:sz w:val="24"/>
          <w:szCs w:val="24"/>
        </w:rPr>
        <w:t>TDSPs</w:t>
      </w:r>
      <w:r w:rsidR="00B663D4">
        <w:rPr>
          <w:rFonts w:ascii="Arial" w:eastAsia="Times New Roman" w:hAnsi="Arial" w:cs="Arial"/>
          <w:sz w:val="24"/>
          <w:szCs w:val="24"/>
        </w:rPr>
        <w:t>)</w:t>
      </w:r>
      <w:r w:rsidRPr="00FA2126">
        <w:rPr>
          <w:rFonts w:ascii="Arial" w:eastAsia="Times New Roman" w:hAnsi="Arial" w:cs="Arial"/>
          <w:sz w:val="24"/>
          <w:szCs w:val="24"/>
        </w:rPr>
        <w:t xml:space="preserve"> be required to plan </w:t>
      </w:r>
      <w:r w:rsidR="00B663D4">
        <w:rPr>
          <w:rFonts w:ascii="Arial" w:eastAsia="Times New Roman" w:hAnsi="Arial" w:cs="Arial"/>
          <w:sz w:val="24"/>
          <w:szCs w:val="24"/>
        </w:rPr>
        <w:t>o</w:t>
      </w:r>
      <w:r w:rsidRPr="00FA2126">
        <w:rPr>
          <w:rFonts w:ascii="Arial" w:eastAsia="Times New Roman" w:hAnsi="Arial" w:cs="Arial"/>
          <w:sz w:val="24"/>
          <w:szCs w:val="24"/>
        </w:rPr>
        <w:t xml:space="preserve">utages in accordance with </w:t>
      </w:r>
      <w:r w:rsidR="00B663D4">
        <w:rPr>
          <w:rFonts w:ascii="Arial" w:eastAsia="Times New Roman" w:hAnsi="Arial" w:cs="Arial"/>
          <w:sz w:val="24"/>
          <w:szCs w:val="24"/>
        </w:rPr>
        <w:t>R</w:t>
      </w:r>
      <w:r w:rsidRPr="00FA2126">
        <w:rPr>
          <w:rFonts w:ascii="Arial" w:eastAsia="Times New Roman" w:hAnsi="Arial" w:cs="Arial"/>
          <w:sz w:val="24"/>
          <w:szCs w:val="24"/>
        </w:rPr>
        <w:t xml:space="preserve">esource </w:t>
      </w:r>
      <w:r w:rsidR="00B663D4">
        <w:rPr>
          <w:rFonts w:ascii="Arial" w:eastAsia="Times New Roman" w:hAnsi="Arial" w:cs="Arial"/>
          <w:sz w:val="24"/>
          <w:szCs w:val="24"/>
        </w:rPr>
        <w:t>O</w:t>
      </w:r>
      <w:r w:rsidRPr="00FA2126">
        <w:rPr>
          <w:rFonts w:ascii="Arial" w:eastAsia="Times New Roman" w:hAnsi="Arial" w:cs="Arial"/>
          <w:sz w:val="24"/>
          <w:szCs w:val="24"/>
        </w:rPr>
        <w:t xml:space="preserve">utages?  ERCOT’s </w:t>
      </w:r>
      <w:r w:rsidR="00B663D4">
        <w:rPr>
          <w:rFonts w:ascii="Arial" w:eastAsia="Times New Roman" w:hAnsi="Arial" w:cs="Arial"/>
          <w:sz w:val="24"/>
          <w:szCs w:val="24"/>
        </w:rPr>
        <w:t>O</w:t>
      </w:r>
      <w:r w:rsidRPr="00FA2126">
        <w:rPr>
          <w:rFonts w:ascii="Arial" w:eastAsia="Times New Roman" w:hAnsi="Arial" w:cs="Arial"/>
          <w:sz w:val="24"/>
          <w:szCs w:val="24"/>
        </w:rPr>
        <w:t xml:space="preserve">utage </w:t>
      </w:r>
      <w:r w:rsidRPr="00FA2126">
        <w:rPr>
          <w:rFonts w:ascii="Arial" w:eastAsia="Times New Roman" w:hAnsi="Arial" w:cs="Arial"/>
          <w:sz w:val="24"/>
          <w:szCs w:val="24"/>
        </w:rPr>
        <w:lastRenderedPageBreak/>
        <w:t xml:space="preserve">allowances do not cover TDSP outages that may restrict the available capacity of a dispatchable </w:t>
      </w:r>
      <w:r w:rsidR="00B663D4">
        <w:rPr>
          <w:rFonts w:ascii="Arial" w:eastAsia="Times New Roman" w:hAnsi="Arial" w:cs="Arial"/>
          <w:sz w:val="24"/>
          <w:szCs w:val="24"/>
        </w:rPr>
        <w:t>R</w:t>
      </w:r>
      <w:r w:rsidRPr="00FA2126">
        <w:rPr>
          <w:rFonts w:ascii="Arial" w:eastAsia="Times New Roman" w:hAnsi="Arial" w:cs="Arial"/>
          <w:sz w:val="24"/>
          <w:szCs w:val="24"/>
        </w:rPr>
        <w:t xml:space="preserve">esource.  </w:t>
      </w:r>
    </w:p>
    <w:p w14:paraId="6022D703" w14:textId="47611B4D" w:rsidR="009025B4" w:rsidRPr="00FA2126" w:rsidRDefault="009025B4" w:rsidP="00B663D4">
      <w:pPr>
        <w:pStyle w:val="ListParagraph"/>
        <w:numPr>
          <w:ilvl w:val="0"/>
          <w:numId w:val="5"/>
        </w:numPr>
        <w:spacing w:before="60" w:after="60"/>
        <w:rPr>
          <w:rFonts w:ascii="Arial" w:eastAsia="Times New Roman" w:hAnsi="Arial" w:cs="Arial"/>
          <w:sz w:val="24"/>
          <w:szCs w:val="24"/>
        </w:rPr>
      </w:pPr>
      <w:r w:rsidRPr="00FA2126">
        <w:rPr>
          <w:rFonts w:ascii="Arial" w:eastAsia="Times New Roman" w:hAnsi="Arial" w:cs="Arial"/>
          <w:sz w:val="24"/>
          <w:szCs w:val="24"/>
        </w:rPr>
        <w:t xml:space="preserve">Will ERCOT create a “bottoms-up” outage model to confirm that the entire ERCOT fleet is able to complete OEM-recommended maintenance across an </w:t>
      </w:r>
      <w:r w:rsidR="00B663D4">
        <w:rPr>
          <w:rFonts w:ascii="Arial" w:eastAsia="Times New Roman" w:hAnsi="Arial" w:cs="Arial"/>
          <w:sz w:val="24"/>
          <w:szCs w:val="24"/>
        </w:rPr>
        <w:t>O</w:t>
      </w:r>
      <w:r w:rsidRPr="00FA2126">
        <w:rPr>
          <w:rFonts w:ascii="Arial" w:eastAsia="Times New Roman" w:hAnsi="Arial" w:cs="Arial"/>
          <w:sz w:val="24"/>
          <w:szCs w:val="24"/>
        </w:rPr>
        <w:t>utage season?  Also, there is a need to allow for some headroom for friction of moving schedules around and determine a “minimum fleet outage MW-hours” constraint to ensure that MDRPOC never drops below the level needed to sustain the fleet’s minimum maintenance needs.</w:t>
      </w:r>
    </w:p>
    <w:p w14:paraId="339F659B" w14:textId="77777777" w:rsidR="009025B4" w:rsidRPr="00FA2126" w:rsidRDefault="009025B4" w:rsidP="00B663D4">
      <w:pPr>
        <w:pStyle w:val="ListParagraph"/>
        <w:numPr>
          <w:ilvl w:val="0"/>
          <w:numId w:val="5"/>
        </w:numPr>
        <w:spacing w:before="60" w:after="60"/>
        <w:rPr>
          <w:rFonts w:ascii="Arial" w:eastAsia="Times New Roman" w:hAnsi="Arial" w:cs="Arial"/>
          <w:sz w:val="24"/>
          <w:szCs w:val="24"/>
        </w:rPr>
      </w:pPr>
      <w:r w:rsidRPr="00FA2126">
        <w:rPr>
          <w:rFonts w:ascii="Arial" w:eastAsia="Times New Roman" w:hAnsi="Arial" w:cs="Arial"/>
          <w:sz w:val="24"/>
          <w:szCs w:val="24"/>
        </w:rPr>
        <w:t>Should ERCOT develop “confidence bands” around the forecasted inputs, so that MDRPOC is not a bright line binary choice between accept and reject, but has some degree of flexibility for ERCOT to work within?</w:t>
      </w:r>
    </w:p>
    <w:p w14:paraId="0509CB25" w14:textId="516EC372" w:rsidR="009025B4" w:rsidRPr="00FA2126" w:rsidRDefault="009025B4" w:rsidP="00B663D4">
      <w:pPr>
        <w:pStyle w:val="ListParagraph"/>
        <w:numPr>
          <w:ilvl w:val="0"/>
          <w:numId w:val="5"/>
        </w:numPr>
        <w:spacing w:before="60" w:after="60"/>
        <w:rPr>
          <w:rFonts w:ascii="Arial" w:eastAsia="Times New Roman" w:hAnsi="Arial" w:cs="Arial"/>
          <w:sz w:val="24"/>
          <w:szCs w:val="24"/>
        </w:rPr>
      </w:pPr>
      <w:r w:rsidRPr="00FA2126">
        <w:rPr>
          <w:rFonts w:ascii="Arial" w:eastAsia="Times New Roman" w:hAnsi="Arial" w:cs="Arial"/>
          <w:sz w:val="24"/>
          <w:szCs w:val="24"/>
        </w:rPr>
        <w:t xml:space="preserve">Should there be an intermediate MDRPOC calculation that covers a period between </w:t>
      </w:r>
      <w:r w:rsidR="00B663D4">
        <w:rPr>
          <w:rFonts w:ascii="Arial" w:eastAsia="Times New Roman" w:hAnsi="Arial" w:cs="Arial"/>
          <w:sz w:val="24"/>
          <w:szCs w:val="24"/>
        </w:rPr>
        <w:t>seven</w:t>
      </w:r>
      <w:r w:rsidRPr="00FA2126">
        <w:rPr>
          <w:rFonts w:ascii="Arial" w:eastAsia="Times New Roman" w:hAnsi="Arial" w:cs="Arial"/>
          <w:sz w:val="24"/>
          <w:szCs w:val="24"/>
        </w:rPr>
        <w:t xml:space="preserve"> days out and 45-90 days out? Luminant is concerned that the MDRPOC for 8 days in the future has the same methodology as the MDRPOC for </w:t>
      </w:r>
      <w:r w:rsidR="00B663D4">
        <w:rPr>
          <w:rFonts w:ascii="Arial" w:eastAsia="Times New Roman" w:hAnsi="Arial" w:cs="Arial"/>
          <w:sz w:val="24"/>
          <w:szCs w:val="24"/>
        </w:rPr>
        <w:t>five</w:t>
      </w:r>
      <w:r w:rsidRPr="00FA2126">
        <w:rPr>
          <w:rFonts w:ascii="Arial" w:eastAsia="Times New Roman" w:hAnsi="Arial" w:cs="Arial"/>
          <w:sz w:val="24"/>
          <w:szCs w:val="24"/>
        </w:rPr>
        <w:t xml:space="preserve"> years into the future.</w:t>
      </w:r>
    </w:p>
    <w:p w14:paraId="63C30A21" w14:textId="697864AB" w:rsidR="009025B4" w:rsidRPr="00FA2126" w:rsidRDefault="009025B4" w:rsidP="00B663D4">
      <w:pPr>
        <w:pStyle w:val="ListParagraph"/>
        <w:numPr>
          <w:ilvl w:val="0"/>
          <w:numId w:val="5"/>
        </w:numPr>
        <w:spacing w:before="60" w:after="60"/>
        <w:rPr>
          <w:rFonts w:ascii="Arial" w:eastAsia="Times New Roman" w:hAnsi="Arial" w:cs="Arial"/>
          <w:sz w:val="24"/>
          <w:szCs w:val="24"/>
        </w:rPr>
      </w:pPr>
      <w:r w:rsidRPr="00FA2126">
        <w:rPr>
          <w:rFonts w:ascii="Arial" w:eastAsia="Times New Roman" w:hAnsi="Arial" w:cs="Arial"/>
          <w:sz w:val="24"/>
          <w:szCs w:val="24"/>
        </w:rPr>
        <w:t xml:space="preserve">How are IRR and </w:t>
      </w:r>
      <w:r w:rsidR="00B663D4">
        <w:rPr>
          <w:rFonts w:ascii="Arial" w:eastAsia="Times New Roman" w:hAnsi="Arial" w:cs="Arial"/>
          <w:sz w:val="24"/>
          <w:szCs w:val="24"/>
        </w:rPr>
        <w:t>Private Use Network (</w:t>
      </w:r>
      <w:r w:rsidRPr="00FA2126">
        <w:rPr>
          <w:rFonts w:ascii="Arial" w:eastAsia="Times New Roman" w:hAnsi="Arial" w:cs="Arial"/>
          <w:sz w:val="24"/>
          <w:szCs w:val="24"/>
        </w:rPr>
        <w:t>PUN</w:t>
      </w:r>
      <w:r w:rsidR="00B663D4">
        <w:rPr>
          <w:rFonts w:ascii="Arial" w:eastAsia="Times New Roman" w:hAnsi="Arial" w:cs="Arial"/>
          <w:sz w:val="24"/>
          <w:szCs w:val="24"/>
        </w:rPr>
        <w:t>)</w:t>
      </w:r>
      <w:r w:rsidRPr="00FA2126">
        <w:rPr>
          <w:rFonts w:ascii="Arial" w:eastAsia="Times New Roman" w:hAnsi="Arial" w:cs="Arial"/>
          <w:sz w:val="24"/>
          <w:szCs w:val="24"/>
        </w:rPr>
        <w:t xml:space="preserve"> </w:t>
      </w:r>
      <w:r w:rsidR="00B663D4">
        <w:rPr>
          <w:rFonts w:ascii="Arial" w:eastAsia="Times New Roman" w:hAnsi="Arial" w:cs="Arial"/>
          <w:sz w:val="24"/>
          <w:szCs w:val="24"/>
        </w:rPr>
        <w:t>O</w:t>
      </w:r>
      <w:r w:rsidRPr="00FA2126">
        <w:rPr>
          <w:rFonts w:ascii="Arial" w:eastAsia="Times New Roman" w:hAnsi="Arial" w:cs="Arial"/>
          <w:sz w:val="24"/>
          <w:szCs w:val="24"/>
        </w:rPr>
        <w:t xml:space="preserve">utages treated?  ERCOT’s methodology appears to not take their </w:t>
      </w:r>
      <w:r w:rsidR="00B663D4">
        <w:rPr>
          <w:rFonts w:ascii="Arial" w:eastAsia="Times New Roman" w:hAnsi="Arial" w:cs="Arial"/>
          <w:sz w:val="24"/>
          <w:szCs w:val="24"/>
        </w:rPr>
        <w:t>O</w:t>
      </w:r>
      <w:r w:rsidRPr="00FA2126">
        <w:rPr>
          <w:rFonts w:ascii="Arial" w:eastAsia="Times New Roman" w:hAnsi="Arial" w:cs="Arial"/>
          <w:sz w:val="24"/>
          <w:szCs w:val="24"/>
        </w:rPr>
        <w:t>utages directly into account when calculating MDRPOC.</w:t>
      </w:r>
    </w:p>
    <w:p w14:paraId="4C687CF6" w14:textId="1EF0FED8" w:rsidR="009025B4" w:rsidRPr="00FA2126" w:rsidRDefault="009025B4" w:rsidP="00B663D4">
      <w:pPr>
        <w:pStyle w:val="ListParagraph"/>
        <w:numPr>
          <w:ilvl w:val="0"/>
          <w:numId w:val="5"/>
        </w:numPr>
        <w:spacing w:before="60" w:after="60"/>
        <w:rPr>
          <w:rFonts w:ascii="Arial" w:eastAsia="Times New Roman" w:hAnsi="Arial" w:cs="Arial"/>
          <w:sz w:val="24"/>
          <w:szCs w:val="24"/>
        </w:rPr>
      </w:pPr>
      <w:r w:rsidRPr="00FA2126">
        <w:rPr>
          <w:rFonts w:ascii="Arial" w:eastAsia="Times New Roman" w:hAnsi="Arial" w:cs="Arial"/>
          <w:sz w:val="24"/>
          <w:szCs w:val="24"/>
        </w:rPr>
        <w:t xml:space="preserve">How are </w:t>
      </w:r>
      <w:r w:rsidR="00B663D4">
        <w:rPr>
          <w:rFonts w:ascii="Arial" w:eastAsia="Times New Roman" w:hAnsi="Arial" w:cs="Arial"/>
          <w:sz w:val="24"/>
          <w:szCs w:val="24"/>
        </w:rPr>
        <w:t>Energy Storage Resources (</w:t>
      </w:r>
      <w:r w:rsidRPr="00FA2126">
        <w:rPr>
          <w:rFonts w:ascii="Arial" w:eastAsia="Times New Roman" w:hAnsi="Arial" w:cs="Arial"/>
          <w:sz w:val="24"/>
          <w:szCs w:val="24"/>
        </w:rPr>
        <w:t>ESRs</w:t>
      </w:r>
      <w:r w:rsidR="00B663D4">
        <w:rPr>
          <w:rFonts w:ascii="Arial" w:eastAsia="Times New Roman" w:hAnsi="Arial" w:cs="Arial"/>
          <w:sz w:val="24"/>
          <w:szCs w:val="24"/>
        </w:rPr>
        <w:t>)</w:t>
      </w:r>
      <w:r w:rsidRPr="00FA2126">
        <w:rPr>
          <w:rFonts w:ascii="Arial" w:eastAsia="Times New Roman" w:hAnsi="Arial" w:cs="Arial"/>
          <w:sz w:val="24"/>
          <w:szCs w:val="24"/>
        </w:rPr>
        <w:t xml:space="preserve"> counted towards MDRPOC?</w:t>
      </w:r>
    </w:p>
    <w:p w14:paraId="5F8ED590" w14:textId="451F38BE" w:rsidR="009025B4" w:rsidRPr="00B663D4" w:rsidRDefault="009025B4" w:rsidP="00B663D4">
      <w:pPr>
        <w:pStyle w:val="ListParagraph"/>
        <w:numPr>
          <w:ilvl w:val="0"/>
          <w:numId w:val="5"/>
        </w:numPr>
        <w:spacing w:before="60" w:after="240"/>
        <w:rPr>
          <w:rFonts w:ascii="Arial" w:eastAsia="Times New Roman" w:hAnsi="Arial" w:cs="Arial"/>
          <w:sz w:val="24"/>
          <w:szCs w:val="24"/>
        </w:rPr>
      </w:pPr>
      <w:r w:rsidRPr="00FA2126">
        <w:rPr>
          <w:rFonts w:ascii="Arial" w:eastAsia="Times New Roman" w:hAnsi="Arial" w:cs="Arial"/>
          <w:sz w:val="24"/>
          <w:szCs w:val="24"/>
        </w:rPr>
        <w:t xml:space="preserve">How are </w:t>
      </w:r>
      <w:r w:rsidR="00B663D4" w:rsidRPr="00B663D4">
        <w:rPr>
          <w:rFonts w:ascii="Arial" w:eastAsia="Times New Roman" w:hAnsi="Arial" w:cs="Arial"/>
          <w:sz w:val="24"/>
          <w:szCs w:val="24"/>
        </w:rPr>
        <w:t>Distribution Generation</w:t>
      </w:r>
      <w:r w:rsidR="00B663D4">
        <w:rPr>
          <w:rFonts w:ascii="Arial" w:eastAsia="Times New Roman" w:hAnsi="Arial" w:cs="Arial"/>
          <w:sz w:val="24"/>
          <w:szCs w:val="24"/>
        </w:rPr>
        <w:t xml:space="preserve"> </w:t>
      </w:r>
      <w:r w:rsidR="00B663D4" w:rsidRPr="00B663D4">
        <w:rPr>
          <w:rFonts w:ascii="Arial" w:eastAsia="Times New Roman" w:hAnsi="Arial" w:cs="Arial"/>
          <w:sz w:val="24"/>
          <w:szCs w:val="24"/>
        </w:rPr>
        <w:t>Resource</w:t>
      </w:r>
      <w:r w:rsidR="00B663D4" w:rsidRPr="00B663D4">
        <w:rPr>
          <w:rFonts w:ascii="Arial" w:eastAsia="Times New Roman" w:hAnsi="Arial" w:cs="Arial"/>
          <w:sz w:val="24"/>
          <w:szCs w:val="24"/>
        </w:rPr>
        <w:t xml:space="preserve">s </w:t>
      </w:r>
      <w:r w:rsidR="00B663D4">
        <w:rPr>
          <w:rFonts w:ascii="Arial" w:eastAsia="Times New Roman" w:hAnsi="Arial" w:cs="Arial"/>
          <w:sz w:val="24"/>
          <w:szCs w:val="24"/>
        </w:rPr>
        <w:t>(</w:t>
      </w:r>
      <w:r w:rsidRPr="00B663D4">
        <w:rPr>
          <w:rFonts w:ascii="Arial" w:eastAsia="Times New Roman" w:hAnsi="Arial" w:cs="Arial"/>
          <w:sz w:val="24"/>
          <w:szCs w:val="24"/>
        </w:rPr>
        <w:t>DGRs</w:t>
      </w:r>
      <w:r w:rsidR="00B663D4">
        <w:rPr>
          <w:rFonts w:ascii="Arial" w:eastAsia="Times New Roman" w:hAnsi="Arial" w:cs="Arial"/>
          <w:sz w:val="24"/>
          <w:szCs w:val="24"/>
        </w:rPr>
        <w:t>)</w:t>
      </w:r>
      <w:r w:rsidRPr="00B663D4">
        <w:rPr>
          <w:rFonts w:ascii="Arial" w:eastAsia="Times New Roman" w:hAnsi="Arial" w:cs="Arial"/>
          <w:sz w:val="24"/>
          <w:szCs w:val="24"/>
        </w:rPr>
        <w:t xml:space="preserve"> counted towards MDRPOC?</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663D4" w:rsidRPr="00B5080A" w14:paraId="53110777" w14:textId="77777777" w:rsidTr="0070649D">
        <w:trPr>
          <w:trHeight w:val="422"/>
          <w:jc w:val="center"/>
        </w:trPr>
        <w:tc>
          <w:tcPr>
            <w:tcW w:w="10440" w:type="dxa"/>
            <w:vAlign w:val="center"/>
          </w:tcPr>
          <w:p w14:paraId="2825F411" w14:textId="2C896666" w:rsidR="00B663D4" w:rsidRPr="00075A94" w:rsidRDefault="00B663D4" w:rsidP="0070649D">
            <w:pPr>
              <w:pStyle w:val="Header"/>
              <w:jc w:val="center"/>
            </w:pPr>
            <w:r>
              <w:t>Revised Cover Page Language</w:t>
            </w:r>
          </w:p>
        </w:tc>
      </w:tr>
    </w:tbl>
    <w:p w14:paraId="0A3C4DBC" w14:textId="199A06FD" w:rsidR="00B663D4" w:rsidRDefault="00B663D4" w:rsidP="00B663D4">
      <w:pPr>
        <w:pStyle w:val="NormalArial"/>
        <w:spacing w:before="120" w:after="120"/>
      </w:pPr>
      <w:r>
        <w:t>None</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663D4" w:rsidRPr="00B5080A" w14:paraId="644B867F" w14:textId="77777777" w:rsidTr="0070649D">
        <w:trPr>
          <w:trHeight w:val="422"/>
          <w:jc w:val="center"/>
        </w:trPr>
        <w:tc>
          <w:tcPr>
            <w:tcW w:w="10440" w:type="dxa"/>
            <w:vAlign w:val="center"/>
          </w:tcPr>
          <w:p w14:paraId="43D1D7AB" w14:textId="27F3EAB2" w:rsidR="00B663D4" w:rsidRPr="00075A94" w:rsidRDefault="00B663D4" w:rsidP="0070649D">
            <w:pPr>
              <w:pStyle w:val="Header"/>
              <w:jc w:val="center"/>
            </w:pPr>
            <w:r>
              <w:t>Revised Proposed Protocol Language</w:t>
            </w:r>
          </w:p>
        </w:tc>
      </w:tr>
    </w:tbl>
    <w:p w14:paraId="0D687D6C" w14:textId="0D8F407D" w:rsidR="00B663D4" w:rsidRDefault="00B663D4" w:rsidP="00B663D4">
      <w:pPr>
        <w:pStyle w:val="NormalArial"/>
        <w:spacing w:before="120" w:after="120"/>
      </w:pPr>
      <w:r>
        <w:t>None</w:t>
      </w:r>
    </w:p>
    <w:sectPr w:rsidR="00B663D4"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A7827" w14:textId="77777777" w:rsidR="00D0665C" w:rsidRDefault="00D0665C">
      <w:r>
        <w:separator/>
      </w:r>
    </w:p>
  </w:endnote>
  <w:endnote w:type="continuationSeparator" w:id="0">
    <w:p w14:paraId="1B7E0499" w14:textId="77777777" w:rsidR="00D0665C" w:rsidRDefault="00D06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43B9" w14:textId="598DD1F7"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9572C5">
      <w:rPr>
        <w:rFonts w:ascii="Arial" w:hAnsi="Arial"/>
        <w:noProof/>
        <w:sz w:val="18"/>
      </w:rPr>
      <w:t>1108NPRR-09 Luminant Comments 032222</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0769F7E9"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849B2" w14:textId="77777777" w:rsidR="00D0665C" w:rsidRDefault="00D0665C">
      <w:r>
        <w:separator/>
      </w:r>
    </w:p>
  </w:footnote>
  <w:footnote w:type="continuationSeparator" w:id="0">
    <w:p w14:paraId="657A1D72" w14:textId="77777777" w:rsidR="00D0665C" w:rsidRDefault="00D06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993C" w14:textId="77777777" w:rsidR="00EE6681" w:rsidRDefault="00EE6681">
    <w:pPr>
      <w:pStyle w:val="Header"/>
      <w:jc w:val="center"/>
      <w:rPr>
        <w:sz w:val="32"/>
      </w:rPr>
    </w:pPr>
    <w:r>
      <w:rPr>
        <w:sz w:val="32"/>
      </w:rPr>
      <w:t>NPRR Comments</w:t>
    </w:r>
  </w:p>
  <w:p w14:paraId="7F5C68A9"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B487021"/>
    <w:multiLevelType w:val="hybridMultilevel"/>
    <w:tmpl w:val="E4E24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EC0124"/>
    <w:multiLevelType w:val="hybridMultilevel"/>
    <w:tmpl w:val="C964973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436411E0"/>
    <w:multiLevelType w:val="hybridMultilevel"/>
    <w:tmpl w:val="05F84DD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37668"/>
    <w:rsid w:val="00075A94"/>
    <w:rsid w:val="00132855"/>
    <w:rsid w:val="00152993"/>
    <w:rsid w:val="00170297"/>
    <w:rsid w:val="001A227D"/>
    <w:rsid w:val="001E2032"/>
    <w:rsid w:val="003010C0"/>
    <w:rsid w:val="00332A97"/>
    <w:rsid w:val="00350C00"/>
    <w:rsid w:val="00366113"/>
    <w:rsid w:val="003C270C"/>
    <w:rsid w:val="003D0994"/>
    <w:rsid w:val="00423824"/>
    <w:rsid w:val="0043567D"/>
    <w:rsid w:val="004B7B90"/>
    <w:rsid w:val="004E2C19"/>
    <w:rsid w:val="005D284C"/>
    <w:rsid w:val="00604512"/>
    <w:rsid w:val="00633E23"/>
    <w:rsid w:val="00673B94"/>
    <w:rsid w:val="00680AC6"/>
    <w:rsid w:val="006835D8"/>
    <w:rsid w:val="006C316E"/>
    <w:rsid w:val="006D0F7C"/>
    <w:rsid w:val="007269C4"/>
    <w:rsid w:val="0074209E"/>
    <w:rsid w:val="007F2CA8"/>
    <w:rsid w:val="007F7161"/>
    <w:rsid w:val="0085559E"/>
    <w:rsid w:val="00896B1B"/>
    <w:rsid w:val="008E559E"/>
    <w:rsid w:val="009025B4"/>
    <w:rsid w:val="00916080"/>
    <w:rsid w:val="00921A68"/>
    <w:rsid w:val="009572C5"/>
    <w:rsid w:val="00A015C4"/>
    <w:rsid w:val="00A15172"/>
    <w:rsid w:val="00B5080A"/>
    <w:rsid w:val="00B663D4"/>
    <w:rsid w:val="00B943AE"/>
    <w:rsid w:val="00BD7258"/>
    <w:rsid w:val="00C0598D"/>
    <w:rsid w:val="00C11956"/>
    <w:rsid w:val="00C602E5"/>
    <w:rsid w:val="00C748FD"/>
    <w:rsid w:val="00D0665C"/>
    <w:rsid w:val="00D4046E"/>
    <w:rsid w:val="00D4362F"/>
    <w:rsid w:val="00DD4739"/>
    <w:rsid w:val="00DE5F33"/>
    <w:rsid w:val="00E07B54"/>
    <w:rsid w:val="00E11F78"/>
    <w:rsid w:val="00E621E1"/>
    <w:rsid w:val="00EC55B3"/>
    <w:rsid w:val="00EE6681"/>
    <w:rsid w:val="00F96FB2"/>
    <w:rsid w:val="00FA2126"/>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CB2D9C1"/>
  <w15:chartTrackingRefBased/>
  <w15:docId w15:val="{2DED2F39-E41D-44C4-9D03-C26C0C9A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pPr>
      <w:tabs>
        <w:tab w:val="center" w:pos="4536"/>
      </w:tabs>
    </w:pP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ListParagraph">
    <w:name w:val="List Paragraph"/>
    <w:basedOn w:val="Normal"/>
    <w:uiPriority w:val="34"/>
    <w:qFormat/>
    <w:rsid w:val="009025B4"/>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an.Haley@VistraCorp.com" TargetMode="External"/><Relationship Id="rId3" Type="http://schemas.openxmlformats.org/officeDocument/2006/relationships/settings" Target="settings.xml"/><Relationship Id="rId7" Type="http://schemas.openxmlformats.org/officeDocument/2006/relationships/hyperlink" Target="http://www.ercot.com/mktrules/issues/NPRR110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8898</CharactersWithSpaces>
  <SharedDoc>false</SharedDoc>
  <HLinks>
    <vt:vector size="12" baseType="variant">
      <vt:variant>
        <vt:i4>4128833</vt:i4>
      </vt:variant>
      <vt:variant>
        <vt:i4>3</vt:i4>
      </vt:variant>
      <vt:variant>
        <vt:i4>0</vt:i4>
      </vt:variant>
      <vt:variant>
        <vt:i4>5</vt:i4>
      </vt:variant>
      <vt:variant>
        <vt:lpwstr>mailto:Ian.Haley@VistraCorp.com</vt:lpwstr>
      </vt:variant>
      <vt:variant>
        <vt:lpwstr/>
      </vt:variant>
      <vt:variant>
        <vt:i4>1638470</vt:i4>
      </vt:variant>
      <vt:variant>
        <vt:i4>0</vt:i4>
      </vt:variant>
      <vt:variant>
        <vt:i4>0</vt:i4>
      </vt:variant>
      <vt:variant>
        <vt:i4>5</vt:i4>
      </vt:variant>
      <vt:variant>
        <vt:lpwstr>http://www.ercot.com/mktrules/issues/NPRR1108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Luminant 031822</cp:lastModifiedBy>
  <cp:revision>3</cp:revision>
  <cp:lastPrinted>2001-06-20T16:28:00Z</cp:lastPrinted>
  <dcterms:created xsi:type="dcterms:W3CDTF">2022-03-22T14:08:00Z</dcterms:created>
  <dcterms:modified xsi:type="dcterms:W3CDTF">2022-03-22T14:08:00Z</dcterms:modified>
</cp:coreProperties>
</file>