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895665C" w14:textId="77777777" w:rsidTr="00D54DC7">
        <w:trPr>
          <w:trHeight w:val="620"/>
        </w:trPr>
        <w:tc>
          <w:tcPr>
            <w:tcW w:w="1620" w:type="dxa"/>
            <w:tcBorders>
              <w:bottom w:val="single" w:sz="4" w:space="0" w:color="auto"/>
            </w:tcBorders>
            <w:shd w:val="clear" w:color="auto" w:fill="FFFFFF"/>
            <w:vAlign w:val="center"/>
          </w:tcPr>
          <w:p w14:paraId="61D10E53" w14:textId="0A397C6A" w:rsidR="00C97625" w:rsidRDefault="00D87884" w:rsidP="00D54DC7">
            <w:pPr>
              <w:pStyle w:val="Header"/>
            </w:pPr>
            <w:r>
              <w:t>SC</w:t>
            </w:r>
            <w:r w:rsidR="00471A6A">
              <w:t xml:space="preserve">R </w:t>
            </w:r>
            <w:r w:rsidR="00C97625">
              <w:t>Number</w:t>
            </w:r>
          </w:p>
        </w:tc>
        <w:tc>
          <w:tcPr>
            <w:tcW w:w="1440" w:type="dxa"/>
            <w:tcBorders>
              <w:bottom w:val="single" w:sz="4" w:space="0" w:color="auto"/>
            </w:tcBorders>
            <w:vAlign w:val="center"/>
          </w:tcPr>
          <w:p w14:paraId="2C1F75B9" w14:textId="0C8AB01F" w:rsidR="00C97625" w:rsidRPr="00595DDC" w:rsidRDefault="005C776B" w:rsidP="005761C0">
            <w:pPr>
              <w:pStyle w:val="Header"/>
              <w:tabs>
                <w:tab w:val="clear" w:pos="4320"/>
                <w:tab w:val="clear" w:pos="8640"/>
              </w:tabs>
              <w:jc w:val="center"/>
            </w:pPr>
            <w:hyperlink r:id="rId10" w:history="1">
              <w:r w:rsidR="00D87884" w:rsidRPr="00D87884">
                <w:rPr>
                  <w:rStyle w:val="Hyperlink"/>
                </w:rPr>
                <w:t>818</w:t>
              </w:r>
            </w:hyperlink>
          </w:p>
        </w:tc>
        <w:tc>
          <w:tcPr>
            <w:tcW w:w="1260" w:type="dxa"/>
            <w:tcBorders>
              <w:bottom w:val="single" w:sz="4" w:space="0" w:color="auto"/>
            </w:tcBorders>
            <w:shd w:val="clear" w:color="auto" w:fill="FFFFFF"/>
            <w:vAlign w:val="center"/>
          </w:tcPr>
          <w:p w14:paraId="4DF3FF71" w14:textId="1CA72F73" w:rsidR="00C97625" w:rsidRDefault="00D87884" w:rsidP="00D54DC7">
            <w:pPr>
              <w:pStyle w:val="Header"/>
            </w:pPr>
            <w:r>
              <w:t>SC</w:t>
            </w:r>
            <w:r w:rsidR="00471A6A">
              <w:t xml:space="preserve">R </w:t>
            </w:r>
            <w:r w:rsidR="00C97625">
              <w:t>Title</w:t>
            </w:r>
          </w:p>
        </w:tc>
        <w:tc>
          <w:tcPr>
            <w:tcW w:w="6120" w:type="dxa"/>
            <w:tcBorders>
              <w:bottom w:val="single" w:sz="4" w:space="0" w:color="auto"/>
            </w:tcBorders>
            <w:vAlign w:val="center"/>
          </w:tcPr>
          <w:p w14:paraId="249B6599" w14:textId="548A3D52" w:rsidR="00C97625" w:rsidRPr="009F3D0E" w:rsidRDefault="00B91B03" w:rsidP="005761C0">
            <w:pPr>
              <w:pStyle w:val="Header"/>
              <w:tabs>
                <w:tab w:val="clear" w:pos="4320"/>
                <w:tab w:val="clear" w:pos="8640"/>
              </w:tabs>
              <w:spacing w:before="120" w:after="120"/>
              <w:rPr>
                <w:szCs w:val="23"/>
              </w:rPr>
            </w:pPr>
            <w:r>
              <w:t>Changes to Incorporate</w:t>
            </w:r>
            <w:r w:rsidRPr="00D95305">
              <w:t xml:space="preserve"> GIC </w:t>
            </w:r>
            <w:r>
              <w:t>M</w:t>
            </w:r>
            <w:r w:rsidRPr="00D95305">
              <w:t xml:space="preserve">odeling </w:t>
            </w:r>
            <w:r>
              <w:t>D</w:t>
            </w:r>
            <w:r w:rsidRPr="00D95305">
              <w:t xml:space="preserve">ata </w:t>
            </w:r>
            <w:r>
              <w:t>i</w:t>
            </w:r>
            <w:r w:rsidRPr="00D95305">
              <w:t xml:space="preserve">nto </w:t>
            </w:r>
            <w:r>
              <w:t>E</w:t>
            </w:r>
            <w:r w:rsidRPr="00D95305">
              <w:t xml:space="preserve">xisting </w:t>
            </w:r>
            <w:r>
              <w:t>M</w:t>
            </w:r>
            <w:r w:rsidRPr="00D95305">
              <w:t xml:space="preserve">odeling </w:t>
            </w:r>
            <w:r>
              <w:t>A</w:t>
            </w:r>
            <w:r w:rsidRPr="00D95305">
              <w:t>pplications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30B03975" w:rsidR="00FC0BDC" w:rsidRPr="009F3D0E" w:rsidRDefault="00DD74C6" w:rsidP="009F3D0E">
            <w:pPr>
              <w:spacing w:before="100" w:beforeAutospacing="1" w:after="100" w:afterAutospacing="1"/>
              <w:rPr>
                <w:rFonts w:ascii="Arial" w:hAnsi="Arial" w:cs="Arial"/>
                <w:szCs w:val="22"/>
              </w:rPr>
            </w:pPr>
            <w:r>
              <w:rPr>
                <w:rFonts w:ascii="Arial" w:hAnsi="Arial" w:cs="Arial"/>
                <w:szCs w:val="22"/>
              </w:rPr>
              <w:t>March 8, 2022</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Pr="00812A9D" w:rsidRDefault="00883775">
            <w:pPr>
              <w:pStyle w:val="Header"/>
            </w:pPr>
            <w:r w:rsidRPr="00812A9D">
              <w:t xml:space="preserve">Estimated </w:t>
            </w:r>
            <w:r w:rsidR="00F13670" w:rsidRPr="00812A9D">
              <w:t>Cost/Budgetary Impact</w:t>
            </w:r>
          </w:p>
        </w:tc>
        <w:tc>
          <w:tcPr>
            <w:tcW w:w="7380" w:type="dxa"/>
            <w:gridSpan w:val="2"/>
            <w:tcBorders>
              <w:top w:val="single" w:sz="4" w:space="0" w:color="auto"/>
            </w:tcBorders>
            <w:vAlign w:val="center"/>
          </w:tcPr>
          <w:p w14:paraId="1BEBD0DB" w14:textId="77777777" w:rsidR="00124420" w:rsidRPr="00812A9D" w:rsidRDefault="00D87884" w:rsidP="00BC7F7A">
            <w:pPr>
              <w:spacing w:before="100" w:beforeAutospacing="1" w:after="100" w:afterAutospacing="1"/>
              <w:rPr>
                <w:rFonts w:ascii="Arial" w:hAnsi="Arial" w:cs="Arial"/>
              </w:rPr>
            </w:pPr>
            <w:r w:rsidRPr="00812A9D">
              <w:rPr>
                <w:rFonts w:ascii="Arial" w:hAnsi="Arial" w:cs="Arial"/>
              </w:rPr>
              <w:t>Between $300k and $500k</w:t>
            </w:r>
          </w:p>
          <w:p w14:paraId="649B203D" w14:textId="239F9649" w:rsidR="00812A9D" w:rsidRPr="00406765" w:rsidRDefault="00812A9D" w:rsidP="00BC7F7A">
            <w:pPr>
              <w:spacing w:before="100" w:beforeAutospacing="1" w:after="100" w:afterAutospacing="1"/>
              <w:rPr>
                <w:rFonts w:ascii="Arial" w:hAnsi="Arial" w:cs="Arial"/>
              </w:rPr>
            </w:pPr>
            <w:r w:rsidRPr="00406765">
              <w:rPr>
                <w:rFonts w:ascii="Arial" w:hAnsi="Arial" w:cs="Arial"/>
              </w:rPr>
              <w:t>See ERCOT Staffing Impacts</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61F1ED67" w14:textId="40F206E8" w:rsidR="00390F23" w:rsidRDefault="00390F23" w:rsidP="005761C0">
            <w:pPr>
              <w:pStyle w:val="NormalArial"/>
              <w:spacing w:before="120"/>
              <w:rPr>
                <w:rFonts w:cs="Arial"/>
              </w:rPr>
            </w:pPr>
            <w:r w:rsidRPr="0026620F">
              <w:rPr>
                <w:rFonts w:cs="Arial"/>
              </w:rPr>
              <w:t xml:space="preserve">The timeline for implementing this </w:t>
            </w:r>
            <w:r w:rsidR="00D87884" w:rsidRPr="00D87884">
              <w:rPr>
                <w:rFonts w:cs="Arial"/>
              </w:rPr>
              <w:t>System Change Request (SCR)</w:t>
            </w:r>
            <w:r w:rsidR="00D87884">
              <w:rPr>
                <w:rFonts w:cs="Arial"/>
              </w:rPr>
              <w:t xml:space="preserve"> </w:t>
            </w:r>
            <w:r w:rsidRPr="0026620F">
              <w:rPr>
                <w:rFonts w:cs="Arial"/>
              </w:rPr>
              <w:t xml:space="preserve">is dependent upon </w:t>
            </w:r>
            <w:r w:rsidR="00475C84" w:rsidRPr="00931063">
              <w:rPr>
                <w:rFonts w:cs="Arial"/>
              </w:rPr>
              <w:t>Public</w:t>
            </w:r>
            <w:r w:rsidR="00475C84">
              <w:rPr>
                <w:rFonts w:cs="Arial"/>
              </w:rPr>
              <w:t xml:space="preserve"> Utility Commission of Texas </w:t>
            </w:r>
            <w:r w:rsidR="00475C84" w:rsidRPr="00931063">
              <w:rPr>
                <w:rFonts w:cs="Arial"/>
              </w:rPr>
              <w:t>(</w:t>
            </w:r>
            <w:r w:rsidR="00475C84">
              <w:rPr>
                <w:rFonts w:cs="Arial"/>
              </w:rPr>
              <w:t>PUCT</w:t>
            </w:r>
            <w:r w:rsidR="00475C84" w:rsidRPr="00931063">
              <w:rPr>
                <w:rFonts w:cs="Arial"/>
              </w:rPr>
              <w:t>)</w:t>
            </w:r>
            <w:r w:rsidRPr="0026620F">
              <w:rPr>
                <w:rFonts w:cs="Arial"/>
              </w:rPr>
              <w:t xml:space="preserve"> prioritization and approval.  </w:t>
            </w:r>
          </w:p>
          <w:p w14:paraId="192D6ACD" w14:textId="77777777" w:rsidR="0026620F" w:rsidRDefault="0026620F" w:rsidP="00B0156D">
            <w:pPr>
              <w:pStyle w:val="NormalArial"/>
              <w:rPr>
                <w:rFonts w:cs="Arial"/>
              </w:rPr>
            </w:pPr>
          </w:p>
          <w:p w14:paraId="7E6700E7" w14:textId="714144C7" w:rsidR="0026620F" w:rsidRPr="00511748" w:rsidRDefault="0026620F" w:rsidP="005761C0">
            <w:pPr>
              <w:pStyle w:val="NormalArial"/>
              <w:spacing w:after="120"/>
              <w:rPr>
                <w:sz w:val="22"/>
                <w:szCs w:val="22"/>
              </w:rPr>
            </w:pPr>
            <w:r w:rsidRPr="0026620F">
              <w:rPr>
                <w:rFonts w:cs="Arial"/>
              </w:rPr>
              <w:t xml:space="preserve">Estimated project duration:  </w:t>
            </w:r>
            <w:r w:rsidR="00D87884">
              <w:rPr>
                <w:rFonts w:cs="Arial"/>
              </w:rPr>
              <w:t>9</w:t>
            </w:r>
            <w:r w:rsidRPr="0026620F">
              <w:rPr>
                <w:rFonts w:cs="Arial"/>
              </w:rPr>
              <w:t xml:space="preserve"> to </w:t>
            </w:r>
            <w:r w:rsidR="00D87884">
              <w:rPr>
                <w:rFonts w:cs="Arial"/>
              </w:rPr>
              <w:t>12</w:t>
            </w:r>
            <w:r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100A2DDA" w:rsidR="00D53917" w:rsidRDefault="009E0C28" w:rsidP="005761C0">
            <w:pPr>
              <w:pStyle w:val="NormalArial"/>
              <w:spacing w:before="120"/>
            </w:pPr>
            <w:r w:rsidRPr="009E0C28">
              <w:rPr>
                <w:rFonts w:cs="Arial"/>
                <w:color w:val="000000"/>
              </w:rPr>
              <w:t>Implementation</w:t>
            </w:r>
            <w:r>
              <w:rPr>
                <w:rFonts w:cs="Arial"/>
                <w:color w:val="000000"/>
                <w:sz w:val="20"/>
                <w:szCs w:val="20"/>
              </w:rPr>
              <w:t xml:space="preserve"> </w:t>
            </w:r>
            <w:r w:rsidR="00CB2C65" w:rsidRPr="00CB2C65">
              <w:t xml:space="preserve">Labor: </w:t>
            </w:r>
            <w:r w:rsidR="005761C0">
              <w:t xml:space="preserve"> </w:t>
            </w:r>
            <w:r w:rsidR="00D87884">
              <w:t>36</w:t>
            </w:r>
            <w:r w:rsidR="00CB2C65" w:rsidRPr="00CB2C65">
              <w:t xml:space="preserve">% ERCOT; </w:t>
            </w:r>
            <w:r w:rsidR="00D87884">
              <w:t>64</w:t>
            </w:r>
            <w:r w:rsidR="00CB2C65" w:rsidRPr="00CB2C65">
              <w:t>% Vendor</w:t>
            </w:r>
          </w:p>
          <w:p w14:paraId="37349955" w14:textId="77777777" w:rsidR="00CB2C65" w:rsidRDefault="00CB2C65" w:rsidP="002D6CAB">
            <w:pPr>
              <w:pStyle w:val="NormalArial"/>
            </w:pPr>
          </w:p>
          <w:p w14:paraId="4022CC90" w14:textId="77777777" w:rsidR="008B2BE4" w:rsidRPr="00680EA4" w:rsidRDefault="008B2BE4" w:rsidP="00680EA4">
            <w:pPr>
              <w:pStyle w:val="xnormalarial"/>
              <w:rPr>
                <w:rFonts w:ascii="Arial" w:hAnsi="Arial" w:cs="Arial"/>
                <w:sz w:val="24"/>
                <w:szCs w:val="24"/>
              </w:rPr>
            </w:pPr>
            <w:bookmarkStart w:id="0" w:name="_Hlk97208283"/>
            <w:r w:rsidRPr="00680EA4">
              <w:rPr>
                <w:rFonts w:ascii="Arial" w:hAnsi="Arial" w:cs="Arial"/>
                <w:sz w:val="24"/>
                <w:szCs w:val="24"/>
              </w:rPr>
              <w:t>Elimination of the current manual process will result in a savings of approximately 0.3 Full-Time Employees (FTEs) per year across the following departments:</w:t>
            </w:r>
          </w:p>
          <w:p w14:paraId="7582BB0D" w14:textId="334ED304" w:rsidR="006B5845" w:rsidRDefault="006B5845" w:rsidP="002D6CAB">
            <w:pPr>
              <w:pStyle w:val="NormalArial"/>
            </w:pPr>
          </w:p>
          <w:p w14:paraId="53A698B7" w14:textId="77777777" w:rsidR="006B5845" w:rsidRPr="00680EA4" w:rsidRDefault="006B5845" w:rsidP="006B5845">
            <w:pPr>
              <w:pStyle w:val="NormalArial"/>
              <w:numPr>
                <w:ilvl w:val="0"/>
                <w:numId w:val="8"/>
              </w:numPr>
            </w:pPr>
            <w:r w:rsidRPr="00680EA4">
              <w:t>Network Modeling</w:t>
            </w:r>
          </w:p>
          <w:p w14:paraId="393D7507" w14:textId="04FCF8E8" w:rsidR="006B5845" w:rsidRPr="00680EA4" w:rsidRDefault="006B5845" w:rsidP="006B5845">
            <w:pPr>
              <w:pStyle w:val="NormalArial"/>
              <w:numPr>
                <w:ilvl w:val="0"/>
                <w:numId w:val="8"/>
              </w:numPr>
            </w:pPr>
            <w:r w:rsidRPr="00680EA4">
              <w:t>Transmission Planning</w:t>
            </w:r>
          </w:p>
          <w:bookmarkEnd w:id="0"/>
          <w:p w14:paraId="72020C81" w14:textId="77777777" w:rsidR="006B5845" w:rsidRDefault="006B5845" w:rsidP="002D6CAB">
            <w:pPr>
              <w:pStyle w:val="NormalArial"/>
            </w:pPr>
          </w:p>
          <w:p w14:paraId="721C9EE9" w14:textId="4F4F6F8A" w:rsidR="00812A9D" w:rsidRDefault="00DE27C1" w:rsidP="00812A9D">
            <w:pPr>
              <w:pStyle w:val="NormalWeb"/>
              <w:spacing w:before="0" w:beforeAutospacing="0" w:after="0" w:afterAutospacing="0"/>
            </w:pPr>
            <w:bookmarkStart w:id="1" w:name="_Hlk97208330"/>
            <w:r w:rsidRPr="00DE27C1">
              <w:rPr>
                <w:rFonts w:ascii="Arial" w:eastAsia="Times New Roman" w:hAnsi="Arial" w:cs="Times New Roman"/>
                <w:sz w:val="24"/>
                <w:szCs w:val="24"/>
              </w:rPr>
              <w:t xml:space="preserve">* </w:t>
            </w:r>
            <w:r w:rsidR="006B5845" w:rsidRPr="00406765">
              <w:rPr>
                <w:rFonts w:ascii="Arial" w:eastAsia="Times New Roman" w:hAnsi="Arial" w:cs="Times New Roman"/>
                <w:sz w:val="24"/>
                <w:szCs w:val="24"/>
              </w:rPr>
              <w:t xml:space="preserve">0.5 FTE </w:t>
            </w:r>
            <w:r w:rsidR="008B2BE4">
              <w:rPr>
                <w:rFonts w:ascii="Arial" w:eastAsia="Times New Roman" w:hAnsi="Arial" w:cs="Times New Roman"/>
                <w:sz w:val="24"/>
                <w:szCs w:val="24"/>
              </w:rPr>
              <w:t xml:space="preserve">savings </w:t>
            </w:r>
            <w:r w:rsidR="006B5845" w:rsidRPr="00406765">
              <w:rPr>
                <w:rFonts w:ascii="Arial" w:eastAsia="Times New Roman" w:hAnsi="Arial" w:cs="Times New Roman"/>
                <w:sz w:val="24"/>
                <w:szCs w:val="24"/>
              </w:rPr>
              <w:t xml:space="preserve">per </w:t>
            </w:r>
            <w:r w:rsidR="00CD6CBC">
              <w:rPr>
                <w:rFonts w:ascii="Arial" w:eastAsia="Times New Roman" w:hAnsi="Arial" w:cs="Times New Roman"/>
                <w:sz w:val="24"/>
                <w:szCs w:val="24"/>
              </w:rPr>
              <w:t xml:space="preserve">5 year </w:t>
            </w:r>
            <w:r w:rsidR="006B5845" w:rsidRPr="00406765">
              <w:rPr>
                <w:rFonts w:ascii="Arial" w:eastAsia="Times New Roman" w:hAnsi="Arial" w:cs="Times New Roman"/>
                <w:sz w:val="24"/>
                <w:szCs w:val="24"/>
              </w:rPr>
              <w:t>build</w:t>
            </w:r>
            <w:r w:rsidR="00CD6CBC">
              <w:rPr>
                <w:rFonts w:ascii="Arial" w:eastAsia="Times New Roman" w:hAnsi="Arial" w:cs="Times New Roman"/>
                <w:sz w:val="24"/>
                <w:szCs w:val="24"/>
              </w:rPr>
              <w:t xml:space="preserve"> cycle</w:t>
            </w:r>
            <w:r w:rsidR="008B2BE4">
              <w:rPr>
                <w:rFonts w:ascii="Arial" w:eastAsia="Times New Roman" w:hAnsi="Arial" w:cs="Times New Roman"/>
                <w:sz w:val="24"/>
                <w:szCs w:val="24"/>
              </w:rPr>
              <w:t xml:space="preserve"> </w:t>
            </w:r>
            <w:r w:rsidR="008B2BE4" w:rsidRPr="00680EA4">
              <w:rPr>
                <w:rFonts w:ascii="Arial" w:hAnsi="Arial" w:cs="Arial"/>
              </w:rPr>
              <w:t>(0.1 FTE per year)</w:t>
            </w:r>
            <w:r w:rsidR="006B5845" w:rsidRPr="008B2BE4">
              <w:rPr>
                <w:rFonts w:ascii="Arial" w:eastAsia="Times New Roman" w:hAnsi="Arial" w:cs="Times New Roman"/>
                <w:sz w:val="24"/>
                <w:szCs w:val="24"/>
              </w:rPr>
              <w:t xml:space="preserve"> </w:t>
            </w:r>
            <w:r w:rsidR="006B5845" w:rsidRPr="00406765">
              <w:rPr>
                <w:rFonts w:ascii="Arial" w:eastAsia="Times New Roman" w:hAnsi="Arial" w:cs="Times New Roman"/>
                <w:sz w:val="24"/>
                <w:szCs w:val="24"/>
              </w:rPr>
              <w:t xml:space="preserve">- </w:t>
            </w:r>
            <w:r w:rsidR="00812A9D" w:rsidRPr="00406765">
              <w:rPr>
                <w:rFonts w:ascii="Arial" w:hAnsi="Arial" w:cs="Arial"/>
                <w:sz w:val="24"/>
                <w:szCs w:val="24"/>
              </w:rPr>
              <w:t xml:space="preserve">Storing the required </w:t>
            </w:r>
            <w:r w:rsidR="00D70BD6">
              <w:rPr>
                <w:rFonts w:ascii="Arial" w:hAnsi="Arial" w:cs="Arial"/>
                <w:sz w:val="24"/>
                <w:szCs w:val="24"/>
              </w:rPr>
              <w:t>Geomagnetically-Induced Currents (</w:t>
            </w:r>
            <w:r w:rsidR="00812A9D" w:rsidRPr="00406765">
              <w:rPr>
                <w:rFonts w:ascii="Arial" w:hAnsi="Arial" w:cs="Arial"/>
                <w:sz w:val="24"/>
                <w:szCs w:val="24"/>
              </w:rPr>
              <w:t>GIC</w:t>
            </w:r>
            <w:r w:rsidR="00D70BD6">
              <w:rPr>
                <w:rFonts w:ascii="Arial" w:hAnsi="Arial" w:cs="Arial"/>
                <w:sz w:val="24"/>
                <w:szCs w:val="24"/>
              </w:rPr>
              <w:t>)</w:t>
            </w:r>
            <w:r w:rsidR="00812A9D" w:rsidRPr="00406765">
              <w:rPr>
                <w:rFonts w:ascii="Arial" w:hAnsi="Arial" w:cs="Arial"/>
                <w:sz w:val="24"/>
                <w:szCs w:val="24"/>
              </w:rPr>
              <w:t xml:space="preserve"> data and accommodating </w:t>
            </w:r>
            <w:r w:rsidR="009178CB">
              <w:rPr>
                <w:rFonts w:ascii="Arial" w:hAnsi="Arial" w:cs="Arial"/>
                <w:sz w:val="24"/>
                <w:szCs w:val="24"/>
              </w:rPr>
              <w:t>Market Participant</w:t>
            </w:r>
            <w:r w:rsidR="00812A9D" w:rsidRPr="00406765">
              <w:rPr>
                <w:rFonts w:ascii="Arial" w:hAnsi="Arial" w:cs="Arial"/>
                <w:sz w:val="24"/>
                <w:szCs w:val="24"/>
              </w:rPr>
              <w:t xml:space="preserve"> submissions of that data within the Network Model Management System (NMMS) would reduce work related to data collection and data validation.  Currently, </w:t>
            </w:r>
            <w:r w:rsidR="00D70BD6">
              <w:rPr>
                <w:rFonts w:ascii="Arial" w:hAnsi="Arial" w:cs="Arial"/>
                <w:sz w:val="24"/>
                <w:szCs w:val="24"/>
              </w:rPr>
              <w:t>Transmission Service Providers (</w:t>
            </w:r>
            <w:r w:rsidR="00812A9D" w:rsidRPr="00406765">
              <w:rPr>
                <w:rFonts w:ascii="Arial" w:hAnsi="Arial" w:cs="Arial"/>
                <w:sz w:val="24"/>
                <w:szCs w:val="24"/>
              </w:rPr>
              <w:t>TSPs</w:t>
            </w:r>
            <w:r w:rsidR="00D70BD6">
              <w:rPr>
                <w:rFonts w:ascii="Arial" w:hAnsi="Arial" w:cs="Arial"/>
                <w:sz w:val="24"/>
                <w:szCs w:val="24"/>
              </w:rPr>
              <w:t>)</w:t>
            </w:r>
            <w:r w:rsidR="00812A9D" w:rsidRPr="00406765">
              <w:rPr>
                <w:rFonts w:ascii="Arial" w:hAnsi="Arial" w:cs="Arial"/>
                <w:sz w:val="24"/>
                <w:szCs w:val="24"/>
              </w:rPr>
              <w:t xml:space="preserve"> submit their data via emailed spreadsheets </w:t>
            </w:r>
            <w:r w:rsidR="009178CB">
              <w:rPr>
                <w:rFonts w:ascii="Arial" w:hAnsi="Arial" w:cs="Arial"/>
                <w:sz w:val="24"/>
                <w:szCs w:val="24"/>
              </w:rPr>
              <w:t xml:space="preserve">through email which are </w:t>
            </w:r>
            <w:r w:rsidR="00812A9D" w:rsidRPr="00406765">
              <w:rPr>
                <w:rFonts w:ascii="Arial" w:hAnsi="Arial" w:cs="Arial"/>
                <w:sz w:val="24"/>
                <w:szCs w:val="24"/>
              </w:rPr>
              <w:t>captured, validated, and implemented within the custom application.  Submissions via NMMS would automatically be validated and included in the appropriate case builds.</w:t>
            </w:r>
          </w:p>
          <w:bookmarkEnd w:id="1"/>
          <w:p w14:paraId="47CEB939" w14:textId="77777777" w:rsidR="006B5845" w:rsidRPr="00406765" w:rsidRDefault="006B5845" w:rsidP="006B5845">
            <w:pPr>
              <w:pStyle w:val="NormalWeb"/>
              <w:spacing w:before="0" w:beforeAutospacing="0" w:after="0" w:afterAutospacing="0"/>
              <w:ind w:left="720"/>
              <w:rPr>
                <w:rFonts w:ascii="Arial" w:eastAsia="Times New Roman" w:hAnsi="Arial" w:cs="Times New Roman"/>
                <w:sz w:val="24"/>
                <w:szCs w:val="24"/>
              </w:rPr>
            </w:pPr>
            <w:r w:rsidRPr="00406765">
              <w:rPr>
                <w:rFonts w:ascii="Arial" w:eastAsia="Times New Roman" w:hAnsi="Arial" w:cs="Times New Roman"/>
                <w:sz w:val="24"/>
                <w:szCs w:val="24"/>
              </w:rPr>
              <w:t> </w:t>
            </w:r>
          </w:p>
          <w:p w14:paraId="16484315" w14:textId="176043E5" w:rsidR="00812A9D" w:rsidRPr="00443BF4" w:rsidRDefault="00DE27C1" w:rsidP="00812A9D">
            <w:pPr>
              <w:pStyle w:val="NormalWeb"/>
              <w:spacing w:before="0" w:beforeAutospacing="0" w:after="0" w:afterAutospacing="0"/>
              <w:rPr>
                <w:rFonts w:ascii="Arial" w:eastAsia="Times New Roman" w:hAnsi="Arial" w:cs="Times New Roman"/>
                <w:sz w:val="24"/>
                <w:szCs w:val="24"/>
              </w:rPr>
            </w:pPr>
            <w:bookmarkStart w:id="2" w:name="_Hlk97208348"/>
            <w:r w:rsidRPr="00DE27C1">
              <w:rPr>
                <w:rFonts w:ascii="Arial" w:eastAsia="Times New Roman" w:hAnsi="Arial" w:cs="Times New Roman"/>
                <w:sz w:val="24"/>
                <w:szCs w:val="24"/>
              </w:rPr>
              <w:t xml:space="preserve">* </w:t>
            </w:r>
            <w:r w:rsidR="006B5845" w:rsidRPr="00406765">
              <w:rPr>
                <w:rFonts w:ascii="Arial" w:eastAsia="Times New Roman" w:hAnsi="Arial" w:cs="Times New Roman"/>
                <w:sz w:val="24"/>
                <w:szCs w:val="24"/>
              </w:rPr>
              <w:t>0.2 FTE</w:t>
            </w:r>
            <w:r w:rsidR="008B2BE4">
              <w:rPr>
                <w:rFonts w:ascii="Arial" w:eastAsia="Times New Roman" w:hAnsi="Arial" w:cs="Times New Roman"/>
                <w:sz w:val="24"/>
                <w:szCs w:val="24"/>
              </w:rPr>
              <w:t xml:space="preserve"> </w:t>
            </w:r>
            <w:r w:rsidR="008B2BE4" w:rsidRPr="00680EA4">
              <w:rPr>
                <w:rFonts w:ascii="Arial" w:hAnsi="Arial" w:cs="Arial"/>
                <w:sz w:val="24"/>
                <w:szCs w:val="24"/>
              </w:rPr>
              <w:t>savings</w:t>
            </w:r>
            <w:r w:rsidR="008B2BE4" w:rsidRPr="00680EA4">
              <w:rPr>
                <w:rFonts w:ascii="Arial" w:hAnsi="Arial" w:cs="Arial"/>
              </w:rPr>
              <w:t xml:space="preserve"> </w:t>
            </w:r>
            <w:r w:rsidR="006B5845" w:rsidRPr="00406765">
              <w:rPr>
                <w:rFonts w:ascii="Arial" w:eastAsia="Times New Roman" w:hAnsi="Arial" w:cs="Times New Roman"/>
                <w:sz w:val="24"/>
                <w:szCs w:val="24"/>
              </w:rPr>
              <w:t>ongoing</w:t>
            </w:r>
            <w:r w:rsidR="008B2BE4">
              <w:rPr>
                <w:rFonts w:ascii="Arial" w:eastAsia="Times New Roman" w:hAnsi="Arial" w:cs="Times New Roman"/>
                <w:sz w:val="24"/>
                <w:szCs w:val="24"/>
              </w:rPr>
              <w:t xml:space="preserve"> </w:t>
            </w:r>
            <w:r w:rsidR="008B2BE4" w:rsidRPr="00680EA4">
              <w:rPr>
                <w:rFonts w:ascii="Arial" w:hAnsi="Arial" w:cs="Arial"/>
                <w:sz w:val="24"/>
                <w:szCs w:val="24"/>
              </w:rPr>
              <w:t>per year</w:t>
            </w:r>
            <w:r w:rsidR="008B2BE4" w:rsidRPr="008B2BE4">
              <w:rPr>
                <w:rFonts w:ascii="Arial" w:hAnsi="Arial" w:cs="Arial"/>
              </w:rPr>
              <w:t xml:space="preserve"> </w:t>
            </w:r>
            <w:r w:rsidR="006B5845" w:rsidRPr="00406765">
              <w:rPr>
                <w:rFonts w:ascii="Arial" w:eastAsia="Times New Roman" w:hAnsi="Arial" w:cs="Times New Roman"/>
                <w:sz w:val="24"/>
                <w:szCs w:val="24"/>
              </w:rPr>
              <w:t xml:space="preserve">- </w:t>
            </w:r>
            <w:r w:rsidR="00812A9D" w:rsidRPr="00406765">
              <w:rPr>
                <w:rFonts w:ascii="Arial" w:hAnsi="Arial" w:cs="Arial"/>
                <w:sz w:val="24"/>
                <w:szCs w:val="24"/>
              </w:rPr>
              <w:t>Additional quantifiable gains in efficiency can be attributed to the reduction of GIC-specific generation modeling.  Currently, ERCOT must update the GIC custom-database for each generator added to the system; there is no other path for this information to be included.  This increasing rate of generation additions to the ERCOT interconnection directly impacts this work and cannot be avoided.  With this SCR, generators added in the operations and planning processes would be automatically included in GIC case.</w:t>
            </w:r>
          </w:p>
          <w:bookmarkEnd w:id="2"/>
          <w:p w14:paraId="77EB2293" w14:textId="4CFEC6A5" w:rsidR="005F6587" w:rsidRPr="00F02EB9" w:rsidRDefault="005F6587" w:rsidP="002D6CAB">
            <w:pPr>
              <w:pStyle w:val="NormalArial"/>
            </w:pPr>
            <w:r>
              <w:t xml:space="preserve"> </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lastRenderedPageBreak/>
              <w:t>ERCOT Computer System Impacts</w:t>
            </w:r>
          </w:p>
        </w:tc>
        <w:tc>
          <w:tcPr>
            <w:tcW w:w="7380" w:type="dxa"/>
            <w:gridSpan w:val="2"/>
            <w:tcBorders>
              <w:top w:val="single" w:sz="4" w:space="0" w:color="auto"/>
            </w:tcBorders>
            <w:vAlign w:val="center"/>
          </w:tcPr>
          <w:p w14:paraId="7E369D74" w14:textId="77777777" w:rsidR="004C3BCE" w:rsidRDefault="009207B4" w:rsidP="003E7B82">
            <w:pPr>
              <w:pStyle w:val="NormalArial"/>
              <w:spacing w:before="120"/>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342C225C" w14:textId="78D99143" w:rsidR="004B1BFC" w:rsidRPr="00D87884" w:rsidRDefault="00D87884" w:rsidP="00D87884">
            <w:pPr>
              <w:pStyle w:val="NormalArial"/>
              <w:numPr>
                <w:ilvl w:val="0"/>
                <w:numId w:val="7"/>
              </w:numPr>
            </w:pPr>
            <w:r w:rsidRPr="00D87884">
              <w:t>Grid Modeling Systems</w:t>
            </w:r>
            <w:r>
              <w:t xml:space="preserve">   100%</w:t>
            </w:r>
          </w:p>
          <w:p w14:paraId="3F868CC6" w14:textId="07A08572" w:rsidR="00D87884" w:rsidRPr="00FE71C0" w:rsidRDefault="00D87884" w:rsidP="00D87884">
            <w:pPr>
              <w:pStyle w:val="NormalArial"/>
              <w:rPr>
                <w:sz w:val="22"/>
                <w:szCs w:val="22"/>
              </w:rPr>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77777777"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rsidTr="007D2033">
        <w:trPr>
          <w:trHeight w:val="773"/>
        </w:trPr>
        <w:tc>
          <w:tcPr>
            <w:tcW w:w="10440" w:type="dxa"/>
            <w:tcBorders>
              <w:bottom w:val="single" w:sz="4" w:space="0" w:color="auto"/>
            </w:tcBorders>
            <w:shd w:val="clear" w:color="auto" w:fill="FFFFFF"/>
            <w:vAlign w:val="center"/>
          </w:tcPr>
          <w:p w14:paraId="49CB9AE8" w14:textId="074A37EA" w:rsidR="000A2646" w:rsidRPr="007D2033" w:rsidRDefault="00A36BDB" w:rsidP="007D2033">
            <w:pPr>
              <w:pStyle w:val="NormalWeb"/>
              <w:spacing w:before="0" w:beforeAutospacing="0" w:after="0" w:afterAutospacing="0"/>
              <w:rPr>
                <w:rFonts w:ascii="Arial" w:hAnsi="Arial" w:cs="Arial"/>
                <w:sz w:val="24"/>
                <w:szCs w:val="24"/>
              </w:rPr>
            </w:pPr>
            <w:r w:rsidRPr="007D2033">
              <w:rPr>
                <w:rFonts w:ascii="Arial" w:hAnsi="Arial" w:cs="Arial"/>
                <w:sz w:val="24"/>
                <w:szCs w:val="24"/>
              </w:rPr>
              <w:t>None.</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5F17" w14:textId="77777777" w:rsidR="00D34CF3" w:rsidRDefault="00D34CF3">
      <w:r>
        <w:separator/>
      </w:r>
    </w:p>
  </w:endnote>
  <w:endnote w:type="continuationSeparator" w:id="0">
    <w:p w14:paraId="70B2383B" w14:textId="77777777" w:rsidR="00D34CF3" w:rsidRDefault="00D3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BA99" w14:textId="56E29771"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863D0">
      <w:rPr>
        <w:rFonts w:ascii="Arial" w:hAnsi="Arial"/>
        <w:noProof/>
        <w:sz w:val="18"/>
      </w:rPr>
      <w:t>818SCR-</w:t>
    </w:r>
    <w:r w:rsidR="00DD74C6">
      <w:rPr>
        <w:rFonts w:ascii="Arial" w:hAnsi="Arial"/>
        <w:noProof/>
        <w:sz w:val="18"/>
      </w:rPr>
      <w:t>14</w:t>
    </w:r>
    <w:r w:rsidR="00DD74C6">
      <w:rPr>
        <w:rFonts w:ascii="Arial" w:hAnsi="Arial"/>
        <w:noProof/>
        <w:sz w:val="18"/>
      </w:rPr>
      <w:t xml:space="preserve"> </w:t>
    </w:r>
    <w:r w:rsidR="004863D0">
      <w:rPr>
        <w:rFonts w:ascii="Arial" w:hAnsi="Arial"/>
        <w:noProof/>
        <w:sz w:val="18"/>
      </w:rPr>
      <w:t xml:space="preserve">Revised Impact Analysis </w:t>
    </w:r>
    <w:r w:rsidR="00DD74C6">
      <w:rPr>
        <w:rFonts w:ascii="Arial" w:hAnsi="Arial"/>
        <w:noProof/>
        <w:sz w:val="18"/>
      </w:rPr>
      <w:t>030822</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01FB" w14:textId="77777777" w:rsidR="00D34CF3" w:rsidRDefault="00D34CF3">
      <w:r>
        <w:separator/>
      </w:r>
    </w:p>
  </w:footnote>
  <w:footnote w:type="continuationSeparator" w:id="0">
    <w:p w14:paraId="44820675" w14:textId="77777777" w:rsidR="00D34CF3" w:rsidRDefault="00D3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C960A" w14:textId="36E3C969" w:rsidR="006B0C5E" w:rsidRDefault="00B91B03">
    <w:pPr>
      <w:pStyle w:val="Header"/>
      <w:jc w:val="center"/>
      <w:rPr>
        <w:sz w:val="30"/>
      </w:rPr>
    </w:pPr>
    <w:r>
      <w:rPr>
        <w:sz w:val="30"/>
      </w:rPr>
      <w:t xml:space="preserve">Revised </w:t>
    </w:r>
    <w:r w:rsidR="006B0C5E">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8DB35EB"/>
    <w:multiLevelType w:val="hybridMultilevel"/>
    <w:tmpl w:val="5B2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12271"/>
    <w:multiLevelType w:val="hybridMultilevel"/>
    <w:tmpl w:val="E32A5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85940"/>
    <w:rsid w:val="00093663"/>
    <w:rsid w:val="00094676"/>
    <w:rsid w:val="000A2646"/>
    <w:rsid w:val="000A399F"/>
    <w:rsid w:val="000A3DB5"/>
    <w:rsid w:val="000B0B1C"/>
    <w:rsid w:val="000B3B55"/>
    <w:rsid w:val="000D05F8"/>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537BF"/>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2297"/>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E7B82"/>
    <w:rsid w:val="003F39B9"/>
    <w:rsid w:val="003F5136"/>
    <w:rsid w:val="004062C0"/>
    <w:rsid w:val="00406765"/>
    <w:rsid w:val="00414B41"/>
    <w:rsid w:val="0042091F"/>
    <w:rsid w:val="00424401"/>
    <w:rsid w:val="004249AB"/>
    <w:rsid w:val="00433605"/>
    <w:rsid w:val="00444CFE"/>
    <w:rsid w:val="00451032"/>
    <w:rsid w:val="0045119E"/>
    <w:rsid w:val="00460D3A"/>
    <w:rsid w:val="00471A6A"/>
    <w:rsid w:val="00472F10"/>
    <w:rsid w:val="00475C84"/>
    <w:rsid w:val="0047741B"/>
    <w:rsid w:val="00482234"/>
    <w:rsid w:val="00483998"/>
    <w:rsid w:val="004863D0"/>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61C0"/>
    <w:rsid w:val="00577B36"/>
    <w:rsid w:val="0058142A"/>
    <w:rsid w:val="00585304"/>
    <w:rsid w:val="00590565"/>
    <w:rsid w:val="00592DDF"/>
    <w:rsid w:val="00595DD2"/>
    <w:rsid w:val="00595DDC"/>
    <w:rsid w:val="005973DA"/>
    <w:rsid w:val="005A2F63"/>
    <w:rsid w:val="005A6B20"/>
    <w:rsid w:val="005B47A6"/>
    <w:rsid w:val="005B47C7"/>
    <w:rsid w:val="005B56D9"/>
    <w:rsid w:val="005C17CC"/>
    <w:rsid w:val="005C3597"/>
    <w:rsid w:val="005C5D46"/>
    <w:rsid w:val="005C6C67"/>
    <w:rsid w:val="005C776B"/>
    <w:rsid w:val="005D1346"/>
    <w:rsid w:val="005E78E9"/>
    <w:rsid w:val="005F0431"/>
    <w:rsid w:val="005F2F90"/>
    <w:rsid w:val="005F45A3"/>
    <w:rsid w:val="005F6371"/>
    <w:rsid w:val="005F6587"/>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0EA4"/>
    <w:rsid w:val="00683B65"/>
    <w:rsid w:val="00683FB5"/>
    <w:rsid w:val="00687020"/>
    <w:rsid w:val="00690122"/>
    <w:rsid w:val="00693C95"/>
    <w:rsid w:val="006B0C5E"/>
    <w:rsid w:val="006B5845"/>
    <w:rsid w:val="006C3039"/>
    <w:rsid w:val="006E4E93"/>
    <w:rsid w:val="006E67E1"/>
    <w:rsid w:val="006F0D6E"/>
    <w:rsid w:val="007002AE"/>
    <w:rsid w:val="00711F35"/>
    <w:rsid w:val="00712E26"/>
    <w:rsid w:val="007232DC"/>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2033"/>
    <w:rsid w:val="007D3E51"/>
    <w:rsid w:val="007E5F62"/>
    <w:rsid w:val="007E61DD"/>
    <w:rsid w:val="007E77E9"/>
    <w:rsid w:val="007F094A"/>
    <w:rsid w:val="007F3E6D"/>
    <w:rsid w:val="007F68BE"/>
    <w:rsid w:val="008013FA"/>
    <w:rsid w:val="0080426E"/>
    <w:rsid w:val="008120F0"/>
    <w:rsid w:val="00812A9D"/>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2BE4"/>
    <w:rsid w:val="008B4E36"/>
    <w:rsid w:val="008B67BD"/>
    <w:rsid w:val="008B7F92"/>
    <w:rsid w:val="008D147D"/>
    <w:rsid w:val="008D73FD"/>
    <w:rsid w:val="008E6078"/>
    <w:rsid w:val="008F31DF"/>
    <w:rsid w:val="009015D0"/>
    <w:rsid w:val="0090511F"/>
    <w:rsid w:val="0090566C"/>
    <w:rsid w:val="00906E23"/>
    <w:rsid w:val="0090723B"/>
    <w:rsid w:val="00910908"/>
    <w:rsid w:val="00912C2A"/>
    <w:rsid w:val="00915341"/>
    <w:rsid w:val="009178CB"/>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57472"/>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86F05"/>
    <w:rsid w:val="00B91B03"/>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D6CBC"/>
    <w:rsid w:val="00CE3D9D"/>
    <w:rsid w:val="00CF1A2F"/>
    <w:rsid w:val="00D027E7"/>
    <w:rsid w:val="00D074DE"/>
    <w:rsid w:val="00D16E69"/>
    <w:rsid w:val="00D23121"/>
    <w:rsid w:val="00D236B4"/>
    <w:rsid w:val="00D25076"/>
    <w:rsid w:val="00D267CC"/>
    <w:rsid w:val="00D27D64"/>
    <w:rsid w:val="00D30D81"/>
    <w:rsid w:val="00D32728"/>
    <w:rsid w:val="00D34CF3"/>
    <w:rsid w:val="00D35258"/>
    <w:rsid w:val="00D368D1"/>
    <w:rsid w:val="00D404A3"/>
    <w:rsid w:val="00D53917"/>
    <w:rsid w:val="00D54DC7"/>
    <w:rsid w:val="00D56EF5"/>
    <w:rsid w:val="00D6004C"/>
    <w:rsid w:val="00D60738"/>
    <w:rsid w:val="00D70BD6"/>
    <w:rsid w:val="00D721BD"/>
    <w:rsid w:val="00D87884"/>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D74C6"/>
    <w:rsid w:val="00DE239D"/>
    <w:rsid w:val="00DE27C1"/>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96E3B"/>
    <w:rsid w:val="00EA367F"/>
    <w:rsid w:val="00EA7C34"/>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styleId="UnresolvedMention">
    <w:name w:val="Unresolved Mention"/>
    <w:basedOn w:val="DefaultParagraphFont"/>
    <w:uiPriority w:val="99"/>
    <w:semiHidden/>
    <w:unhideWhenUsed/>
    <w:rsid w:val="00D87884"/>
    <w:rPr>
      <w:color w:val="605E5C"/>
      <w:shd w:val="clear" w:color="auto" w:fill="E1DFDD"/>
    </w:rPr>
  </w:style>
  <w:style w:type="paragraph" w:styleId="NormalWeb">
    <w:name w:val="Normal (Web)"/>
    <w:basedOn w:val="Normal"/>
    <w:uiPriority w:val="99"/>
    <w:unhideWhenUsed/>
    <w:rsid w:val="006B5845"/>
    <w:pPr>
      <w:spacing w:before="100" w:beforeAutospacing="1" w:after="100" w:afterAutospacing="1"/>
    </w:pPr>
    <w:rPr>
      <w:rFonts w:ascii="Calibri" w:eastAsiaTheme="minorHAnsi" w:hAnsi="Calibri" w:cs="Calibri"/>
      <w:sz w:val="22"/>
      <w:szCs w:val="22"/>
    </w:rPr>
  </w:style>
  <w:style w:type="paragraph" w:customStyle="1" w:styleId="xnormalarial">
    <w:name w:val="x_normalarial"/>
    <w:basedOn w:val="Normal"/>
    <w:rsid w:val="008B2BE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3184">
      <w:bodyDiv w:val="1"/>
      <w:marLeft w:val="0"/>
      <w:marRight w:val="0"/>
      <w:marTop w:val="0"/>
      <w:marBottom w:val="0"/>
      <w:divBdr>
        <w:top w:val="none" w:sz="0" w:space="0" w:color="auto"/>
        <w:left w:val="none" w:sz="0" w:space="0" w:color="auto"/>
        <w:bottom w:val="none" w:sz="0" w:space="0" w:color="auto"/>
        <w:right w:val="none" w:sz="0" w:space="0" w:color="auto"/>
      </w:divBdr>
    </w:div>
    <w:div w:id="18053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rcot.com/mktrules/issues/SCR8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2.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2331</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2</cp:revision>
  <cp:lastPrinted>2007-01-12T13:31:00Z</cp:lastPrinted>
  <dcterms:created xsi:type="dcterms:W3CDTF">2022-03-08T15:24:00Z</dcterms:created>
  <dcterms:modified xsi:type="dcterms:W3CDTF">2022-03-08T15:24:00Z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