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027A4AE4" w14:textId="77777777">
        <w:tc>
          <w:tcPr>
            <w:tcW w:w="1620" w:type="dxa"/>
            <w:tcBorders>
              <w:bottom w:val="single" w:sz="4" w:space="0" w:color="auto"/>
            </w:tcBorders>
            <w:shd w:val="clear" w:color="auto" w:fill="FFFFFF"/>
            <w:vAlign w:val="center"/>
          </w:tcPr>
          <w:p w14:paraId="0042CA21" w14:textId="77777777" w:rsidR="00152993" w:rsidRDefault="00EE6681" w:rsidP="002D3FCF">
            <w:pPr>
              <w:pStyle w:val="Header"/>
              <w:rPr>
                <w:rFonts w:ascii="Verdana" w:hAnsi="Verdana"/>
                <w:sz w:val="22"/>
              </w:rPr>
            </w:pPr>
            <w:r>
              <w:t>N</w:t>
            </w:r>
            <w:r w:rsidR="00152993">
              <w:t>PRR Number</w:t>
            </w:r>
          </w:p>
        </w:tc>
        <w:tc>
          <w:tcPr>
            <w:tcW w:w="1260" w:type="dxa"/>
            <w:tcBorders>
              <w:bottom w:val="single" w:sz="4" w:space="0" w:color="auto"/>
            </w:tcBorders>
            <w:vAlign w:val="center"/>
          </w:tcPr>
          <w:p w14:paraId="1D510FC9" w14:textId="77777777" w:rsidR="00152993" w:rsidRDefault="00B12489" w:rsidP="002D3FCF">
            <w:pPr>
              <w:pStyle w:val="Header"/>
            </w:pPr>
            <w:hyperlink r:id="rId8" w:history="1">
              <w:r w:rsidR="007100B6" w:rsidRPr="00780B05">
                <w:rPr>
                  <w:rStyle w:val="Hyperlink"/>
                </w:rPr>
                <w:t>1092</w:t>
              </w:r>
            </w:hyperlink>
          </w:p>
        </w:tc>
        <w:tc>
          <w:tcPr>
            <w:tcW w:w="900" w:type="dxa"/>
            <w:tcBorders>
              <w:bottom w:val="single" w:sz="4" w:space="0" w:color="auto"/>
            </w:tcBorders>
            <w:shd w:val="clear" w:color="auto" w:fill="FFFFFF"/>
            <w:vAlign w:val="center"/>
          </w:tcPr>
          <w:p w14:paraId="49D751EC" w14:textId="77777777" w:rsidR="00152993" w:rsidRDefault="00EE6681" w:rsidP="002D3FCF">
            <w:pPr>
              <w:pStyle w:val="Header"/>
            </w:pPr>
            <w:r>
              <w:t>N</w:t>
            </w:r>
            <w:r w:rsidR="00152993">
              <w:t>PRR Title</w:t>
            </w:r>
          </w:p>
        </w:tc>
        <w:tc>
          <w:tcPr>
            <w:tcW w:w="6660" w:type="dxa"/>
            <w:tcBorders>
              <w:bottom w:val="single" w:sz="4" w:space="0" w:color="auto"/>
            </w:tcBorders>
            <w:vAlign w:val="center"/>
          </w:tcPr>
          <w:p w14:paraId="646E9C97" w14:textId="77777777" w:rsidR="00152993" w:rsidRDefault="007100B6" w:rsidP="002D3FCF">
            <w:pPr>
              <w:pStyle w:val="Header"/>
            </w:pPr>
            <w:r>
              <w:t>Reduce RUC Offer Floor and Remove RUC Opt-Out Provision</w:t>
            </w:r>
          </w:p>
        </w:tc>
      </w:tr>
      <w:tr w:rsidR="00152993" w14:paraId="467C7604" w14:textId="77777777">
        <w:trPr>
          <w:trHeight w:val="413"/>
        </w:trPr>
        <w:tc>
          <w:tcPr>
            <w:tcW w:w="2880" w:type="dxa"/>
            <w:gridSpan w:val="2"/>
            <w:tcBorders>
              <w:top w:val="nil"/>
              <w:left w:val="nil"/>
              <w:bottom w:val="single" w:sz="4" w:space="0" w:color="auto"/>
              <w:right w:val="nil"/>
            </w:tcBorders>
            <w:vAlign w:val="center"/>
          </w:tcPr>
          <w:p w14:paraId="2897ADE0" w14:textId="77777777" w:rsidR="00152993" w:rsidRDefault="00152993" w:rsidP="002D3FCF">
            <w:pPr>
              <w:pStyle w:val="NormalArial"/>
            </w:pPr>
          </w:p>
        </w:tc>
        <w:tc>
          <w:tcPr>
            <w:tcW w:w="7560" w:type="dxa"/>
            <w:gridSpan w:val="2"/>
            <w:tcBorders>
              <w:top w:val="single" w:sz="4" w:space="0" w:color="auto"/>
              <w:left w:val="nil"/>
              <w:bottom w:val="nil"/>
              <w:right w:val="nil"/>
            </w:tcBorders>
            <w:vAlign w:val="center"/>
          </w:tcPr>
          <w:p w14:paraId="5DF621D3" w14:textId="77777777" w:rsidR="00152993" w:rsidRDefault="00152993" w:rsidP="002D3FCF">
            <w:pPr>
              <w:pStyle w:val="NormalArial"/>
            </w:pPr>
          </w:p>
        </w:tc>
      </w:tr>
      <w:tr w:rsidR="00152993" w14:paraId="4856287B"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2FC8538B" w14:textId="77777777" w:rsidR="00152993" w:rsidRDefault="00152993" w:rsidP="002D3FCF">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39B80A" w14:textId="4FF89421" w:rsidR="00152993" w:rsidRDefault="00A72264" w:rsidP="002D3FCF">
            <w:pPr>
              <w:pStyle w:val="NormalArial"/>
            </w:pPr>
            <w:r>
              <w:t xml:space="preserve">March </w:t>
            </w:r>
            <w:r w:rsidR="003F47E8">
              <w:t>8</w:t>
            </w:r>
            <w:r w:rsidR="007100B6">
              <w:t>, 2022</w:t>
            </w:r>
          </w:p>
        </w:tc>
      </w:tr>
      <w:tr w:rsidR="00152993" w14:paraId="7D7822A1" w14:textId="77777777">
        <w:trPr>
          <w:trHeight w:val="467"/>
        </w:trPr>
        <w:tc>
          <w:tcPr>
            <w:tcW w:w="2880" w:type="dxa"/>
            <w:gridSpan w:val="2"/>
            <w:tcBorders>
              <w:top w:val="single" w:sz="4" w:space="0" w:color="auto"/>
              <w:left w:val="nil"/>
              <w:bottom w:val="nil"/>
              <w:right w:val="nil"/>
            </w:tcBorders>
            <w:shd w:val="clear" w:color="auto" w:fill="FFFFFF"/>
            <w:vAlign w:val="center"/>
          </w:tcPr>
          <w:p w14:paraId="2C5BD026" w14:textId="77777777" w:rsidR="00152993" w:rsidRDefault="00152993" w:rsidP="002D3FCF">
            <w:pPr>
              <w:pStyle w:val="NormalArial"/>
            </w:pPr>
          </w:p>
        </w:tc>
        <w:tc>
          <w:tcPr>
            <w:tcW w:w="7560" w:type="dxa"/>
            <w:gridSpan w:val="2"/>
            <w:tcBorders>
              <w:top w:val="nil"/>
              <w:left w:val="nil"/>
              <w:bottom w:val="nil"/>
              <w:right w:val="nil"/>
            </w:tcBorders>
            <w:vAlign w:val="center"/>
          </w:tcPr>
          <w:p w14:paraId="594D16FF" w14:textId="77777777" w:rsidR="00152993" w:rsidRDefault="00152993" w:rsidP="002D3FCF">
            <w:pPr>
              <w:pStyle w:val="NormalArial"/>
            </w:pPr>
          </w:p>
        </w:tc>
      </w:tr>
      <w:tr w:rsidR="00152993" w14:paraId="0ACB4154" w14:textId="77777777">
        <w:trPr>
          <w:trHeight w:val="440"/>
        </w:trPr>
        <w:tc>
          <w:tcPr>
            <w:tcW w:w="10440" w:type="dxa"/>
            <w:gridSpan w:val="4"/>
            <w:tcBorders>
              <w:top w:val="single" w:sz="4" w:space="0" w:color="auto"/>
            </w:tcBorders>
            <w:shd w:val="clear" w:color="auto" w:fill="FFFFFF"/>
            <w:vAlign w:val="center"/>
          </w:tcPr>
          <w:p w14:paraId="04D56D35" w14:textId="77777777" w:rsidR="00152993" w:rsidRDefault="00152993" w:rsidP="002D3FCF">
            <w:pPr>
              <w:pStyle w:val="Header"/>
              <w:jc w:val="center"/>
            </w:pPr>
            <w:r>
              <w:t>Submitter’s Information</w:t>
            </w:r>
          </w:p>
        </w:tc>
      </w:tr>
      <w:tr w:rsidR="00152993" w14:paraId="17CF91FD" w14:textId="77777777">
        <w:trPr>
          <w:trHeight w:val="350"/>
        </w:trPr>
        <w:tc>
          <w:tcPr>
            <w:tcW w:w="2880" w:type="dxa"/>
            <w:gridSpan w:val="2"/>
            <w:shd w:val="clear" w:color="auto" w:fill="FFFFFF"/>
            <w:vAlign w:val="center"/>
          </w:tcPr>
          <w:p w14:paraId="3295FA66" w14:textId="77777777" w:rsidR="00152993" w:rsidRPr="00EC55B3" w:rsidRDefault="00152993" w:rsidP="002D3FCF">
            <w:pPr>
              <w:pStyle w:val="Header"/>
            </w:pPr>
            <w:r w:rsidRPr="00EC55B3">
              <w:t>Name</w:t>
            </w:r>
          </w:p>
        </w:tc>
        <w:tc>
          <w:tcPr>
            <w:tcW w:w="7560" w:type="dxa"/>
            <w:gridSpan w:val="2"/>
            <w:vAlign w:val="center"/>
          </w:tcPr>
          <w:p w14:paraId="3EB3EE73" w14:textId="209169B4" w:rsidR="00152993" w:rsidRDefault="00A72264" w:rsidP="002D3FCF">
            <w:pPr>
              <w:pStyle w:val="NormalArial"/>
            </w:pPr>
            <w:r>
              <w:t>Michele Richmond</w:t>
            </w:r>
          </w:p>
        </w:tc>
      </w:tr>
      <w:tr w:rsidR="00152993" w14:paraId="05DF06ED" w14:textId="77777777">
        <w:trPr>
          <w:trHeight w:val="350"/>
        </w:trPr>
        <w:tc>
          <w:tcPr>
            <w:tcW w:w="2880" w:type="dxa"/>
            <w:gridSpan w:val="2"/>
            <w:shd w:val="clear" w:color="auto" w:fill="FFFFFF"/>
            <w:vAlign w:val="center"/>
          </w:tcPr>
          <w:p w14:paraId="11205315" w14:textId="77777777" w:rsidR="00152993" w:rsidRPr="00EC55B3" w:rsidRDefault="00152993" w:rsidP="002D3FCF">
            <w:pPr>
              <w:pStyle w:val="Header"/>
            </w:pPr>
            <w:r w:rsidRPr="00EC55B3">
              <w:t>E-mail Address</w:t>
            </w:r>
          </w:p>
        </w:tc>
        <w:tc>
          <w:tcPr>
            <w:tcW w:w="7560" w:type="dxa"/>
            <w:gridSpan w:val="2"/>
            <w:vAlign w:val="center"/>
          </w:tcPr>
          <w:p w14:paraId="201FFAA3" w14:textId="6BA07F66" w:rsidR="00152993" w:rsidRDefault="00B12489" w:rsidP="002D3FCF">
            <w:pPr>
              <w:pStyle w:val="NormalArial"/>
            </w:pPr>
            <w:hyperlink r:id="rId9" w:history="1">
              <w:r w:rsidR="00A72264" w:rsidRPr="0003307E">
                <w:rPr>
                  <w:rStyle w:val="Hyperlink"/>
                </w:rPr>
                <w:t>michele@competitivepower.org</w:t>
              </w:r>
            </w:hyperlink>
          </w:p>
        </w:tc>
      </w:tr>
      <w:tr w:rsidR="00152993" w14:paraId="6F81D7CD" w14:textId="77777777">
        <w:trPr>
          <w:trHeight w:val="350"/>
        </w:trPr>
        <w:tc>
          <w:tcPr>
            <w:tcW w:w="2880" w:type="dxa"/>
            <w:gridSpan w:val="2"/>
            <w:shd w:val="clear" w:color="auto" w:fill="FFFFFF"/>
            <w:vAlign w:val="center"/>
          </w:tcPr>
          <w:p w14:paraId="58195F0E" w14:textId="77777777" w:rsidR="00152993" w:rsidRPr="00EC55B3" w:rsidRDefault="00152993" w:rsidP="002D3FCF">
            <w:pPr>
              <w:pStyle w:val="Header"/>
            </w:pPr>
            <w:r w:rsidRPr="00EC55B3">
              <w:t>Company</w:t>
            </w:r>
          </w:p>
        </w:tc>
        <w:tc>
          <w:tcPr>
            <w:tcW w:w="7560" w:type="dxa"/>
            <w:gridSpan w:val="2"/>
            <w:vAlign w:val="center"/>
          </w:tcPr>
          <w:p w14:paraId="60607553" w14:textId="4B52B424" w:rsidR="00152993" w:rsidRDefault="00A72264" w:rsidP="002D3FCF">
            <w:pPr>
              <w:pStyle w:val="NormalArial"/>
            </w:pPr>
            <w:r>
              <w:t>Texas Competitive Power Advocates (TCPA)</w:t>
            </w:r>
          </w:p>
        </w:tc>
      </w:tr>
      <w:tr w:rsidR="00152993" w14:paraId="55A3151B" w14:textId="77777777">
        <w:trPr>
          <w:trHeight w:val="350"/>
        </w:trPr>
        <w:tc>
          <w:tcPr>
            <w:tcW w:w="2880" w:type="dxa"/>
            <w:gridSpan w:val="2"/>
            <w:tcBorders>
              <w:bottom w:val="single" w:sz="4" w:space="0" w:color="auto"/>
            </w:tcBorders>
            <w:shd w:val="clear" w:color="auto" w:fill="FFFFFF"/>
            <w:vAlign w:val="center"/>
          </w:tcPr>
          <w:p w14:paraId="6340CDD4" w14:textId="77777777" w:rsidR="00152993" w:rsidRPr="00EC55B3" w:rsidRDefault="00152993" w:rsidP="002D3FCF">
            <w:pPr>
              <w:pStyle w:val="Header"/>
            </w:pPr>
            <w:r w:rsidRPr="00EC55B3">
              <w:t>Phone Number</w:t>
            </w:r>
          </w:p>
        </w:tc>
        <w:tc>
          <w:tcPr>
            <w:tcW w:w="7560" w:type="dxa"/>
            <w:gridSpan w:val="2"/>
            <w:tcBorders>
              <w:bottom w:val="single" w:sz="4" w:space="0" w:color="auto"/>
            </w:tcBorders>
            <w:vAlign w:val="center"/>
          </w:tcPr>
          <w:p w14:paraId="48252FAF" w14:textId="628C6235" w:rsidR="00152993" w:rsidRDefault="00A72264" w:rsidP="002D3FCF">
            <w:pPr>
              <w:pStyle w:val="NormalArial"/>
            </w:pPr>
            <w:r>
              <w:t>512-653-7447</w:t>
            </w:r>
          </w:p>
        </w:tc>
      </w:tr>
      <w:tr w:rsidR="00152993" w14:paraId="1FE16CFC" w14:textId="77777777">
        <w:trPr>
          <w:trHeight w:val="350"/>
        </w:trPr>
        <w:tc>
          <w:tcPr>
            <w:tcW w:w="2880" w:type="dxa"/>
            <w:gridSpan w:val="2"/>
            <w:shd w:val="clear" w:color="auto" w:fill="FFFFFF"/>
            <w:vAlign w:val="center"/>
          </w:tcPr>
          <w:p w14:paraId="6C6D800D" w14:textId="77777777" w:rsidR="00152993" w:rsidRPr="00EC55B3" w:rsidRDefault="00075A94" w:rsidP="002D3FCF">
            <w:pPr>
              <w:pStyle w:val="Header"/>
            </w:pPr>
            <w:r>
              <w:t>Cell</w:t>
            </w:r>
            <w:r w:rsidRPr="00EC55B3">
              <w:t xml:space="preserve"> </w:t>
            </w:r>
            <w:r w:rsidR="00152993" w:rsidRPr="00EC55B3">
              <w:t>Number</w:t>
            </w:r>
          </w:p>
        </w:tc>
        <w:tc>
          <w:tcPr>
            <w:tcW w:w="7560" w:type="dxa"/>
            <w:gridSpan w:val="2"/>
            <w:vAlign w:val="center"/>
          </w:tcPr>
          <w:p w14:paraId="3FD66B5C" w14:textId="77777777" w:rsidR="00152993" w:rsidRDefault="00152993" w:rsidP="002D3FCF">
            <w:pPr>
              <w:pStyle w:val="NormalArial"/>
            </w:pPr>
          </w:p>
        </w:tc>
      </w:tr>
      <w:tr w:rsidR="00075A94" w14:paraId="7BE92552" w14:textId="77777777">
        <w:trPr>
          <w:trHeight w:val="350"/>
        </w:trPr>
        <w:tc>
          <w:tcPr>
            <w:tcW w:w="2880" w:type="dxa"/>
            <w:gridSpan w:val="2"/>
            <w:tcBorders>
              <w:bottom w:val="single" w:sz="4" w:space="0" w:color="auto"/>
            </w:tcBorders>
            <w:shd w:val="clear" w:color="auto" w:fill="FFFFFF"/>
            <w:vAlign w:val="center"/>
          </w:tcPr>
          <w:p w14:paraId="261EBABE" w14:textId="77777777" w:rsidR="00075A94" w:rsidRPr="00EC55B3" w:rsidDel="00075A94" w:rsidRDefault="00075A94" w:rsidP="002D3FCF">
            <w:pPr>
              <w:pStyle w:val="Header"/>
            </w:pPr>
            <w:r>
              <w:t>Market Segment</w:t>
            </w:r>
          </w:p>
        </w:tc>
        <w:tc>
          <w:tcPr>
            <w:tcW w:w="7560" w:type="dxa"/>
            <w:gridSpan w:val="2"/>
            <w:tcBorders>
              <w:bottom w:val="single" w:sz="4" w:space="0" w:color="auto"/>
            </w:tcBorders>
            <w:vAlign w:val="center"/>
          </w:tcPr>
          <w:p w14:paraId="03EED189" w14:textId="1DB3E02E" w:rsidR="00075A94" w:rsidRDefault="00A72264" w:rsidP="002D3FCF">
            <w:pPr>
              <w:pStyle w:val="NormalArial"/>
            </w:pPr>
            <w:r>
              <w:t>N</w:t>
            </w:r>
            <w:r w:rsidR="00624D3B">
              <w:t>ot applicable</w:t>
            </w:r>
          </w:p>
        </w:tc>
      </w:tr>
    </w:tbl>
    <w:p w14:paraId="3A49AF9A" w14:textId="47805DCA" w:rsidR="00152993" w:rsidRDefault="00152993" w:rsidP="002D3FCF">
      <w:pPr>
        <w:pStyle w:val="NormalArial"/>
      </w:pPr>
    </w:p>
    <w:tbl>
      <w:tblPr>
        <w:tblW w:w="1035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0"/>
      </w:tblGrid>
      <w:tr w:rsidR="00E60D2C" w:rsidRPr="003C2624" w14:paraId="1716DFA7" w14:textId="77777777" w:rsidTr="00E60D2C">
        <w:trPr>
          <w:trHeight w:val="350"/>
        </w:trPr>
        <w:tc>
          <w:tcPr>
            <w:tcW w:w="10350" w:type="dxa"/>
            <w:tcBorders>
              <w:bottom w:val="single" w:sz="4" w:space="0" w:color="auto"/>
            </w:tcBorders>
            <w:shd w:val="clear" w:color="auto" w:fill="FFFFFF"/>
            <w:vAlign w:val="center"/>
          </w:tcPr>
          <w:p w14:paraId="41488B5A" w14:textId="0F9E67CF" w:rsidR="00E60D2C" w:rsidRPr="003C2624" w:rsidRDefault="00E60D2C" w:rsidP="006662BB">
            <w:pPr>
              <w:pStyle w:val="Header"/>
              <w:jc w:val="center"/>
              <w:rPr>
                <w:rFonts w:cs="Arial"/>
              </w:rPr>
            </w:pPr>
            <w:r>
              <w:rPr>
                <w:rFonts w:cs="Arial"/>
              </w:rPr>
              <w:t>Comments</w:t>
            </w:r>
          </w:p>
        </w:tc>
      </w:tr>
    </w:tbl>
    <w:p w14:paraId="6D1EE600" w14:textId="18AC1782" w:rsidR="00A72264" w:rsidRDefault="00A72264" w:rsidP="00624D3B">
      <w:pPr>
        <w:pStyle w:val="NormalArial"/>
        <w:spacing w:before="120" w:after="120"/>
      </w:pPr>
      <w:r>
        <w:t xml:space="preserve">Texas Competitive Power Advocates (TCPA) appreciates the opportunity to comment on concerns regarding Nodal Protocol Revision Request (NPRR) 1092 in advance of the stakeholder workshop on March 10, 2022. </w:t>
      </w:r>
      <w:r w:rsidR="00624D3B">
        <w:t xml:space="preserve"> </w:t>
      </w:r>
      <w:r>
        <w:t>While our member companies may have some differing viewpoints on the Reliability Unit Commitment (RUC) offer floor, all of our member companies share an overarching concern with the use of RUC, not as a reliability tool</w:t>
      </w:r>
      <w:r w:rsidR="008A4E56">
        <w:t>,</w:t>
      </w:r>
      <w:r>
        <w:t xml:space="preserve"> but as a </w:t>
      </w:r>
      <w:r w:rsidR="001A6ACC">
        <w:t xml:space="preserve">frequent </w:t>
      </w:r>
      <w:r>
        <w:t xml:space="preserve">out-of-market action ERCOT takes </w:t>
      </w:r>
      <w:r w:rsidR="001A6ACC">
        <w:t>as part of its conservative post-Uri grid operations</w:t>
      </w:r>
      <w:r>
        <w:t>.</w:t>
      </w:r>
    </w:p>
    <w:p w14:paraId="62837939" w14:textId="0075BDC6" w:rsidR="006968AE" w:rsidRDefault="00EC2B29" w:rsidP="00624D3B">
      <w:pPr>
        <w:pStyle w:val="NormalArial"/>
        <w:spacing w:before="120" w:after="120"/>
      </w:pPr>
      <w:r>
        <w:t xml:space="preserve">The overuse of RUC, the </w:t>
      </w:r>
      <w:r w:rsidR="001A6ACC">
        <w:t xml:space="preserve">over-procurement of </w:t>
      </w:r>
      <w:r w:rsidR="00624D3B">
        <w:t>A</w:t>
      </w:r>
      <w:r w:rsidR="001A6ACC">
        <w:t xml:space="preserve">ncillary </w:t>
      </w:r>
      <w:r w:rsidR="00624D3B">
        <w:t>S</w:t>
      </w:r>
      <w:r w:rsidR="001A6ACC">
        <w:t>ervices</w:t>
      </w:r>
      <w:r>
        <w:t xml:space="preserve">, </w:t>
      </w:r>
      <w:r w:rsidR="00D866C5">
        <w:t xml:space="preserve">early deployment of </w:t>
      </w:r>
      <w:r w:rsidR="00624D3B">
        <w:t>Emergency Response Service (</w:t>
      </w:r>
      <w:r w:rsidR="00D866C5">
        <w:t>ERS</w:t>
      </w:r>
      <w:r w:rsidR="00624D3B">
        <w:t>)</w:t>
      </w:r>
      <w:r w:rsidR="00D866C5">
        <w:t xml:space="preserve">, and the creation of new capacity-subsidized </w:t>
      </w:r>
      <w:r w:rsidR="00624D3B">
        <w:t>D</w:t>
      </w:r>
      <w:r w:rsidR="00D866C5">
        <w:t>emand response programs</w:t>
      </w:r>
      <w:r>
        <w:t xml:space="preserve"> all </w:t>
      </w:r>
      <w:r w:rsidR="008A4E56">
        <w:t xml:space="preserve">mark a significant departure from the energy-only market design and can </w:t>
      </w:r>
      <w:r>
        <w:t>ha</w:t>
      </w:r>
      <w:r w:rsidR="00D866C5">
        <w:t>ve</w:t>
      </w:r>
      <w:r>
        <w:t xml:space="preserve"> a price suppressive impact</w:t>
      </w:r>
      <w:r w:rsidR="008A4E56">
        <w:t>.</w:t>
      </w:r>
      <w:r>
        <w:t xml:space="preserve"> </w:t>
      </w:r>
      <w:r w:rsidR="008A4E56">
        <w:t xml:space="preserve"> </w:t>
      </w:r>
      <w:r w:rsidR="00F425E9">
        <w:t xml:space="preserve">TCPA members are concerned this </w:t>
      </w:r>
      <w:r w:rsidR="009102B8">
        <w:t xml:space="preserve">NPRR </w:t>
      </w:r>
      <w:r>
        <w:t>send</w:t>
      </w:r>
      <w:r w:rsidR="000D01CA">
        <w:t>s</w:t>
      </w:r>
      <w:r>
        <w:t xml:space="preserve"> a signal to dispatchable </w:t>
      </w:r>
      <w:r w:rsidR="00624D3B">
        <w:t>R</w:t>
      </w:r>
      <w:r>
        <w:t xml:space="preserve">esources that new investment is not needed and that it is questionable whether existing </w:t>
      </w:r>
      <w:r w:rsidR="00624D3B">
        <w:t>R</w:t>
      </w:r>
      <w:r>
        <w:t xml:space="preserve">esources should be maintained. </w:t>
      </w:r>
      <w:r w:rsidR="00624D3B">
        <w:t xml:space="preserve"> </w:t>
      </w:r>
      <w:r w:rsidR="00D866C5">
        <w:t xml:space="preserve">RUCs </w:t>
      </w:r>
      <w:r w:rsidR="00F425E9">
        <w:t xml:space="preserve">uniquely </w:t>
      </w:r>
      <w:r w:rsidR="00D866C5">
        <w:t xml:space="preserve">harm dispatchable thermal generation, as intermittent renewables, energy storage, and </w:t>
      </w:r>
      <w:r w:rsidR="00624D3B">
        <w:t>L</w:t>
      </w:r>
      <w:r w:rsidR="00D866C5">
        <w:t xml:space="preserve">oad </w:t>
      </w:r>
      <w:r w:rsidR="00624D3B">
        <w:t>R</w:t>
      </w:r>
      <w:r w:rsidR="00D866C5">
        <w:t xml:space="preserve">esources are </w:t>
      </w:r>
      <w:r w:rsidR="00621160">
        <w:t>not subjected to RUCs</w:t>
      </w:r>
      <w:r w:rsidR="00D866C5">
        <w:t xml:space="preserve">. </w:t>
      </w:r>
      <w:r w:rsidR="00624D3B">
        <w:t xml:space="preserve"> </w:t>
      </w:r>
      <w:r>
        <w:t xml:space="preserve">The </w:t>
      </w:r>
      <w:r w:rsidR="00624D3B">
        <w:t>R</w:t>
      </w:r>
      <w:r>
        <w:t xml:space="preserve">esources that are being RUC’d are disproportionately older units that were not designed to be run in the manner ERCOT is using them. </w:t>
      </w:r>
      <w:r w:rsidR="00624D3B">
        <w:t xml:space="preserve"> </w:t>
      </w:r>
      <w:r>
        <w:t xml:space="preserve">As a result, these units are more likely to need extensive maintenance sooner, to face a </w:t>
      </w:r>
      <w:r w:rsidR="00624D3B">
        <w:t>F</w:t>
      </w:r>
      <w:r>
        <w:t>orce</w:t>
      </w:r>
      <w:r w:rsidR="006968AE">
        <w:t xml:space="preserve">d </w:t>
      </w:r>
      <w:r w:rsidR="00624D3B">
        <w:t>O</w:t>
      </w:r>
      <w:r>
        <w:t>utage at a time they are actually needed</w:t>
      </w:r>
      <w:r w:rsidR="00621160">
        <w:t xml:space="preserve"> and can provide value to their owners</w:t>
      </w:r>
      <w:r>
        <w:t xml:space="preserve">, </w:t>
      </w:r>
      <w:r w:rsidR="006F5DE5">
        <w:t>deplete</w:t>
      </w:r>
      <w:r w:rsidR="006968AE">
        <w:t xml:space="preserve"> their emissions limits </w:t>
      </w:r>
      <w:r w:rsidR="006F5DE5">
        <w:t>before being able to economically utilize them</w:t>
      </w:r>
      <w:r w:rsidR="006968AE">
        <w:t xml:space="preserve">, and are more likely to be deemed uneconomic and face retirement sooner. </w:t>
      </w:r>
    </w:p>
    <w:p w14:paraId="1B60D2FD" w14:textId="22694EED" w:rsidR="00801EFA" w:rsidRDefault="006968AE" w:rsidP="00624D3B">
      <w:pPr>
        <w:pStyle w:val="NormalArial"/>
        <w:spacing w:before="120" w:after="120"/>
      </w:pPr>
      <w:r>
        <w:t>NPRR1092 does nothing to address the real problem facing ERCOT</w:t>
      </w:r>
      <w:r w:rsidR="00D920C1">
        <w:t xml:space="preserve">, sufficient </w:t>
      </w:r>
      <w:r w:rsidR="00624D3B">
        <w:t>R</w:t>
      </w:r>
      <w:r w:rsidR="00D920C1">
        <w:t>esource adequacy for consumers.</w:t>
      </w:r>
      <w:r>
        <w:t xml:space="preserve"> </w:t>
      </w:r>
      <w:r w:rsidR="00624D3B">
        <w:t xml:space="preserve"> </w:t>
      </w:r>
      <w:r>
        <w:t xml:space="preserve">ERCOT </w:t>
      </w:r>
      <w:r w:rsidR="00624D3B">
        <w:t>O</w:t>
      </w:r>
      <w:r>
        <w:t xml:space="preserve">perators are unwilling to allow the market to work and </w:t>
      </w:r>
      <w:r w:rsidR="00801EFA">
        <w:t xml:space="preserve">rely on economic </w:t>
      </w:r>
      <w:r>
        <w:t xml:space="preserve">self-commitment of </w:t>
      </w:r>
      <w:r w:rsidR="00624D3B">
        <w:t>R</w:t>
      </w:r>
      <w:r>
        <w:t>esources</w:t>
      </w:r>
      <w:r w:rsidR="006F5DE5">
        <w:t>.</w:t>
      </w:r>
      <w:r>
        <w:t xml:space="preserve"> </w:t>
      </w:r>
      <w:r w:rsidR="006F5DE5">
        <w:t xml:space="preserve"> I</w:t>
      </w:r>
      <w:r>
        <w:t>nstead</w:t>
      </w:r>
      <w:r w:rsidR="007328A0">
        <w:t>,</w:t>
      </w:r>
      <w:r w:rsidR="006F5DE5">
        <w:t xml:space="preserve"> ERCOT is</w:t>
      </w:r>
      <w:r>
        <w:t xml:space="preserve"> resorting to command-and-control tactics as a commonplace operational method and not one to be undertaken only in emergency situations. </w:t>
      </w:r>
      <w:r w:rsidR="00624D3B">
        <w:t xml:space="preserve"> </w:t>
      </w:r>
      <w:r w:rsidR="006F5DE5">
        <w:t>Furthermore</w:t>
      </w:r>
      <w:r>
        <w:t xml:space="preserve">, </w:t>
      </w:r>
      <w:r w:rsidR="00801EFA">
        <w:t xml:space="preserve">this operating </w:t>
      </w:r>
      <w:r w:rsidR="00801EFA">
        <w:lastRenderedPageBreak/>
        <w:t>approach</w:t>
      </w:r>
      <w:r w:rsidR="00024027">
        <w:t xml:space="preserve"> </w:t>
      </w:r>
      <w:r w:rsidR="00D920C1">
        <w:t>contradicts</w:t>
      </w:r>
      <w:r w:rsidR="00801EFA">
        <w:t xml:space="preserve"> </w:t>
      </w:r>
      <w:r w:rsidR="00694573">
        <w:t>the ERCOT</w:t>
      </w:r>
      <w:r w:rsidR="00801EFA">
        <w:t xml:space="preserve"> market design</w:t>
      </w:r>
      <w:r w:rsidR="00694573">
        <w:t xml:space="preserve"> that relies on price signals to attract investment and incentivize </w:t>
      </w:r>
      <w:r w:rsidR="00624D3B">
        <w:t>R</w:t>
      </w:r>
      <w:r w:rsidR="00694573">
        <w:t xml:space="preserve">esources to respond to </w:t>
      </w:r>
      <w:r w:rsidR="00624D3B">
        <w:t>R</w:t>
      </w:r>
      <w:r w:rsidR="00694573">
        <w:t>eal</w:t>
      </w:r>
      <w:r w:rsidR="00624D3B">
        <w:t>-T</w:t>
      </w:r>
      <w:r w:rsidR="00694573">
        <w:t>ime reliability concerns</w:t>
      </w:r>
      <w:r w:rsidR="00024027">
        <w:t>.</w:t>
      </w:r>
      <w:r w:rsidR="00801EFA">
        <w:t xml:space="preserve"> </w:t>
      </w:r>
      <w:r w:rsidR="00624D3B">
        <w:t xml:space="preserve"> </w:t>
      </w:r>
      <w:r w:rsidR="00BB21C5">
        <w:t>T</w:t>
      </w:r>
      <w:r w:rsidR="00024027">
        <w:t xml:space="preserve">his operating approach </w:t>
      </w:r>
      <w:r w:rsidR="006F5DE5">
        <w:t>is contrary to</w:t>
      </w:r>
      <w:r>
        <w:t xml:space="preserve"> the overarching legislative mandate in SB 3 to provide a market structure that values </w:t>
      </w:r>
      <w:r w:rsidR="00801EFA">
        <w:t xml:space="preserve">and supports investment in </w:t>
      </w:r>
      <w:r>
        <w:t xml:space="preserve">dispatchable </w:t>
      </w:r>
      <w:r w:rsidR="00624D3B">
        <w:t>R</w:t>
      </w:r>
      <w:r>
        <w:t>esources.</w:t>
      </w:r>
      <w:r w:rsidR="006F5DE5">
        <w:t xml:space="preserve">  RUC does not allow for a reasonable return, </w:t>
      </w:r>
      <w:r w:rsidR="00C20E20">
        <w:t xml:space="preserve">and recently ERCOT has told some </w:t>
      </w:r>
      <w:r w:rsidR="00801EFA">
        <w:t xml:space="preserve">TCPA </w:t>
      </w:r>
      <w:r w:rsidR="00C20E20">
        <w:t xml:space="preserve">members that their documented </w:t>
      </w:r>
      <w:r w:rsidR="00801EFA">
        <w:t xml:space="preserve">RUC </w:t>
      </w:r>
      <w:r w:rsidR="00C20E20">
        <w:t>operating costs will not be covered</w:t>
      </w:r>
      <w:r w:rsidR="00801EFA">
        <w:t xml:space="preserve"> under the Protocols</w:t>
      </w:r>
      <w:r w:rsidR="00C20E20">
        <w:t xml:space="preserve">. </w:t>
      </w:r>
      <w:r>
        <w:t xml:space="preserve"> </w:t>
      </w:r>
      <w:r w:rsidR="002214F0">
        <w:t xml:space="preserve">Aligning our market structure with policymakers’ reliability objectives is necessary to improve the economics of </w:t>
      </w:r>
      <w:r w:rsidR="006030F5">
        <w:t xml:space="preserve">all </w:t>
      </w:r>
      <w:r w:rsidR="002214F0">
        <w:t xml:space="preserve">dispatchable generation such that self-commitment is occurring because the market signals indicate a need for those </w:t>
      </w:r>
      <w:r w:rsidR="00624D3B">
        <w:t>R</w:t>
      </w:r>
      <w:r w:rsidR="002214F0">
        <w:t xml:space="preserve">esources to be </w:t>
      </w:r>
      <w:r w:rsidR="00624D3B">
        <w:t>O</w:t>
      </w:r>
      <w:r w:rsidR="002214F0">
        <w:t>n</w:t>
      </w:r>
      <w:r w:rsidR="00624D3B">
        <w:t>-L</w:t>
      </w:r>
      <w:r w:rsidR="002214F0">
        <w:t>ine</w:t>
      </w:r>
      <w:r w:rsidR="00335605">
        <w:t xml:space="preserve"> or appropriate compensation is available to incentivize that desired behavior</w:t>
      </w:r>
      <w:r w:rsidR="002214F0">
        <w:t xml:space="preserve">. </w:t>
      </w:r>
      <w:r w:rsidR="00624D3B">
        <w:t xml:space="preserve"> </w:t>
      </w:r>
      <w:r w:rsidR="002214F0">
        <w:t xml:space="preserve">This NPRR does not </w:t>
      </w:r>
      <w:r w:rsidR="00335605">
        <w:t>address that root cause</w:t>
      </w:r>
      <w:r w:rsidR="002214F0">
        <w:t>.</w:t>
      </w:r>
    </w:p>
    <w:p w14:paraId="164CC989" w14:textId="11E41F7A" w:rsidR="00A81E0C" w:rsidRDefault="006968AE" w:rsidP="00624D3B">
      <w:pPr>
        <w:pStyle w:val="NormalArial"/>
        <w:spacing w:before="120" w:after="120"/>
      </w:pPr>
      <w:r>
        <w:t>Nothing in NPRR</w:t>
      </w:r>
      <w:r w:rsidR="00801EFA">
        <w:t xml:space="preserve">1092 </w:t>
      </w:r>
      <w:r>
        <w:t xml:space="preserve">will reverse ERCOT’s policy of </w:t>
      </w:r>
      <w:r w:rsidR="00801EFA">
        <w:t xml:space="preserve">maintaining </w:t>
      </w:r>
      <w:r w:rsidR="00C20E20">
        <w:t xml:space="preserve">a </w:t>
      </w:r>
      <w:bookmarkStart w:id="0" w:name="_Hlk97304804"/>
      <w:r w:rsidR="00C20E20">
        <w:t xml:space="preserve">punitively large </w:t>
      </w:r>
      <w:r>
        <w:t>reserve margin cushion</w:t>
      </w:r>
      <w:bookmarkEnd w:id="0"/>
      <w:r>
        <w:t xml:space="preserve">, and ERCOT operations has continually </w:t>
      </w:r>
      <w:r w:rsidR="007B5278">
        <w:t>admitted</w:t>
      </w:r>
      <w:r>
        <w:t xml:space="preserve"> that their use of RUC will not be reduced but may actually increase.</w:t>
      </w:r>
      <w:r w:rsidR="009F6049">
        <w:t xml:space="preserve"> </w:t>
      </w:r>
      <w:r w:rsidR="00624D3B">
        <w:t xml:space="preserve"> </w:t>
      </w:r>
      <w:r w:rsidR="00916F6B">
        <w:t>I</w:t>
      </w:r>
      <w:r w:rsidR="009F6049">
        <w:t>t has pitted stakeholders against each other</w:t>
      </w:r>
      <w:r w:rsidR="00916F6B">
        <w:t xml:space="preserve"> by focusing on the </w:t>
      </w:r>
      <w:r w:rsidR="00390C2E">
        <w:t>symptom of th</w:t>
      </w:r>
      <w:r w:rsidR="00916F6B">
        <w:t>e</w:t>
      </w:r>
      <w:r w:rsidR="00390C2E">
        <w:t xml:space="preserve"> problem</w:t>
      </w:r>
      <w:r w:rsidR="00926418">
        <w:t>,</w:t>
      </w:r>
      <w:r w:rsidR="00390C2E">
        <w:t xml:space="preserve"> without addressing the cause</w:t>
      </w:r>
      <w:r w:rsidR="009F6049">
        <w:t>.</w:t>
      </w:r>
      <w:r>
        <w:t xml:space="preserve"> </w:t>
      </w:r>
      <w:r w:rsidR="00624D3B">
        <w:t xml:space="preserve"> </w:t>
      </w:r>
      <w:r w:rsidR="00622008">
        <w:t>A comparison between prices the week of Landon and on Thursday, February 24 shows that price</w:t>
      </w:r>
      <w:r w:rsidR="00390C2E">
        <w:t>s</w:t>
      </w:r>
      <w:r w:rsidR="00622008">
        <w:t xml:space="preserve"> </w:t>
      </w:r>
      <w:r w:rsidR="00390C2E">
        <w:t xml:space="preserve">continue </w:t>
      </w:r>
      <w:r w:rsidR="00622008">
        <w:t xml:space="preserve">to correlate with whether the expected wind forecast materializes in </w:t>
      </w:r>
      <w:r w:rsidR="00624D3B">
        <w:t>R</w:t>
      </w:r>
      <w:r w:rsidR="00622008">
        <w:t>eal-</w:t>
      </w:r>
      <w:r w:rsidR="00624D3B">
        <w:t>T</w:t>
      </w:r>
      <w:r w:rsidR="00622008">
        <w:t xml:space="preserve">ime or not. </w:t>
      </w:r>
      <w:r w:rsidR="00624D3B">
        <w:t xml:space="preserve"> </w:t>
      </w:r>
      <w:r w:rsidR="00A81E0C">
        <w:t xml:space="preserve">There is no reason ERCOT should be RUC’ing </w:t>
      </w:r>
      <w:r w:rsidR="00C20E20">
        <w:t xml:space="preserve">a </w:t>
      </w:r>
      <w:r w:rsidR="00C20E20" w:rsidRPr="00C20E20">
        <w:t>punitively large reserve margin cushion</w:t>
      </w:r>
      <w:r w:rsidR="00A81E0C">
        <w:t xml:space="preserve"> and yet that is happening. </w:t>
      </w:r>
    </w:p>
    <w:p w14:paraId="0594E4D9" w14:textId="170284F0" w:rsidR="00283FC9" w:rsidRDefault="00A81E0C" w:rsidP="00624D3B">
      <w:pPr>
        <w:pStyle w:val="NormalArial"/>
        <w:spacing w:before="120" w:after="120"/>
      </w:pPr>
      <w:r>
        <w:t>TCPA continues to urge stakeholders</w:t>
      </w:r>
      <w:r w:rsidR="00C20E20">
        <w:t xml:space="preserve"> and ERCOT</w:t>
      </w:r>
      <w:r>
        <w:t xml:space="preserve"> to</w:t>
      </w:r>
      <w:r w:rsidR="00694573">
        <w:t xml:space="preserve"> </w:t>
      </w:r>
      <w:bookmarkStart w:id="1" w:name="_Hlk97626716"/>
      <w:r w:rsidR="00694573">
        <w:t xml:space="preserve">avoid making piecemeal market design changes </w:t>
      </w:r>
      <w:r w:rsidR="004849E9">
        <w:t>and focus on</w:t>
      </w:r>
      <w:r w:rsidR="00694573">
        <w:t xml:space="preserve"> holistic market design changes being undertaken by the Commission</w:t>
      </w:r>
      <w:r w:rsidR="004849E9">
        <w:t xml:space="preserve"> to increase reliability that</w:t>
      </w:r>
      <w:r w:rsidR="00694573">
        <w:t xml:space="preserve"> have yet to be realized</w:t>
      </w:r>
      <w:r w:rsidR="003D21E5">
        <w:t xml:space="preserve">; and TCPA urges ERCOT to </w:t>
      </w:r>
      <w:bookmarkEnd w:id="1"/>
      <w:r w:rsidR="000F40CB">
        <w:t>only use RUC for true capacity insufficiency as was the prior practice</w:t>
      </w:r>
      <w:r>
        <w:t xml:space="preserve">. </w:t>
      </w:r>
      <w:r w:rsidR="00624D3B">
        <w:t xml:space="preserve"> </w:t>
      </w:r>
      <w:r>
        <w:t xml:space="preserve">All of these components are interconnected and impact market pricing as well as </w:t>
      </w:r>
      <w:r w:rsidR="00624D3B">
        <w:t>R</w:t>
      </w:r>
      <w:r>
        <w:t xml:space="preserve">esource adequacy several years into the future, not just now. </w:t>
      </w:r>
      <w:r w:rsidR="00624D3B">
        <w:t xml:space="preserve"> </w:t>
      </w:r>
      <w:r w:rsidR="00390C2E">
        <w:t>M</w:t>
      </w:r>
      <w:r>
        <w:t xml:space="preserve">aking decisions without accounting for the impact on </w:t>
      </w:r>
      <w:r w:rsidR="000F40CB">
        <w:t>the market</w:t>
      </w:r>
      <w:r w:rsidR="00BB21C5">
        <w:t xml:space="preserve"> (both current and future states)</w:t>
      </w:r>
      <w:r>
        <w:t xml:space="preserve"> is short-sighted and irresponsible. </w:t>
      </w:r>
      <w:r w:rsidR="00624D3B">
        <w:t xml:space="preserve"> </w:t>
      </w:r>
      <w:r w:rsidR="00F00A0E">
        <w:t>M</w:t>
      </w:r>
      <w:r w:rsidR="00D0642C">
        <w:t xml:space="preserve">ajor market design changes </w:t>
      </w:r>
      <w:r w:rsidR="00793C47">
        <w:t xml:space="preserve">are </w:t>
      </w:r>
      <w:r>
        <w:t xml:space="preserve">more appropriate to pursue in the </w:t>
      </w:r>
      <w:r w:rsidR="00793C47">
        <w:t xml:space="preserve">market design proceeding or </w:t>
      </w:r>
      <w:r w:rsidR="00926418">
        <w:t xml:space="preserve">by </w:t>
      </w:r>
      <w:r w:rsidR="00793C47">
        <w:t xml:space="preserve">a </w:t>
      </w:r>
      <w:r w:rsidR="000F40CB">
        <w:t xml:space="preserve">formal </w:t>
      </w:r>
      <w:r>
        <w:t xml:space="preserve">rulemaking at the Commission </w:t>
      </w:r>
      <w:r w:rsidR="00793C47">
        <w:t xml:space="preserve">so that it can be vetted </w:t>
      </w:r>
      <w:r>
        <w:t xml:space="preserve">in conjunction with the many other policy considerations </w:t>
      </w:r>
      <w:r w:rsidR="00793C47">
        <w:t>concurrently under review</w:t>
      </w:r>
      <w:r>
        <w:t xml:space="preserve">. </w:t>
      </w:r>
      <w:r w:rsidR="00624D3B">
        <w:t xml:space="preserve"> </w:t>
      </w:r>
      <w:r>
        <w:t xml:space="preserve">Ensuring that all </w:t>
      </w:r>
      <w:r w:rsidR="00624D3B">
        <w:t>M</w:t>
      </w:r>
      <w:r>
        <w:t xml:space="preserve">arket </w:t>
      </w:r>
      <w:r w:rsidR="00624D3B">
        <w:t>P</w:t>
      </w:r>
      <w:r>
        <w:t xml:space="preserve">articipants, regulators, and prospective </w:t>
      </w:r>
      <w:r w:rsidR="00624D3B">
        <w:t>M</w:t>
      </w:r>
      <w:r>
        <w:t xml:space="preserve">arket </w:t>
      </w:r>
      <w:r w:rsidR="00624D3B">
        <w:t>P</w:t>
      </w:r>
      <w:r>
        <w:t>articipants fully understand all consequences associated with a policy is critical.</w:t>
      </w:r>
      <w:r w:rsidR="00624D3B">
        <w:t xml:space="preserve"> </w:t>
      </w:r>
      <w:r>
        <w:t xml:space="preserve"> Unintended consequences may reverse other Commission or legislative actions and exacerbate the </w:t>
      </w:r>
      <w:r w:rsidR="00624D3B">
        <w:t>R</w:t>
      </w:r>
      <w:r>
        <w:t xml:space="preserve">esource adequacy concerns and market alignments that all are working to delicately balance. </w:t>
      </w:r>
      <w:r w:rsidR="00624D3B">
        <w:t xml:space="preserve"> </w:t>
      </w:r>
      <w:r>
        <w:t xml:space="preserve">The conservative operations at ERCOT, while </w:t>
      </w:r>
      <w:r w:rsidR="00793C47">
        <w:t xml:space="preserve">an </w:t>
      </w:r>
      <w:r>
        <w:t xml:space="preserve">understandable </w:t>
      </w:r>
      <w:r w:rsidR="00793C47">
        <w:t>reaction to recent history</w:t>
      </w:r>
      <w:r>
        <w:t xml:space="preserve">, </w:t>
      </w:r>
      <w:r w:rsidR="00E30F84">
        <w:t xml:space="preserve">can be viewed as </w:t>
      </w:r>
      <w:r>
        <w:t xml:space="preserve">sending market signals that suppress prices in </w:t>
      </w:r>
      <w:r w:rsidR="00624D3B">
        <w:t>R</w:t>
      </w:r>
      <w:r>
        <w:t>eal-</w:t>
      </w:r>
      <w:r w:rsidR="00624D3B">
        <w:t>T</w:t>
      </w:r>
      <w:r>
        <w:t xml:space="preserve">ime and in forward energy prices. </w:t>
      </w:r>
      <w:r w:rsidR="00624D3B">
        <w:t xml:space="preserve"> </w:t>
      </w:r>
      <w:r w:rsidR="00CE3353">
        <w:t xml:space="preserve">If </w:t>
      </w:r>
      <w:r w:rsidR="003F47E8">
        <w:t xml:space="preserve">ERCOT </w:t>
      </w:r>
      <w:r w:rsidR="00F44AC5">
        <w:t>continues the use of RUC beyond emergencies</w:t>
      </w:r>
      <w:r w:rsidR="00CE3353">
        <w:t xml:space="preserve">, then the message being sent to the market is that ERCOT expects dispatchable </w:t>
      </w:r>
      <w:r w:rsidR="00624D3B">
        <w:t>G</w:t>
      </w:r>
      <w:r w:rsidR="00CE3353">
        <w:t xml:space="preserve">eneration </w:t>
      </w:r>
      <w:r w:rsidR="00624D3B">
        <w:t>R</w:t>
      </w:r>
      <w:r w:rsidR="00CE3353">
        <w:t xml:space="preserve">esources to operate at a loss, in order to provide reliability </w:t>
      </w:r>
      <w:r w:rsidR="00793C47">
        <w:t xml:space="preserve">that market signals do not reflect, </w:t>
      </w:r>
      <w:r w:rsidR="00CE3353">
        <w:t xml:space="preserve">and that this market is unconcerned with whether dispatchable </w:t>
      </w:r>
      <w:r w:rsidR="00624D3B">
        <w:t>R</w:t>
      </w:r>
      <w:r w:rsidR="00CE3353">
        <w:t xml:space="preserve">esources are economic or not. </w:t>
      </w:r>
      <w:r w:rsidR="00624D3B">
        <w:t xml:space="preserve"> </w:t>
      </w:r>
      <w:r w:rsidR="00CE3353">
        <w:t xml:space="preserve">That message </w:t>
      </w:r>
      <w:r w:rsidR="00793C47">
        <w:t xml:space="preserve">runs </w:t>
      </w:r>
      <w:r w:rsidR="00CE3353">
        <w:t xml:space="preserve">counter to that espoused by the Texas Legislature in its enactment of SB 3, the directive sent by Governor Abbott in his letter to </w:t>
      </w:r>
      <w:r w:rsidR="00624D3B">
        <w:t>C</w:t>
      </w:r>
      <w:r w:rsidR="00CE3353">
        <w:t xml:space="preserve">ommissioners last July, and to the goals outlined by the Commission in its undertaking of market design and grid reliability reforms. </w:t>
      </w:r>
      <w:r>
        <w:t xml:space="preserve"> </w:t>
      </w:r>
      <w:r w:rsidR="00F44AC5">
        <w:t xml:space="preserve">TCPA strongly encourages the Commission and ERCOT to </w:t>
      </w:r>
      <w:r w:rsidR="00E30F84">
        <w:t>move quickly on</w:t>
      </w:r>
      <w:r w:rsidR="00466156">
        <w:t xml:space="preserve"> </w:t>
      </w:r>
      <w:r w:rsidR="00BB21C5">
        <w:t xml:space="preserve">a </w:t>
      </w:r>
      <w:r w:rsidR="00466156">
        <w:t xml:space="preserve">holistic </w:t>
      </w:r>
      <w:r w:rsidR="00624D3B">
        <w:lastRenderedPageBreak/>
        <w:t>R</w:t>
      </w:r>
      <w:r w:rsidR="00F44AC5">
        <w:t>esource adequacy solution that prioritizes system reliability and excess reserves through appropriate financial incentives.</w:t>
      </w:r>
    </w:p>
    <w:p w14:paraId="3269EC9C" w14:textId="36265584" w:rsidR="00CE3353" w:rsidRDefault="00292A86" w:rsidP="00624D3B">
      <w:pPr>
        <w:pStyle w:val="NormalArial"/>
        <w:spacing w:before="120" w:after="120"/>
      </w:pPr>
      <w:r>
        <w:t xml:space="preserve">ERCOT and </w:t>
      </w:r>
      <w:r w:rsidR="007513EC">
        <w:t xml:space="preserve">Stakeholders should </w:t>
      </w:r>
      <w:r w:rsidR="00793C47">
        <w:t xml:space="preserve">pursue </w:t>
      </w:r>
      <w:r w:rsidR="00CE3353">
        <w:t xml:space="preserve">a </w:t>
      </w:r>
      <w:r w:rsidR="00793C47">
        <w:t xml:space="preserve">sustainable market design that </w:t>
      </w:r>
      <w:r w:rsidR="00CE3353">
        <w:t>transparent</w:t>
      </w:r>
      <w:r w:rsidR="00793C47">
        <w:t>ly defines</w:t>
      </w:r>
      <w:r w:rsidR="00CE3353">
        <w:t xml:space="preserve"> </w:t>
      </w:r>
      <w:r w:rsidR="00793C47">
        <w:t>reliability objectives</w:t>
      </w:r>
      <w:r w:rsidR="00CE3353">
        <w:t xml:space="preserve"> </w:t>
      </w:r>
      <w:r w:rsidR="00916F6B">
        <w:t xml:space="preserve">and clearly delineates the reserve amount </w:t>
      </w:r>
      <w:r w:rsidR="00CE3353">
        <w:t xml:space="preserve">required from dispatchable </w:t>
      </w:r>
      <w:r w:rsidR="00624D3B">
        <w:t>R</w:t>
      </w:r>
      <w:r w:rsidR="00CE3353">
        <w:t>esources, so that market prices</w:t>
      </w:r>
      <w:r>
        <w:t xml:space="preserve"> and compensation</w:t>
      </w:r>
      <w:r w:rsidR="00CE3353">
        <w:t xml:space="preserve"> are reflective of </w:t>
      </w:r>
      <w:r>
        <w:t xml:space="preserve">the </w:t>
      </w:r>
      <w:r w:rsidR="00793C47">
        <w:t xml:space="preserve">risk tolerance and </w:t>
      </w:r>
      <w:r w:rsidR="00CE3353">
        <w:t>desired reliability</w:t>
      </w:r>
      <w:r>
        <w:t xml:space="preserve"> made clear by our </w:t>
      </w:r>
      <w:r w:rsidR="00624D3B">
        <w:t>C</w:t>
      </w:r>
      <w:r>
        <w:t>ustomers following Uri</w:t>
      </w:r>
      <w:r w:rsidR="00CE3353">
        <w:t xml:space="preserve">. </w:t>
      </w:r>
      <w:r w:rsidR="00624D3B">
        <w:t xml:space="preserve"> </w:t>
      </w:r>
      <w:r w:rsidR="00CE3353">
        <w:t xml:space="preserve">Markets work when transparent information is provided to all participants. </w:t>
      </w:r>
      <w:r w:rsidR="00624D3B">
        <w:t xml:space="preserve"> </w:t>
      </w:r>
      <w:r w:rsidR="00CE3353">
        <w:t>This NPRR</w:t>
      </w:r>
      <w:r w:rsidR="00466156">
        <w:t xml:space="preserve"> focuses on the </w:t>
      </w:r>
      <w:r w:rsidR="007513EC">
        <w:t>symptoms</w:t>
      </w:r>
      <w:r w:rsidR="00466156">
        <w:t xml:space="preserve"> without addressing</w:t>
      </w:r>
      <w:r w:rsidR="00CE3353">
        <w:t xml:space="preserve"> </w:t>
      </w:r>
      <w:r w:rsidR="00DA0410">
        <w:t>the root cause</w:t>
      </w:r>
      <w:r w:rsidR="00CE3353">
        <w:t xml:space="preserve">, and </w:t>
      </w:r>
      <w:r w:rsidR="00DD5F0F">
        <w:t>continuing to operate the grid with excessive use of RUC will</w:t>
      </w:r>
      <w:r w:rsidR="00CE3353">
        <w:t xml:space="preserve"> harm reliability</w:t>
      </w:r>
      <w:r w:rsidR="00DD5F0F">
        <w:t xml:space="preserve"> by overusing unnecessary </w:t>
      </w:r>
      <w:r w:rsidR="00624D3B">
        <w:t>R</w:t>
      </w:r>
      <w:r w:rsidR="00DD5F0F">
        <w:t>esources without appropriate compensation</w:t>
      </w:r>
      <w:r w:rsidR="00CE3353">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60D2C" w:rsidRPr="003C2624" w14:paraId="4E997F37" w14:textId="77777777" w:rsidTr="006662BB">
        <w:trPr>
          <w:trHeight w:val="350"/>
        </w:trPr>
        <w:tc>
          <w:tcPr>
            <w:tcW w:w="5000" w:type="pct"/>
            <w:tcBorders>
              <w:bottom w:val="single" w:sz="4" w:space="0" w:color="auto"/>
            </w:tcBorders>
            <w:shd w:val="clear" w:color="auto" w:fill="FFFFFF"/>
            <w:vAlign w:val="center"/>
          </w:tcPr>
          <w:p w14:paraId="071F15F1" w14:textId="77777777" w:rsidR="00E60D2C" w:rsidRPr="003C2624" w:rsidRDefault="00E60D2C" w:rsidP="006662BB">
            <w:pPr>
              <w:pStyle w:val="Header"/>
              <w:jc w:val="center"/>
              <w:rPr>
                <w:rFonts w:cs="Arial"/>
              </w:rPr>
            </w:pPr>
            <w:r w:rsidRPr="003C2624">
              <w:rPr>
                <w:rFonts w:cs="Arial"/>
              </w:rPr>
              <w:t>Revised Cover Page Language</w:t>
            </w:r>
          </w:p>
        </w:tc>
      </w:tr>
    </w:tbl>
    <w:p w14:paraId="71B23173" w14:textId="77777777" w:rsidR="00E60D2C" w:rsidRPr="003C2624" w:rsidRDefault="00E60D2C" w:rsidP="00E60D2C">
      <w:pPr>
        <w:pStyle w:val="BodyText"/>
        <w:rPr>
          <w:rFonts w:ascii="Arial" w:hAnsi="Arial" w:cs="Arial"/>
        </w:rPr>
      </w:pPr>
      <w:r w:rsidRPr="003C2624">
        <w:rPr>
          <w:rFonts w:ascii="Arial" w:hAnsi="Arial" w:cs="Arial"/>
        </w:rPr>
        <w:t>None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E60D2C" w:rsidRPr="003C2624" w14:paraId="547E117F" w14:textId="77777777" w:rsidTr="006662BB">
        <w:trPr>
          <w:trHeight w:val="350"/>
        </w:trPr>
        <w:tc>
          <w:tcPr>
            <w:tcW w:w="5000" w:type="pct"/>
            <w:tcBorders>
              <w:bottom w:val="single" w:sz="4" w:space="0" w:color="auto"/>
            </w:tcBorders>
            <w:shd w:val="clear" w:color="auto" w:fill="FFFFFF"/>
            <w:vAlign w:val="center"/>
          </w:tcPr>
          <w:p w14:paraId="5C200C20" w14:textId="77777777" w:rsidR="00E60D2C" w:rsidRPr="003C2624" w:rsidRDefault="00E60D2C" w:rsidP="006662BB">
            <w:pPr>
              <w:pStyle w:val="Header"/>
              <w:jc w:val="center"/>
              <w:rPr>
                <w:rFonts w:cs="Arial"/>
              </w:rPr>
            </w:pPr>
            <w:r w:rsidRPr="003C2624">
              <w:rPr>
                <w:rFonts w:cs="Arial"/>
              </w:rPr>
              <w:t>Revised Proposed Protocol Language</w:t>
            </w:r>
          </w:p>
        </w:tc>
      </w:tr>
    </w:tbl>
    <w:p w14:paraId="0372283B" w14:textId="77777777" w:rsidR="00E60D2C" w:rsidRPr="003C2624" w:rsidRDefault="00E60D2C" w:rsidP="00E60D2C">
      <w:pPr>
        <w:pStyle w:val="BodyText"/>
        <w:rPr>
          <w:rFonts w:ascii="Arial" w:hAnsi="Arial" w:cs="Arial"/>
        </w:rPr>
      </w:pPr>
      <w:r w:rsidRPr="003C2624">
        <w:rPr>
          <w:rFonts w:ascii="Arial" w:hAnsi="Arial" w:cs="Arial"/>
        </w:rPr>
        <w:t>None</w:t>
      </w:r>
    </w:p>
    <w:p w14:paraId="77AB711B" w14:textId="77777777" w:rsidR="00E60D2C" w:rsidRDefault="00E60D2C" w:rsidP="00624D3B">
      <w:pPr>
        <w:pStyle w:val="NormalArial"/>
        <w:spacing w:before="120" w:after="120"/>
      </w:pPr>
    </w:p>
    <w:sectPr w:rsidR="00E60D2C" w:rsidSect="002B50A3">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F8BC6" w14:textId="77777777" w:rsidR="00B62107" w:rsidRDefault="00B62107">
      <w:r>
        <w:separator/>
      </w:r>
    </w:p>
  </w:endnote>
  <w:endnote w:type="continuationSeparator" w:id="0">
    <w:p w14:paraId="3AE7DFFD" w14:textId="77777777" w:rsidR="00B62107" w:rsidRDefault="00B62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1BC98" w14:textId="7198D1C9" w:rsidR="00E60D2C" w:rsidRPr="00405997" w:rsidRDefault="00E60D2C" w:rsidP="00E60D2C">
    <w:pPr>
      <w:pStyle w:val="Footer"/>
      <w:tabs>
        <w:tab w:val="clear" w:pos="4320"/>
        <w:tab w:val="clear" w:pos="8640"/>
        <w:tab w:val="right" w:pos="9360"/>
      </w:tabs>
      <w:rPr>
        <w:rFonts w:ascii="Arial" w:hAnsi="Arial"/>
        <w:sz w:val="18"/>
        <w:lang w:val="fr-FR"/>
      </w:rPr>
    </w:pPr>
    <w:r>
      <w:rPr>
        <w:rFonts w:ascii="Arial" w:hAnsi="Arial"/>
        <w:sz w:val="18"/>
      </w:rPr>
      <w:fldChar w:fldCharType="begin"/>
    </w:r>
    <w:r w:rsidRPr="00405997">
      <w:rPr>
        <w:rFonts w:ascii="Arial" w:hAnsi="Arial"/>
        <w:sz w:val="18"/>
        <w:lang w:val="fr-FR"/>
      </w:rPr>
      <w:instrText xml:space="preserve"> FILENAME   \* MERGEFORMAT </w:instrText>
    </w:r>
    <w:r>
      <w:rPr>
        <w:rFonts w:ascii="Arial" w:hAnsi="Arial"/>
        <w:sz w:val="18"/>
      </w:rPr>
      <w:fldChar w:fldCharType="separate"/>
    </w:r>
    <w:r>
      <w:rPr>
        <w:rFonts w:ascii="Arial" w:hAnsi="Arial"/>
        <w:noProof/>
        <w:sz w:val="18"/>
        <w:lang w:val="fr-FR"/>
      </w:rPr>
      <w:t>1092NPRR-27 TCPA Comments 030822</w:t>
    </w:r>
    <w:r>
      <w:rPr>
        <w:rFonts w:ascii="Arial" w:hAnsi="Arial"/>
        <w:sz w:val="18"/>
      </w:rPr>
      <w:fldChar w:fldCharType="end"/>
    </w:r>
    <w:r w:rsidRPr="00405997">
      <w:rPr>
        <w:rFonts w:ascii="Arial" w:hAnsi="Arial"/>
        <w:sz w:val="18"/>
        <w:lang w:val="fr-FR"/>
      </w:rPr>
      <w:tab/>
      <w:t xml:space="preserve">Page </w:t>
    </w:r>
    <w:r>
      <w:rPr>
        <w:rFonts w:ascii="Arial" w:hAnsi="Arial"/>
        <w:sz w:val="18"/>
      </w:rPr>
      <w:fldChar w:fldCharType="begin"/>
    </w:r>
    <w:r w:rsidRPr="00664E8C">
      <w:rPr>
        <w:rFonts w:ascii="Arial" w:hAnsi="Arial"/>
        <w:sz w:val="18"/>
        <w:lang w:val="fr-FR"/>
      </w:rPr>
      <w:instrText xml:space="preserve"> PAGE </w:instrText>
    </w:r>
    <w:r>
      <w:rPr>
        <w:rFonts w:ascii="Arial" w:hAnsi="Arial"/>
        <w:sz w:val="18"/>
      </w:rPr>
      <w:fldChar w:fldCharType="separate"/>
    </w:r>
    <w:r>
      <w:rPr>
        <w:rFonts w:ascii="Arial" w:hAnsi="Arial"/>
        <w:sz w:val="18"/>
      </w:rPr>
      <w:t>8</w:t>
    </w:r>
    <w:r>
      <w:rPr>
        <w:rFonts w:ascii="Arial" w:hAnsi="Arial"/>
        <w:sz w:val="18"/>
      </w:rPr>
      <w:fldChar w:fldCharType="end"/>
    </w:r>
    <w:r w:rsidRPr="00405997">
      <w:rPr>
        <w:rFonts w:ascii="Arial" w:hAnsi="Arial"/>
        <w:sz w:val="18"/>
        <w:lang w:val="fr-FR"/>
      </w:rPr>
      <w:t xml:space="preserve"> of </w:t>
    </w:r>
    <w:r>
      <w:rPr>
        <w:rFonts w:ascii="Arial" w:hAnsi="Arial"/>
        <w:sz w:val="18"/>
      </w:rPr>
      <w:fldChar w:fldCharType="begin"/>
    </w:r>
    <w:r w:rsidRPr="00664E8C">
      <w:rPr>
        <w:rFonts w:ascii="Arial" w:hAnsi="Arial"/>
        <w:sz w:val="18"/>
        <w:lang w:val="fr-FR"/>
      </w:rPr>
      <w:instrText xml:space="preserve"> NUMPAGES </w:instrText>
    </w:r>
    <w:r>
      <w:rPr>
        <w:rFonts w:ascii="Arial" w:hAnsi="Arial"/>
        <w:sz w:val="18"/>
      </w:rPr>
      <w:fldChar w:fldCharType="separate"/>
    </w:r>
    <w:r>
      <w:rPr>
        <w:rFonts w:ascii="Arial" w:hAnsi="Arial"/>
        <w:sz w:val="18"/>
      </w:rPr>
      <w:t>9</w:t>
    </w:r>
    <w:r>
      <w:rPr>
        <w:rFonts w:ascii="Arial" w:hAnsi="Arial"/>
        <w:sz w:val="18"/>
      </w:rPr>
      <w:fldChar w:fldCharType="end"/>
    </w:r>
  </w:p>
  <w:p w14:paraId="190DC5AF" w14:textId="3D70159D" w:rsidR="00EE6681" w:rsidRPr="00E60D2C" w:rsidRDefault="00E60D2C" w:rsidP="00E60D2C">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C76C5" w14:textId="77777777" w:rsidR="00B62107" w:rsidRDefault="00B62107">
      <w:r>
        <w:separator/>
      </w:r>
    </w:p>
  </w:footnote>
  <w:footnote w:type="continuationSeparator" w:id="0">
    <w:p w14:paraId="1E163C7C" w14:textId="77777777" w:rsidR="00B62107" w:rsidRDefault="00B621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0BFD4" w14:textId="46D487DB" w:rsidR="00EE6681" w:rsidRPr="00135096" w:rsidRDefault="00EE6681" w:rsidP="00135096">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AE0537E"/>
    <w:multiLevelType w:val="hybridMultilevel"/>
    <w:tmpl w:val="FCD051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DB5056"/>
    <w:multiLevelType w:val="hybridMultilevel"/>
    <w:tmpl w:val="771878A2"/>
    <w:lvl w:ilvl="0" w:tplc="369A331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991B6F"/>
    <w:multiLevelType w:val="hybridMultilevel"/>
    <w:tmpl w:val="3D6256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3AC8"/>
    <w:rsid w:val="00006DFF"/>
    <w:rsid w:val="000227DA"/>
    <w:rsid w:val="00024027"/>
    <w:rsid w:val="00027344"/>
    <w:rsid w:val="00027AE7"/>
    <w:rsid w:val="000310A7"/>
    <w:rsid w:val="00037668"/>
    <w:rsid w:val="00040D33"/>
    <w:rsid w:val="00064260"/>
    <w:rsid w:val="00075A94"/>
    <w:rsid w:val="000A76DC"/>
    <w:rsid w:val="000B0EFA"/>
    <w:rsid w:val="000C05EE"/>
    <w:rsid w:val="000C730C"/>
    <w:rsid w:val="000D01CA"/>
    <w:rsid w:val="000D06A3"/>
    <w:rsid w:val="000D5B27"/>
    <w:rsid w:val="000D7B0B"/>
    <w:rsid w:val="000E77CC"/>
    <w:rsid w:val="000F40CB"/>
    <w:rsid w:val="000F545A"/>
    <w:rsid w:val="000F6DE5"/>
    <w:rsid w:val="00106ABC"/>
    <w:rsid w:val="00112CAE"/>
    <w:rsid w:val="0012331E"/>
    <w:rsid w:val="00132855"/>
    <w:rsid w:val="0013296E"/>
    <w:rsid w:val="00135096"/>
    <w:rsid w:val="001358C8"/>
    <w:rsid w:val="00141173"/>
    <w:rsid w:val="001418BC"/>
    <w:rsid w:val="00150E2B"/>
    <w:rsid w:val="00152993"/>
    <w:rsid w:val="00170297"/>
    <w:rsid w:val="00197027"/>
    <w:rsid w:val="001972C1"/>
    <w:rsid w:val="001A0889"/>
    <w:rsid w:val="001A227D"/>
    <w:rsid w:val="001A6ACC"/>
    <w:rsid w:val="001B5464"/>
    <w:rsid w:val="001D1100"/>
    <w:rsid w:val="001E2032"/>
    <w:rsid w:val="001E5A47"/>
    <w:rsid w:val="00202693"/>
    <w:rsid w:val="00210332"/>
    <w:rsid w:val="00217A8D"/>
    <w:rsid w:val="002214F0"/>
    <w:rsid w:val="002237C2"/>
    <w:rsid w:val="002356E3"/>
    <w:rsid w:val="002476DD"/>
    <w:rsid w:val="00260EEE"/>
    <w:rsid w:val="00262711"/>
    <w:rsid w:val="00283FC9"/>
    <w:rsid w:val="002870E3"/>
    <w:rsid w:val="00292A86"/>
    <w:rsid w:val="002B50A3"/>
    <w:rsid w:val="002B7B4E"/>
    <w:rsid w:val="002C5E72"/>
    <w:rsid w:val="002D3FCF"/>
    <w:rsid w:val="002D50DA"/>
    <w:rsid w:val="002E0327"/>
    <w:rsid w:val="002E10DC"/>
    <w:rsid w:val="003010C0"/>
    <w:rsid w:val="0031025C"/>
    <w:rsid w:val="00322613"/>
    <w:rsid w:val="00326C8C"/>
    <w:rsid w:val="003301FB"/>
    <w:rsid w:val="00330554"/>
    <w:rsid w:val="00332A97"/>
    <w:rsid w:val="00334200"/>
    <w:rsid w:val="00335605"/>
    <w:rsid w:val="0034247E"/>
    <w:rsid w:val="0034287B"/>
    <w:rsid w:val="0034555D"/>
    <w:rsid w:val="003478CC"/>
    <w:rsid w:val="00347D81"/>
    <w:rsid w:val="00350C00"/>
    <w:rsid w:val="00350C27"/>
    <w:rsid w:val="003624F3"/>
    <w:rsid w:val="00366113"/>
    <w:rsid w:val="003773EF"/>
    <w:rsid w:val="00382DC1"/>
    <w:rsid w:val="00390C2E"/>
    <w:rsid w:val="00391575"/>
    <w:rsid w:val="0039522F"/>
    <w:rsid w:val="003A41C2"/>
    <w:rsid w:val="003A530B"/>
    <w:rsid w:val="003A5888"/>
    <w:rsid w:val="003B051B"/>
    <w:rsid w:val="003B653B"/>
    <w:rsid w:val="003C270C"/>
    <w:rsid w:val="003D0994"/>
    <w:rsid w:val="003D21E5"/>
    <w:rsid w:val="003D6586"/>
    <w:rsid w:val="003D7713"/>
    <w:rsid w:val="003D78F9"/>
    <w:rsid w:val="003F47E8"/>
    <w:rsid w:val="00402FD5"/>
    <w:rsid w:val="0040607E"/>
    <w:rsid w:val="00412F3E"/>
    <w:rsid w:val="00414BA7"/>
    <w:rsid w:val="00422CC6"/>
    <w:rsid w:val="00423824"/>
    <w:rsid w:val="00426132"/>
    <w:rsid w:val="0043073D"/>
    <w:rsid w:val="0043567D"/>
    <w:rsid w:val="004372F6"/>
    <w:rsid w:val="004550A9"/>
    <w:rsid w:val="00466156"/>
    <w:rsid w:val="00471C4F"/>
    <w:rsid w:val="00473D36"/>
    <w:rsid w:val="00474C21"/>
    <w:rsid w:val="004849E9"/>
    <w:rsid w:val="0049058A"/>
    <w:rsid w:val="0049110B"/>
    <w:rsid w:val="004A0F36"/>
    <w:rsid w:val="004A3544"/>
    <w:rsid w:val="004B5B39"/>
    <w:rsid w:val="004B7B90"/>
    <w:rsid w:val="004C0D1E"/>
    <w:rsid w:val="004C19D6"/>
    <w:rsid w:val="004D4015"/>
    <w:rsid w:val="004E289D"/>
    <w:rsid w:val="004E2C19"/>
    <w:rsid w:val="004F2314"/>
    <w:rsid w:val="004F3FC6"/>
    <w:rsid w:val="0051293B"/>
    <w:rsid w:val="005261B5"/>
    <w:rsid w:val="0053053D"/>
    <w:rsid w:val="00541626"/>
    <w:rsid w:val="005600F4"/>
    <w:rsid w:val="00577468"/>
    <w:rsid w:val="00590CAF"/>
    <w:rsid w:val="005C42BD"/>
    <w:rsid w:val="005C5E78"/>
    <w:rsid w:val="005C5E91"/>
    <w:rsid w:val="005D284C"/>
    <w:rsid w:val="005D6561"/>
    <w:rsid w:val="005E0A92"/>
    <w:rsid w:val="005E2532"/>
    <w:rsid w:val="005F4969"/>
    <w:rsid w:val="006030F5"/>
    <w:rsid w:val="00604512"/>
    <w:rsid w:val="00611C98"/>
    <w:rsid w:val="00612917"/>
    <w:rsid w:val="00621160"/>
    <w:rsid w:val="00622008"/>
    <w:rsid w:val="00624D3B"/>
    <w:rsid w:val="00633E23"/>
    <w:rsid w:val="0065646B"/>
    <w:rsid w:val="00662A6D"/>
    <w:rsid w:val="00664E8C"/>
    <w:rsid w:val="00673B94"/>
    <w:rsid w:val="006779A9"/>
    <w:rsid w:val="00680AC6"/>
    <w:rsid w:val="006835D8"/>
    <w:rsid w:val="00684BFA"/>
    <w:rsid w:val="00687ACF"/>
    <w:rsid w:val="00692293"/>
    <w:rsid w:val="00694573"/>
    <w:rsid w:val="006968AE"/>
    <w:rsid w:val="006B1A63"/>
    <w:rsid w:val="006C316E"/>
    <w:rsid w:val="006D0274"/>
    <w:rsid w:val="006D0F7C"/>
    <w:rsid w:val="006D7073"/>
    <w:rsid w:val="006D7502"/>
    <w:rsid w:val="006F5DE5"/>
    <w:rsid w:val="006F78FA"/>
    <w:rsid w:val="007020DF"/>
    <w:rsid w:val="00703F64"/>
    <w:rsid w:val="007066E9"/>
    <w:rsid w:val="007100B6"/>
    <w:rsid w:val="007102F1"/>
    <w:rsid w:val="00722EA2"/>
    <w:rsid w:val="00726811"/>
    <w:rsid w:val="007269C4"/>
    <w:rsid w:val="00727881"/>
    <w:rsid w:val="007328A0"/>
    <w:rsid w:val="0074209E"/>
    <w:rsid w:val="00747901"/>
    <w:rsid w:val="007513EC"/>
    <w:rsid w:val="0075765C"/>
    <w:rsid w:val="00765FB1"/>
    <w:rsid w:val="00776954"/>
    <w:rsid w:val="00780C0A"/>
    <w:rsid w:val="00793C47"/>
    <w:rsid w:val="007B5278"/>
    <w:rsid w:val="007C732F"/>
    <w:rsid w:val="007D4646"/>
    <w:rsid w:val="007E5A3E"/>
    <w:rsid w:val="007F0F1C"/>
    <w:rsid w:val="007F2CA8"/>
    <w:rsid w:val="007F4F55"/>
    <w:rsid w:val="007F7161"/>
    <w:rsid w:val="007F7661"/>
    <w:rsid w:val="00801EFA"/>
    <w:rsid w:val="0085559E"/>
    <w:rsid w:val="0085594A"/>
    <w:rsid w:val="00866E89"/>
    <w:rsid w:val="00873D7A"/>
    <w:rsid w:val="00874A96"/>
    <w:rsid w:val="008757D7"/>
    <w:rsid w:val="00882959"/>
    <w:rsid w:val="00890FFA"/>
    <w:rsid w:val="00891B56"/>
    <w:rsid w:val="008952FB"/>
    <w:rsid w:val="00896B1B"/>
    <w:rsid w:val="008A2104"/>
    <w:rsid w:val="008A4E56"/>
    <w:rsid w:val="008B0872"/>
    <w:rsid w:val="008E37D0"/>
    <w:rsid w:val="008E559E"/>
    <w:rsid w:val="008F246E"/>
    <w:rsid w:val="00906FB0"/>
    <w:rsid w:val="009102B8"/>
    <w:rsid w:val="009115B9"/>
    <w:rsid w:val="00916080"/>
    <w:rsid w:val="00916F6B"/>
    <w:rsid w:val="009214C3"/>
    <w:rsid w:val="00921A68"/>
    <w:rsid w:val="00921AEF"/>
    <w:rsid w:val="00923814"/>
    <w:rsid w:val="00926418"/>
    <w:rsid w:val="00941344"/>
    <w:rsid w:val="00944688"/>
    <w:rsid w:val="00947ECE"/>
    <w:rsid w:val="00972201"/>
    <w:rsid w:val="00972AB4"/>
    <w:rsid w:val="009841A6"/>
    <w:rsid w:val="009A3A90"/>
    <w:rsid w:val="009A560A"/>
    <w:rsid w:val="009A6858"/>
    <w:rsid w:val="009B1B8A"/>
    <w:rsid w:val="009C716B"/>
    <w:rsid w:val="009E585C"/>
    <w:rsid w:val="009F6049"/>
    <w:rsid w:val="009F68BF"/>
    <w:rsid w:val="00A015C4"/>
    <w:rsid w:val="00A15172"/>
    <w:rsid w:val="00A24002"/>
    <w:rsid w:val="00A27BC8"/>
    <w:rsid w:val="00A32A09"/>
    <w:rsid w:val="00A35BA4"/>
    <w:rsid w:val="00A37C95"/>
    <w:rsid w:val="00A57BF5"/>
    <w:rsid w:val="00A630EC"/>
    <w:rsid w:val="00A71A88"/>
    <w:rsid w:val="00A72264"/>
    <w:rsid w:val="00A72926"/>
    <w:rsid w:val="00A81E0C"/>
    <w:rsid w:val="00A82BD2"/>
    <w:rsid w:val="00A83DF8"/>
    <w:rsid w:val="00A93577"/>
    <w:rsid w:val="00AA1D39"/>
    <w:rsid w:val="00AC378D"/>
    <w:rsid w:val="00AD1BA8"/>
    <w:rsid w:val="00AE216D"/>
    <w:rsid w:val="00AF0BE9"/>
    <w:rsid w:val="00AF1D22"/>
    <w:rsid w:val="00B12489"/>
    <w:rsid w:val="00B174AC"/>
    <w:rsid w:val="00B30DC9"/>
    <w:rsid w:val="00B5080A"/>
    <w:rsid w:val="00B62107"/>
    <w:rsid w:val="00B943AE"/>
    <w:rsid w:val="00BA4F8F"/>
    <w:rsid w:val="00BB21C5"/>
    <w:rsid w:val="00BD58D7"/>
    <w:rsid w:val="00BD5DAA"/>
    <w:rsid w:val="00BD7258"/>
    <w:rsid w:val="00BF109E"/>
    <w:rsid w:val="00BF233A"/>
    <w:rsid w:val="00C0598D"/>
    <w:rsid w:val="00C11956"/>
    <w:rsid w:val="00C20E20"/>
    <w:rsid w:val="00C220E3"/>
    <w:rsid w:val="00C262F3"/>
    <w:rsid w:val="00C27C1A"/>
    <w:rsid w:val="00C52134"/>
    <w:rsid w:val="00C52EB8"/>
    <w:rsid w:val="00C602E5"/>
    <w:rsid w:val="00C748FD"/>
    <w:rsid w:val="00C81198"/>
    <w:rsid w:val="00CA626A"/>
    <w:rsid w:val="00CB1F87"/>
    <w:rsid w:val="00CB574E"/>
    <w:rsid w:val="00CE3353"/>
    <w:rsid w:val="00CF0FF8"/>
    <w:rsid w:val="00CF2551"/>
    <w:rsid w:val="00D0266F"/>
    <w:rsid w:val="00D03B6B"/>
    <w:rsid w:val="00D051A0"/>
    <w:rsid w:val="00D0642C"/>
    <w:rsid w:val="00D2056F"/>
    <w:rsid w:val="00D223AD"/>
    <w:rsid w:val="00D262BB"/>
    <w:rsid w:val="00D4046E"/>
    <w:rsid w:val="00D4362F"/>
    <w:rsid w:val="00D57B21"/>
    <w:rsid w:val="00D73BBB"/>
    <w:rsid w:val="00D83B04"/>
    <w:rsid w:val="00D866C5"/>
    <w:rsid w:val="00D86FFA"/>
    <w:rsid w:val="00D920C1"/>
    <w:rsid w:val="00D97D14"/>
    <w:rsid w:val="00DA0410"/>
    <w:rsid w:val="00DA2B0A"/>
    <w:rsid w:val="00DA5ED1"/>
    <w:rsid w:val="00DB01EE"/>
    <w:rsid w:val="00DB1963"/>
    <w:rsid w:val="00DB407B"/>
    <w:rsid w:val="00DC50A7"/>
    <w:rsid w:val="00DC7524"/>
    <w:rsid w:val="00DD24EF"/>
    <w:rsid w:val="00DD4739"/>
    <w:rsid w:val="00DD5F0F"/>
    <w:rsid w:val="00DE5F33"/>
    <w:rsid w:val="00DF10D3"/>
    <w:rsid w:val="00E07B54"/>
    <w:rsid w:val="00E105A6"/>
    <w:rsid w:val="00E11F78"/>
    <w:rsid w:val="00E14EC3"/>
    <w:rsid w:val="00E16AB6"/>
    <w:rsid w:val="00E24DE2"/>
    <w:rsid w:val="00E30F84"/>
    <w:rsid w:val="00E52AB7"/>
    <w:rsid w:val="00E559B0"/>
    <w:rsid w:val="00E57979"/>
    <w:rsid w:val="00E60D2C"/>
    <w:rsid w:val="00E621E1"/>
    <w:rsid w:val="00E77C12"/>
    <w:rsid w:val="00EA55ED"/>
    <w:rsid w:val="00EA69CF"/>
    <w:rsid w:val="00EA6F3C"/>
    <w:rsid w:val="00EB493C"/>
    <w:rsid w:val="00EB7523"/>
    <w:rsid w:val="00EC0D49"/>
    <w:rsid w:val="00EC2B29"/>
    <w:rsid w:val="00EC55B3"/>
    <w:rsid w:val="00EE5C6C"/>
    <w:rsid w:val="00EE6681"/>
    <w:rsid w:val="00EF50F8"/>
    <w:rsid w:val="00F00A0E"/>
    <w:rsid w:val="00F04FC4"/>
    <w:rsid w:val="00F425E9"/>
    <w:rsid w:val="00F44AC5"/>
    <w:rsid w:val="00F574F8"/>
    <w:rsid w:val="00F63777"/>
    <w:rsid w:val="00F67008"/>
    <w:rsid w:val="00F6777E"/>
    <w:rsid w:val="00F77549"/>
    <w:rsid w:val="00F809DE"/>
    <w:rsid w:val="00F96FB2"/>
    <w:rsid w:val="00FA1C9D"/>
    <w:rsid w:val="00FA47B1"/>
    <w:rsid w:val="00FA6485"/>
    <w:rsid w:val="00FB51D8"/>
    <w:rsid w:val="00FB70FE"/>
    <w:rsid w:val="00FD08E8"/>
    <w:rsid w:val="00FD2458"/>
    <w:rsid w:val="00FD467F"/>
    <w:rsid w:val="00FE41B7"/>
    <w:rsid w:val="00FF1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5FBB6"/>
  <w15:docId w15:val="{D05E7D2B-2B85-40A5-8C4E-89010C576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51293B"/>
    <w:rPr>
      <w:sz w:val="20"/>
      <w:szCs w:val="20"/>
    </w:rPr>
  </w:style>
  <w:style w:type="character" w:customStyle="1" w:styleId="FootnoteTextChar">
    <w:name w:val="Footnote Text Char"/>
    <w:basedOn w:val="DefaultParagraphFont"/>
    <w:link w:val="FootnoteText"/>
    <w:rsid w:val="0051293B"/>
  </w:style>
  <w:style w:type="character" w:styleId="FootnoteReference">
    <w:name w:val="footnote reference"/>
    <w:rsid w:val="0051293B"/>
    <w:rPr>
      <w:vertAlign w:val="superscript"/>
    </w:rPr>
  </w:style>
  <w:style w:type="character" w:styleId="UnresolvedMention">
    <w:name w:val="Unresolved Mention"/>
    <w:uiPriority w:val="99"/>
    <w:semiHidden/>
    <w:unhideWhenUsed/>
    <w:rsid w:val="0051293B"/>
    <w:rPr>
      <w:color w:val="605E5C"/>
      <w:shd w:val="clear" w:color="auto" w:fill="E1DFDD"/>
    </w:rPr>
  </w:style>
  <w:style w:type="paragraph" w:styleId="Revision">
    <w:name w:val="Revision"/>
    <w:hidden/>
    <w:uiPriority w:val="99"/>
    <w:semiHidden/>
    <w:rsid w:val="00217A8D"/>
    <w:rPr>
      <w:sz w:val="24"/>
      <w:szCs w:val="24"/>
    </w:rPr>
  </w:style>
  <w:style w:type="character" w:styleId="FollowedHyperlink">
    <w:name w:val="FollowedHyperlink"/>
    <w:rsid w:val="0065646B"/>
    <w:rPr>
      <w:color w:val="954F72"/>
      <w:u w:val="single"/>
    </w:rPr>
  </w:style>
  <w:style w:type="character" w:customStyle="1" w:styleId="NormalArialChar">
    <w:name w:val="Normal+Arial Char"/>
    <w:link w:val="NormalArial"/>
    <w:rsid w:val="00027AE7"/>
    <w:rPr>
      <w:rFonts w:ascii="Arial" w:hAnsi="Arial"/>
      <w:sz w:val="24"/>
      <w:szCs w:val="24"/>
    </w:rPr>
  </w:style>
  <w:style w:type="character" w:customStyle="1" w:styleId="HeaderChar">
    <w:name w:val="Header Char"/>
    <w:link w:val="Header"/>
    <w:rsid w:val="00027AE7"/>
    <w:rPr>
      <w:rFonts w:ascii="Arial" w:hAnsi="Arial"/>
      <w:b/>
      <w:bCs/>
      <w:sz w:val="24"/>
      <w:szCs w:val="24"/>
    </w:rPr>
  </w:style>
  <w:style w:type="character" w:customStyle="1" w:styleId="BodyTextChar">
    <w:name w:val="Body Text Char"/>
    <w:aliases w:val="Char Char Char Char Char Char Char,Char Char Char Char Char Char Charh2 Char,... Char,Body Text Char Char Char,Body Text Char1 Char Char Char,Body Text Char Char Char Char Char,Char Char Char Char Char Cha Char"/>
    <w:link w:val="BodyText"/>
    <w:rsid w:val="00027AE7"/>
    <w:rPr>
      <w:sz w:val="24"/>
      <w:szCs w:val="24"/>
    </w:rPr>
  </w:style>
  <w:style w:type="paragraph" w:customStyle="1" w:styleId="xmsonormal">
    <w:name w:val="x_msonormal"/>
    <w:basedOn w:val="Normal"/>
    <w:rsid w:val="00027AE7"/>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24977">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0426C-55BA-43F0-B7A4-8F4A0D913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6946</CharactersWithSpaces>
  <SharedDoc>false</SharedDoc>
  <HLinks>
    <vt:vector size="48" baseType="variant">
      <vt:variant>
        <vt:i4>4128833</vt:i4>
      </vt:variant>
      <vt:variant>
        <vt:i4>3</vt:i4>
      </vt:variant>
      <vt:variant>
        <vt:i4>0</vt:i4>
      </vt:variant>
      <vt:variant>
        <vt:i4>5</vt:i4>
      </vt:variant>
      <vt:variant>
        <vt:lpwstr>mailto:Ian.Haley@VistraCorp.com</vt:lpwstr>
      </vt:variant>
      <vt:variant>
        <vt:lpwstr/>
      </vt:variant>
      <vt:variant>
        <vt:i4>1048647</vt:i4>
      </vt:variant>
      <vt:variant>
        <vt:i4>0</vt:i4>
      </vt:variant>
      <vt:variant>
        <vt:i4>0</vt:i4>
      </vt:variant>
      <vt:variant>
        <vt:i4>5</vt:i4>
      </vt:variant>
      <vt:variant>
        <vt:lpwstr>http://www.ercot.com/mktrules/issues/NPRR1092</vt:lpwstr>
      </vt:variant>
      <vt:variant>
        <vt:lpwstr/>
      </vt:variant>
      <vt:variant>
        <vt:i4>3801193</vt:i4>
      </vt:variant>
      <vt:variant>
        <vt:i4>15</vt:i4>
      </vt:variant>
      <vt:variant>
        <vt:i4>0</vt:i4>
      </vt:variant>
      <vt:variant>
        <vt:i4>5</vt:i4>
      </vt:variant>
      <vt:variant>
        <vt:lpwstr>https://www.ercot.com/files/docs/2012/07/18/416nprr_34_board_report_071712.doc</vt:lpwstr>
      </vt:variant>
      <vt:variant>
        <vt:lpwstr/>
      </vt:variant>
      <vt:variant>
        <vt:i4>851981</vt:i4>
      </vt:variant>
      <vt:variant>
        <vt:i4>12</vt:i4>
      </vt:variant>
      <vt:variant>
        <vt:i4>0</vt:i4>
      </vt:variant>
      <vt:variant>
        <vt:i4>5</vt:i4>
      </vt:variant>
      <vt:variant>
        <vt:lpwstr>https://interchange.puc.texas.gov/Documents/52373_246_1165964.PDF</vt:lpwstr>
      </vt:variant>
      <vt:variant>
        <vt:lpwstr/>
      </vt:variant>
      <vt:variant>
        <vt:i4>1376296</vt:i4>
      </vt:variant>
      <vt:variant>
        <vt:i4>9</vt:i4>
      </vt:variant>
      <vt:variant>
        <vt:i4>0</vt:i4>
      </vt:variant>
      <vt:variant>
        <vt:i4>5</vt:i4>
      </vt:variant>
      <vt:variant>
        <vt:lpwstr>https://gov.texas.gov/uploads/files/press/SCAN_20210706130409.pdf</vt:lpwstr>
      </vt:variant>
      <vt:variant>
        <vt:lpwstr/>
      </vt:variant>
      <vt:variant>
        <vt:i4>1507413</vt:i4>
      </vt:variant>
      <vt:variant>
        <vt:i4>6</vt:i4>
      </vt:variant>
      <vt:variant>
        <vt:i4>0</vt:i4>
      </vt:variant>
      <vt:variant>
        <vt:i4>5</vt:i4>
      </vt:variant>
      <vt:variant>
        <vt:lpwstr>https://www.ercot.com/files/docs/2022/01/31/15. ERCOT Reports.zip</vt:lpwstr>
      </vt:variant>
      <vt:variant>
        <vt:lpwstr/>
      </vt:variant>
      <vt:variant>
        <vt:i4>6684784</vt:i4>
      </vt:variant>
      <vt:variant>
        <vt:i4>3</vt:i4>
      </vt:variant>
      <vt:variant>
        <vt:i4>0</vt:i4>
      </vt:variant>
      <vt:variant>
        <vt:i4>5</vt:i4>
      </vt:variant>
      <vt:variant>
        <vt:lpwstr>https://www.ercot.com/news/release?id=76fc832e-5306-3d59-9a58-abaa6fa1a4e2</vt:lpwstr>
      </vt:variant>
      <vt:variant>
        <vt:lpwstr/>
      </vt:variant>
      <vt:variant>
        <vt:i4>8060978</vt:i4>
      </vt:variant>
      <vt:variant>
        <vt:i4>0</vt:i4>
      </vt:variant>
      <vt:variant>
        <vt:i4>0</vt:i4>
      </vt:variant>
      <vt:variant>
        <vt:i4>5</vt:i4>
      </vt:variant>
      <vt:variant>
        <vt:lpwstr>https://www.ercot.com/files/docs/2016/10/12/5_-_Overview_of_the_RUC_Process_for_QMWG_-_Final.pptx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C Phillips</cp:lastModifiedBy>
  <cp:revision>4</cp:revision>
  <cp:lastPrinted>2022-02-17T23:20:00Z</cp:lastPrinted>
  <dcterms:created xsi:type="dcterms:W3CDTF">2022-03-09T03:12:00Z</dcterms:created>
  <dcterms:modified xsi:type="dcterms:W3CDTF">2022-03-09T03:16:00Z</dcterms:modified>
</cp:coreProperties>
</file>