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3C2624" w14:paraId="3D29DFA2" w14:textId="77777777">
        <w:tblPrEx>
          <w:tblCellMar>
            <w:top w:w="0" w:type="dxa"/>
            <w:bottom w:w="0" w:type="dxa"/>
          </w:tblCellMar>
        </w:tblPrEx>
        <w:tc>
          <w:tcPr>
            <w:tcW w:w="1620" w:type="dxa"/>
            <w:tcBorders>
              <w:bottom w:val="single" w:sz="4" w:space="0" w:color="auto"/>
            </w:tcBorders>
            <w:shd w:val="clear" w:color="auto" w:fill="FFFFFF"/>
            <w:vAlign w:val="center"/>
          </w:tcPr>
          <w:p w14:paraId="48B0DE1D" w14:textId="77777777" w:rsidR="00152993" w:rsidRPr="003C2624" w:rsidRDefault="00EE6681">
            <w:pPr>
              <w:pStyle w:val="Header"/>
              <w:rPr>
                <w:rFonts w:cs="Arial"/>
                <w:sz w:val="22"/>
              </w:rPr>
            </w:pPr>
            <w:r w:rsidRPr="003C2624">
              <w:rPr>
                <w:rFonts w:cs="Arial"/>
              </w:rPr>
              <w:t>N</w:t>
            </w:r>
            <w:r w:rsidR="00152993" w:rsidRPr="003C2624">
              <w:rPr>
                <w:rFonts w:cs="Arial"/>
              </w:rPr>
              <w:t>PRR Number</w:t>
            </w:r>
          </w:p>
        </w:tc>
        <w:tc>
          <w:tcPr>
            <w:tcW w:w="1260" w:type="dxa"/>
            <w:tcBorders>
              <w:bottom w:val="single" w:sz="4" w:space="0" w:color="auto"/>
            </w:tcBorders>
            <w:vAlign w:val="center"/>
          </w:tcPr>
          <w:p w14:paraId="4445E20A" w14:textId="77777777" w:rsidR="00152993" w:rsidRPr="003C2624" w:rsidRDefault="007100B6">
            <w:pPr>
              <w:pStyle w:val="Header"/>
              <w:rPr>
                <w:rFonts w:cs="Arial"/>
              </w:rPr>
            </w:pPr>
            <w:hyperlink r:id="rId8" w:history="1">
              <w:r w:rsidRPr="003C2624">
                <w:rPr>
                  <w:rStyle w:val="Hyperlink"/>
                  <w:rFonts w:cs="Arial"/>
                </w:rPr>
                <w:t>1092</w:t>
              </w:r>
            </w:hyperlink>
          </w:p>
        </w:tc>
        <w:tc>
          <w:tcPr>
            <w:tcW w:w="900" w:type="dxa"/>
            <w:tcBorders>
              <w:bottom w:val="single" w:sz="4" w:space="0" w:color="auto"/>
            </w:tcBorders>
            <w:shd w:val="clear" w:color="auto" w:fill="FFFFFF"/>
            <w:vAlign w:val="center"/>
          </w:tcPr>
          <w:p w14:paraId="47FD7BDD" w14:textId="77777777" w:rsidR="00152993" w:rsidRPr="003C2624" w:rsidRDefault="00EE6681">
            <w:pPr>
              <w:pStyle w:val="Header"/>
              <w:rPr>
                <w:rFonts w:cs="Arial"/>
              </w:rPr>
            </w:pPr>
            <w:r w:rsidRPr="003C2624">
              <w:rPr>
                <w:rFonts w:cs="Arial"/>
              </w:rPr>
              <w:t>N</w:t>
            </w:r>
            <w:r w:rsidR="00152993" w:rsidRPr="003C2624">
              <w:rPr>
                <w:rFonts w:cs="Arial"/>
              </w:rPr>
              <w:t>PRR Title</w:t>
            </w:r>
          </w:p>
        </w:tc>
        <w:tc>
          <w:tcPr>
            <w:tcW w:w="6660" w:type="dxa"/>
            <w:tcBorders>
              <w:bottom w:val="single" w:sz="4" w:space="0" w:color="auto"/>
            </w:tcBorders>
            <w:vAlign w:val="center"/>
          </w:tcPr>
          <w:p w14:paraId="6285AC25" w14:textId="77777777" w:rsidR="00152993" w:rsidRPr="003C2624" w:rsidRDefault="007100B6">
            <w:pPr>
              <w:pStyle w:val="Header"/>
              <w:rPr>
                <w:rFonts w:cs="Arial"/>
              </w:rPr>
            </w:pPr>
            <w:r w:rsidRPr="003C2624">
              <w:rPr>
                <w:rFonts w:cs="Arial"/>
              </w:rPr>
              <w:t>Reduce RUC Offer Floor and Remove RUC Opt-Out Provision</w:t>
            </w:r>
          </w:p>
        </w:tc>
      </w:tr>
      <w:tr w:rsidR="00152993" w:rsidRPr="003C2624" w14:paraId="05C7FD8D"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0A751BAD" w14:textId="77777777" w:rsidR="00152993" w:rsidRPr="003C2624" w:rsidRDefault="00152993">
            <w:pPr>
              <w:pStyle w:val="NormalArial"/>
              <w:rPr>
                <w:rFonts w:cs="Arial"/>
              </w:rPr>
            </w:pPr>
          </w:p>
        </w:tc>
        <w:tc>
          <w:tcPr>
            <w:tcW w:w="7560" w:type="dxa"/>
            <w:gridSpan w:val="2"/>
            <w:tcBorders>
              <w:top w:val="single" w:sz="4" w:space="0" w:color="auto"/>
              <w:left w:val="nil"/>
              <w:bottom w:val="nil"/>
              <w:right w:val="nil"/>
            </w:tcBorders>
            <w:vAlign w:val="center"/>
          </w:tcPr>
          <w:p w14:paraId="49B37CCF" w14:textId="77777777" w:rsidR="00152993" w:rsidRPr="003C2624" w:rsidRDefault="00152993">
            <w:pPr>
              <w:pStyle w:val="NormalArial"/>
              <w:rPr>
                <w:rFonts w:cs="Arial"/>
              </w:rPr>
            </w:pPr>
          </w:p>
        </w:tc>
      </w:tr>
      <w:tr w:rsidR="00152993" w:rsidRPr="003C2624" w14:paraId="029404E2"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456B05C" w14:textId="77777777" w:rsidR="00152993" w:rsidRPr="003C2624" w:rsidRDefault="00152993">
            <w:pPr>
              <w:pStyle w:val="Header"/>
              <w:rPr>
                <w:rFonts w:cs="Arial"/>
              </w:rPr>
            </w:pPr>
            <w:r w:rsidRPr="003C2624">
              <w:rPr>
                <w:rFonts w:cs="Arial"/>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B8A4B7" w14:textId="77777777" w:rsidR="00152993" w:rsidRPr="003C2624" w:rsidRDefault="00081DA6">
            <w:pPr>
              <w:pStyle w:val="NormalArial"/>
              <w:rPr>
                <w:rFonts w:cs="Arial"/>
              </w:rPr>
            </w:pPr>
            <w:r w:rsidRPr="003C2624">
              <w:rPr>
                <w:rFonts w:cs="Arial"/>
              </w:rPr>
              <w:t>March</w:t>
            </w:r>
            <w:r w:rsidR="00471C4F" w:rsidRPr="003C2624">
              <w:rPr>
                <w:rFonts w:cs="Arial"/>
              </w:rPr>
              <w:t xml:space="preserve"> </w:t>
            </w:r>
            <w:r w:rsidR="00C21E8C" w:rsidRPr="003C2624">
              <w:rPr>
                <w:rFonts w:cs="Arial"/>
              </w:rPr>
              <w:t>8</w:t>
            </w:r>
            <w:r w:rsidR="007100B6" w:rsidRPr="003C2624">
              <w:rPr>
                <w:rFonts w:cs="Arial"/>
              </w:rPr>
              <w:t>, 2022</w:t>
            </w:r>
          </w:p>
        </w:tc>
      </w:tr>
      <w:tr w:rsidR="00152993" w:rsidRPr="003C2624" w14:paraId="6ECF0341"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038C0415" w14:textId="77777777" w:rsidR="00152993" w:rsidRPr="003C2624" w:rsidRDefault="00152993">
            <w:pPr>
              <w:pStyle w:val="NormalArial"/>
              <w:rPr>
                <w:rFonts w:cs="Arial"/>
              </w:rPr>
            </w:pPr>
          </w:p>
        </w:tc>
        <w:tc>
          <w:tcPr>
            <w:tcW w:w="7560" w:type="dxa"/>
            <w:gridSpan w:val="2"/>
            <w:tcBorders>
              <w:top w:val="nil"/>
              <w:left w:val="nil"/>
              <w:bottom w:val="nil"/>
              <w:right w:val="nil"/>
            </w:tcBorders>
            <w:vAlign w:val="center"/>
          </w:tcPr>
          <w:p w14:paraId="2D855307" w14:textId="77777777" w:rsidR="00152993" w:rsidRPr="003C2624" w:rsidRDefault="00152993">
            <w:pPr>
              <w:pStyle w:val="NormalArial"/>
              <w:rPr>
                <w:rFonts w:cs="Arial"/>
              </w:rPr>
            </w:pPr>
          </w:p>
        </w:tc>
      </w:tr>
      <w:tr w:rsidR="00152993" w:rsidRPr="003C2624" w14:paraId="647B205D"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16BCCFC3" w14:textId="77777777" w:rsidR="00152993" w:rsidRPr="003C2624" w:rsidRDefault="00152993">
            <w:pPr>
              <w:pStyle w:val="Header"/>
              <w:jc w:val="center"/>
              <w:rPr>
                <w:rFonts w:cs="Arial"/>
              </w:rPr>
            </w:pPr>
            <w:r w:rsidRPr="003C2624">
              <w:rPr>
                <w:rFonts w:cs="Arial"/>
              </w:rPr>
              <w:t>Submitter’s Information</w:t>
            </w:r>
          </w:p>
        </w:tc>
      </w:tr>
      <w:tr w:rsidR="00152993" w:rsidRPr="003C2624" w14:paraId="46FB8305" w14:textId="77777777">
        <w:tblPrEx>
          <w:tblCellMar>
            <w:top w:w="0" w:type="dxa"/>
            <w:bottom w:w="0" w:type="dxa"/>
          </w:tblCellMar>
        </w:tblPrEx>
        <w:trPr>
          <w:trHeight w:val="350"/>
        </w:trPr>
        <w:tc>
          <w:tcPr>
            <w:tcW w:w="2880" w:type="dxa"/>
            <w:gridSpan w:val="2"/>
            <w:shd w:val="clear" w:color="auto" w:fill="FFFFFF"/>
            <w:vAlign w:val="center"/>
          </w:tcPr>
          <w:p w14:paraId="62957649" w14:textId="77777777" w:rsidR="00152993" w:rsidRPr="003C2624" w:rsidRDefault="00152993" w:rsidP="00EC55B3">
            <w:pPr>
              <w:pStyle w:val="Header"/>
              <w:rPr>
                <w:rFonts w:cs="Arial"/>
              </w:rPr>
            </w:pPr>
            <w:r w:rsidRPr="003C2624">
              <w:rPr>
                <w:rFonts w:cs="Arial"/>
              </w:rPr>
              <w:t>Name</w:t>
            </w:r>
          </w:p>
        </w:tc>
        <w:tc>
          <w:tcPr>
            <w:tcW w:w="7560" w:type="dxa"/>
            <w:gridSpan w:val="2"/>
            <w:vAlign w:val="center"/>
          </w:tcPr>
          <w:p w14:paraId="1AE7BAF1" w14:textId="77777777" w:rsidR="00152993" w:rsidRPr="003C2624" w:rsidRDefault="005E2532">
            <w:pPr>
              <w:pStyle w:val="NormalArial"/>
              <w:rPr>
                <w:rFonts w:cs="Arial"/>
              </w:rPr>
            </w:pPr>
            <w:r w:rsidRPr="003C2624">
              <w:rPr>
                <w:rFonts w:cs="Arial"/>
              </w:rPr>
              <w:t>Ian Haley</w:t>
            </w:r>
          </w:p>
        </w:tc>
      </w:tr>
      <w:tr w:rsidR="00152993" w:rsidRPr="003C2624" w14:paraId="11826952" w14:textId="77777777">
        <w:tblPrEx>
          <w:tblCellMar>
            <w:top w:w="0" w:type="dxa"/>
            <w:bottom w:w="0" w:type="dxa"/>
          </w:tblCellMar>
        </w:tblPrEx>
        <w:trPr>
          <w:trHeight w:val="350"/>
        </w:trPr>
        <w:tc>
          <w:tcPr>
            <w:tcW w:w="2880" w:type="dxa"/>
            <w:gridSpan w:val="2"/>
            <w:shd w:val="clear" w:color="auto" w:fill="FFFFFF"/>
            <w:vAlign w:val="center"/>
          </w:tcPr>
          <w:p w14:paraId="39DE3DFE" w14:textId="77777777" w:rsidR="00152993" w:rsidRPr="003C2624" w:rsidRDefault="00152993" w:rsidP="00EC55B3">
            <w:pPr>
              <w:pStyle w:val="Header"/>
              <w:rPr>
                <w:rFonts w:cs="Arial"/>
              </w:rPr>
            </w:pPr>
            <w:r w:rsidRPr="003C2624">
              <w:rPr>
                <w:rFonts w:cs="Arial"/>
              </w:rPr>
              <w:t>E-mail Address</w:t>
            </w:r>
          </w:p>
        </w:tc>
        <w:tc>
          <w:tcPr>
            <w:tcW w:w="7560" w:type="dxa"/>
            <w:gridSpan w:val="2"/>
            <w:vAlign w:val="center"/>
          </w:tcPr>
          <w:p w14:paraId="1DFD17AF" w14:textId="77777777" w:rsidR="00152993" w:rsidRPr="003C2624" w:rsidRDefault="005E2532">
            <w:pPr>
              <w:pStyle w:val="NormalArial"/>
              <w:rPr>
                <w:rFonts w:cs="Arial"/>
              </w:rPr>
            </w:pPr>
            <w:hyperlink r:id="rId9" w:history="1">
              <w:r w:rsidRPr="003C2624">
                <w:rPr>
                  <w:rStyle w:val="Hyperlink"/>
                  <w:rFonts w:cs="Arial"/>
                </w:rPr>
                <w:t>Ian.Haley@VistraCorp.com</w:t>
              </w:r>
            </w:hyperlink>
          </w:p>
        </w:tc>
      </w:tr>
      <w:tr w:rsidR="00152993" w:rsidRPr="003C2624" w14:paraId="2D14E5E2" w14:textId="77777777">
        <w:tblPrEx>
          <w:tblCellMar>
            <w:top w:w="0" w:type="dxa"/>
            <w:bottom w:w="0" w:type="dxa"/>
          </w:tblCellMar>
        </w:tblPrEx>
        <w:trPr>
          <w:trHeight w:val="350"/>
        </w:trPr>
        <w:tc>
          <w:tcPr>
            <w:tcW w:w="2880" w:type="dxa"/>
            <w:gridSpan w:val="2"/>
            <w:shd w:val="clear" w:color="auto" w:fill="FFFFFF"/>
            <w:vAlign w:val="center"/>
          </w:tcPr>
          <w:p w14:paraId="530F32F9" w14:textId="77777777" w:rsidR="00152993" w:rsidRPr="003C2624" w:rsidRDefault="00152993" w:rsidP="00EC55B3">
            <w:pPr>
              <w:pStyle w:val="Header"/>
              <w:rPr>
                <w:rFonts w:cs="Arial"/>
              </w:rPr>
            </w:pPr>
            <w:r w:rsidRPr="003C2624">
              <w:rPr>
                <w:rFonts w:cs="Arial"/>
              </w:rPr>
              <w:t>Company</w:t>
            </w:r>
          </w:p>
        </w:tc>
        <w:tc>
          <w:tcPr>
            <w:tcW w:w="7560" w:type="dxa"/>
            <w:gridSpan w:val="2"/>
            <w:vAlign w:val="center"/>
          </w:tcPr>
          <w:p w14:paraId="09235F8A" w14:textId="77777777" w:rsidR="00152993" w:rsidRPr="003C2624" w:rsidRDefault="005E2532">
            <w:pPr>
              <w:pStyle w:val="NormalArial"/>
              <w:rPr>
                <w:rFonts w:cs="Arial"/>
              </w:rPr>
            </w:pPr>
            <w:r w:rsidRPr="003C2624">
              <w:rPr>
                <w:rFonts w:cs="Arial"/>
              </w:rPr>
              <w:t>Luminant Generation Company LLC</w:t>
            </w:r>
          </w:p>
        </w:tc>
      </w:tr>
      <w:tr w:rsidR="00152993" w:rsidRPr="003C2624" w14:paraId="7ED4E617"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5C3E426" w14:textId="77777777" w:rsidR="00152993" w:rsidRPr="003C2624" w:rsidRDefault="00152993" w:rsidP="00EC55B3">
            <w:pPr>
              <w:pStyle w:val="Header"/>
              <w:rPr>
                <w:rFonts w:cs="Arial"/>
              </w:rPr>
            </w:pPr>
            <w:r w:rsidRPr="003C2624">
              <w:rPr>
                <w:rFonts w:cs="Arial"/>
              </w:rPr>
              <w:t>Phone Number</w:t>
            </w:r>
          </w:p>
        </w:tc>
        <w:tc>
          <w:tcPr>
            <w:tcW w:w="7560" w:type="dxa"/>
            <w:gridSpan w:val="2"/>
            <w:tcBorders>
              <w:bottom w:val="single" w:sz="4" w:space="0" w:color="auto"/>
            </w:tcBorders>
            <w:vAlign w:val="center"/>
          </w:tcPr>
          <w:p w14:paraId="17143F81" w14:textId="77777777" w:rsidR="00152993" w:rsidRPr="003C2624" w:rsidRDefault="005E2532">
            <w:pPr>
              <w:pStyle w:val="NormalArial"/>
              <w:rPr>
                <w:rFonts w:cs="Arial"/>
              </w:rPr>
            </w:pPr>
            <w:r w:rsidRPr="003C2624">
              <w:rPr>
                <w:rFonts w:cs="Arial"/>
              </w:rPr>
              <w:t>512-673-9655</w:t>
            </w:r>
          </w:p>
        </w:tc>
      </w:tr>
      <w:tr w:rsidR="00152993" w:rsidRPr="003C2624" w14:paraId="4E08DE1B" w14:textId="77777777">
        <w:tblPrEx>
          <w:tblCellMar>
            <w:top w:w="0" w:type="dxa"/>
            <w:bottom w:w="0" w:type="dxa"/>
          </w:tblCellMar>
        </w:tblPrEx>
        <w:trPr>
          <w:trHeight w:val="350"/>
        </w:trPr>
        <w:tc>
          <w:tcPr>
            <w:tcW w:w="2880" w:type="dxa"/>
            <w:gridSpan w:val="2"/>
            <w:shd w:val="clear" w:color="auto" w:fill="FFFFFF"/>
            <w:vAlign w:val="center"/>
          </w:tcPr>
          <w:p w14:paraId="488C0354" w14:textId="77777777" w:rsidR="00152993" w:rsidRPr="003C2624" w:rsidRDefault="00075A94" w:rsidP="00EC55B3">
            <w:pPr>
              <w:pStyle w:val="Header"/>
              <w:rPr>
                <w:rFonts w:cs="Arial"/>
              </w:rPr>
            </w:pPr>
            <w:r w:rsidRPr="003C2624">
              <w:rPr>
                <w:rFonts w:cs="Arial"/>
              </w:rPr>
              <w:t xml:space="preserve">Cell </w:t>
            </w:r>
            <w:r w:rsidR="00152993" w:rsidRPr="003C2624">
              <w:rPr>
                <w:rFonts w:cs="Arial"/>
              </w:rPr>
              <w:t>Number</w:t>
            </w:r>
          </w:p>
        </w:tc>
        <w:tc>
          <w:tcPr>
            <w:tcW w:w="7560" w:type="dxa"/>
            <w:gridSpan w:val="2"/>
            <w:vAlign w:val="center"/>
          </w:tcPr>
          <w:p w14:paraId="3E689AD6" w14:textId="77777777" w:rsidR="00152993" w:rsidRPr="003C2624" w:rsidRDefault="00152993">
            <w:pPr>
              <w:pStyle w:val="NormalArial"/>
              <w:rPr>
                <w:rFonts w:cs="Arial"/>
              </w:rPr>
            </w:pPr>
          </w:p>
        </w:tc>
      </w:tr>
      <w:tr w:rsidR="00075A94" w:rsidRPr="003C2624" w14:paraId="7E5B28ED"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453D8DE5" w14:textId="77777777" w:rsidR="00075A94" w:rsidRPr="003C2624" w:rsidDel="00075A94" w:rsidRDefault="00075A94" w:rsidP="00EC55B3">
            <w:pPr>
              <w:pStyle w:val="Header"/>
              <w:rPr>
                <w:rFonts w:cs="Arial"/>
              </w:rPr>
            </w:pPr>
            <w:r w:rsidRPr="003C2624">
              <w:rPr>
                <w:rFonts w:cs="Arial"/>
              </w:rPr>
              <w:t>Market Segment</w:t>
            </w:r>
          </w:p>
        </w:tc>
        <w:tc>
          <w:tcPr>
            <w:tcW w:w="7560" w:type="dxa"/>
            <w:gridSpan w:val="2"/>
            <w:tcBorders>
              <w:bottom w:val="single" w:sz="4" w:space="0" w:color="auto"/>
            </w:tcBorders>
            <w:vAlign w:val="center"/>
          </w:tcPr>
          <w:p w14:paraId="65796D18" w14:textId="77777777" w:rsidR="00075A94" w:rsidRPr="003C2624" w:rsidRDefault="005E2532">
            <w:pPr>
              <w:pStyle w:val="NormalArial"/>
              <w:rPr>
                <w:rFonts w:cs="Arial"/>
              </w:rPr>
            </w:pPr>
            <w:r w:rsidRPr="003C2624">
              <w:rPr>
                <w:rFonts w:cs="Arial"/>
              </w:rPr>
              <w:t>Independent Generator</w:t>
            </w:r>
          </w:p>
        </w:tc>
      </w:tr>
    </w:tbl>
    <w:p w14:paraId="0A3E0BEE" w14:textId="77777777" w:rsidR="00152993" w:rsidRPr="003C2624" w:rsidRDefault="00152993">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3C2624" w14:paraId="0E85E3E0" w14:textId="77777777" w:rsidTr="00B5080A">
        <w:trPr>
          <w:trHeight w:val="422"/>
          <w:jc w:val="center"/>
        </w:trPr>
        <w:tc>
          <w:tcPr>
            <w:tcW w:w="10440" w:type="dxa"/>
            <w:vAlign w:val="center"/>
          </w:tcPr>
          <w:p w14:paraId="36B9BC9F" w14:textId="77777777" w:rsidR="00075A94" w:rsidRPr="003C2624" w:rsidRDefault="00075A94" w:rsidP="00B5080A">
            <w:pPr>
              <w:pStyle w:val="Header"/>
              <w:jc w:val="center"/>
              <w:rPr>
                <w:rFonts w:cs="Arial"/>
              </w:rPr>
            </w:pPr>
            <w:r w:rsidRPr="003C2624">
              <w:rPr>
                <w:rFonts w:cs="Arial"/>
              </w:rPr>
              <w:t>Comments</w:t>
            </w:r>
          </w:p>
        </w:tc>
      </w:tr>
    </w:tbl>
    <w:p w14:paraId="7F4690CD" w14:textId="68CF453D" w:rsidR="00027AE7" w:rsidRPr="003C2624" w:rsidRDefault="0040607E" w:rsidP="00F748E3">
      <w:pPr>
        <w:pStyle w:val="NormalArial"/>
        <w:spacing w:before="120" w:after="120"/>
        <w:ind w:left="360"/>
        <w:rPr>
          <w:rFonts w:cs="Arial"/>
        </w:rPr>
      </w:pPr>
      <w:r w:rsidRPr="003C2624">
        <w:rPr>
          <w:rFonts w:cs="Arial"/>
        </w:rPr>
        <w:t xml:space="preserve">Luminant </w:t>
      </w:r>
      <w:r w:rsidR="00487F06" w:rsidRPr="003C2624">
        <w:rPr>
          <w:rFonts w:cs="Arial"/>
        </w:rPr>
        <w:t xml:space="preserve">submits these </w:t>
      </w:r>
      <w:r w:rsidR="002C3451" w:rsidRPr="003C2624">
        <w:rPr>
          <w:rFonts w:cs="Arial"/>
        </w:rPr>
        <w:t xml:space="preserve">responsive </w:t>
      </w:r>
      <w:r w:rsidRPr="003C2624">
        <w:rPr>
          <w:rFonts w:cs="Arial"/>
        </w:rPr>
        <w:t>comments</w:t>
      </w:r>
      <w:r w:rsidR="005F4969" w:rsidRPr="003C2624">
        <w:rPr>
          <w:rFonts w:cs="Arial"/>
        </w:rPr>
        <w:t xml:space="preserve"> </w:t>
      </w:r>
      <w:r w:rsidR="00487F06" w:rsidRPr="003C2624">
        <w:rPr>
          <w:rFonts w:cs="Arial"/>
        </w:rPr>
        <w:t>to the March 1, 2022 comments submitted jointly by Office of Public Utility Counsel</w:t>
      </w:r>
      <w:r w:rsidR="00F748E3" w:rsidRPr="003C2624">
        <w:rPr>
          <w:rFonts w:cs="Arial"/>
        </w:rPr>
        <w:t xml:space="preserve"> (OPUC)</w:t>
      </w:r>
      <w:r w:rsidR="00487F06" w:rsidRPr="003C2624">
        <w:rPr>
          <w:rFonts w:cs="Arial"/>
        </w:rPr>
        <w:t>, Texas Industrial Energy Consumers</w:t>
      </w:r>
      <w:r w:rsidR="00F748E3" w:rsidRPr="003C2624">
        <w:rPr>
          <w:rFonts w:cs="Arial"/>
        </w:rPr>
        <w:t xml:space="preserve"> (TIEC)</w:t>
      </w:r>
      <w:r w:rsidR="00487F06" w:rsidRPr="003C2624">
        <w:rPr>
          <w:rFonts w:cs="Arial"/>
        </w:rPr>
        <w:t>, City of Eastland, City of Dallas, Residential Consumer, CPS Energy, and ERCOT Steel Mills (</w:t>
      </w:r>
      <w:r w:rsidR="00F748E3" w:rsidRPr="003C2624">
        <w:rPr>
          <w:rFonts w:cs="Arial"/>
        </w:rPr>
        <w:t>“</w:t>
      </w:r>
      <w:r w:rsidR="00487F06" w:rsidRPr="003C2624">
        <w:rPr>
          <w:rFonts w:cs="Arial"/>
        </w:rPr>
        <w:t>Joint Commenters</w:t>
      </w:r>
      <w:r w:rsidR="00F748E3" w:rsidRPr="003C2624">
        <w:rPr>
          <w:rFonts w:cs="Arial"/>
        </w:rPr>
        <w:t>”</w:t>
      </w:r>
      <w:r w:rsidR="00487F06" w:rsidRPr="003C2624">
        <w:rPr>
          <w:rFonts w:cs="Arial"/>
        </w:rPr>
        <w:t>)</w:t>
      </w:r>
      <w:r w:rsidR="005F4969" w:rsidRPr="003C2624">
        <w:rPr>
          <w:rFonts w:cs="Arial"/>
        </w:rPr>
        <w:t xml:space="preserve">. </w:t>
      </w:r>
    </w:p>
    <w:p w14:paraId="6F8B1585" w14:textId="105403CC" w:rsidR="00206CE7" w:rsidRPr="003C2624" w:rsidRDefault="00487F06" w:rsidP="00F748E3">
      <w:pPr>
        <w:pStyle w:val="NormalArial"/>
        <w:spacing w:before="120" w:after="120"/>
        <w:ind w:left="360"/>
        <w:rPr>
          <w:rFonts w:cs="Arial"/>
        </w:rPr>
      </w:pPr>
      <w:r w:rsidRPr="003C2624">
        <w:rPr>
          <w:rFonts w:cs="Arial"/>
        </w:rPr>
        <w:t xml:space="preserve">It seems clear from the Joint Commenters’ submission that there </w:t>
      </w:r>
      <w:r w:rsidR="00A754BA" w:rsidRPr="003C2624">
        <w:rPr>
          <w:rFonts w:cs="Arial"/>
        </w:rPr>
        <w:t>are</w:t>
      </w:r>
      <w:r w:rsidRPr="003C2624">
        <w:rPr>
          <w:rFonts w:cs="Arial"/>
        </w:rPr>
        <w:t xml:space="preserve"> a number of fundamental disagreements </w:t>
      </w:r>
      <w:r w:rsidR="00774C10" w:rsidRPr="003C2624">
        <w:rPr>
          <w:rFonts w:cs="Arial"/>
        </w:rPr>
        <w:t xml:space="preserve">or at least misunderstandings </w:t>
      </w:r>
      <w:r w:rsidRPr="003C2624">
        <w:rPr>
          <w:rFonts w:cs="Arial"/>
        </w:rPr>
        <w:t xml:space="preserve">among stakeholders not just regarding the underlying policies proposed in </w:t>
      </w:r>
      <w:r w:rsidR="00F748E3" w:rsidRPr="003C2624">
        <w:rPr>
          <w:rFonts w:cs="Arial"/>
        </w:rPr>
        <w:t>Nodal Protocol Revision Request (</w:t>
      </w:r>
      <w:r w:rsidRPr="003C2624">
        <w:rPr>
          <w:rFonts w:cs="Arial"/>
        </w:rPr>
        <w:t>NPRR</w:t>
      </w:r>
      <w:r w:rsidR="00F748E3" w:rsidRPr="003C2624">
        <w:rPr>
          <w:rFonts w:cs="Arial"/>
        </w:rPr>
        <w:t>)</w:t>
      </w:r>
      <w:r w:rsidRPr="003C2624">
        <w:rPr>
          <w:rFonts w:cs="Arial"/>
        </w:rPr>
        <w:t xml:space="preserve"> 1092, but also the factual context in which those policies should be considered. </w:t>
      </w:r>
      <w:r w:rsidR="00F748E3" w:rsidRPr="003C2624">
        <w:rPr>
          <w:rFonts w:cs="Arial"/>
        </w:rPr>
        <w:t xml:space="preserve"> </w:t>
      </w:r>
      <w:r w:rsidR="00BD2E03" w:rsidRPr="003C2624">
        <w:rPr>
          <w:rFonts w:cs="Arial"/>
        </w:rPr>
        <w:t xml:space="preserve">Luminant </w:t>
      </w:r>
      <w:r w:rsidR="00206CE7" w:rsidRPr="003C2624">
        <w:rPr>
          <w:rFonts w:cs="Arial"/>
        </w:rPr>
        <w:t xml:space="preserve">believes that Joint Commenters would agree that </w:t>
      </w:r>
      <w:r w:rsidR="00BD2E03" w:rsidRPr="003C2624">
        <w:rPr>
          <w:rFonts w:cs="Arial"/>
        </w:rPr>
        <w:t xml:space="preserve">the subjective policy task of designing </w:t>
      </w:r>
      <w:r w:rsidR="00206CE7" w:rsidRPr="003C2624">
        <w:rPr>
          <w:rFonts w:cs="Arial"/>
        </w:rPr>
        <w:t xml:space="preserve">and modifying </w:t>
      </w:r>
      <w:r w:rsidR="00BD2E03" w:rsidRPr="003C2624">
        <w:rPr>
          <w:rFonts w:cs="Arial"/>
        </w:rPr>
        <w:t xml:space="preserve">market mechanisms should flow from an agreed-upon set of objective facts </w:t>
      </w:r>
      <w:r w:rsidR="00206CE7" w:rsidRPr="003C2624">
        <w:rPr>
          <w:rFonts w:cs="Arial"/>
        </w:rPr>
        <w:t>and clearly defining the scope of underlying issues to be considered</w:t>
      </w:r>
      <w:r w:rsidR="002C3451" w:rsidRPr="003C2624">
        <w:rPr>
          <w:rFonts w:cs="Arial"/>
        </w:rPr>
        <w:t xml:space="preserve">. </w:t>
      </w:r>
      <w:r w:rsidR="00F748E3" w:rsidRPr="003C2624">
        <w:rPr>
          <w:rFonts w:cs="Arial"/>
        </w:rPr>
        <w:t xml:space="preserve"> </w:t>
      </w:r>
      <w:r w:rsidR="00D313BF" w:rsidRPr="003C2624">
        <w:rPr>
          <w:rFonts w:cs="Arial"/>
        </w:rPr>
        <w:t>A data-anchored discussion will be significantly more constructive than seeding the debate with mis</w:t>
      </w:r>
      <w:r w:rsidR="00774C10" w:rsidRPr="003C2624">
        <w:rPr>
          <w:rFonts w:cs="Arial"/>
        </w:rPr>
        <w:t>guid</w:t>
      </w:r>
      <w:r w:rsidR="00D313BF" w:rsidRPr="003C2624">
        <w:rPr>
          <w:rFonts w:cs="Arial"/>
        </w:rPr>
        <w:t xml:space="preserve">ed and unsubstantiated allegations of market power. </w:t>
      </w:r>
      <w:r w:rsidR="00F748E3" w:rsidRPr="003C2624">
        <w:rPr>
          <w:rFonts w:cs="Arial"/>
        </w:rPr>
        <w:t xml:space="preserve"> </w:t>
      </w:r>
      <w:r w:rsidR="00D313BF" w:rsidRPr="003C2624">
        <w:rPr>
          <w:rFonts w:cs="Arial"/>
        </w:rPr>
        <w:t xml:space="preserve">Luminant provided a significant amount of data as an appendix to its February 17, 2022 comments </w:t>
      </w:r>
      <w:r w:rsidR="00C6498F" w:rsidRPr="003C2624">
        <w:rPr>
          <w:rFonts w:cs="Arial"/>
        </w:rPr>
        <w:t xml:space="preserve">to </w:t>
      </w:r>
      <w:r w:rsidR="00D313BF" w:rsidRPr="003C2624">
        <w:rPr>
          <w:rFonts w:cs="Arial"/>
        </w:rPr>
        <w:t>assuage any concerns that market power is being exercised to increase prices (</w:t>
      </w:r>
      <w:r w:rsidR="00500AEB" w:rsidRPr="003C2624">
        <w:rPr>
          <w:rFonts w:cs="Arial"/>
        </w:rPr>
        <w:t xml:space="preserve">with the exception of the </w:t>
      </w:r>
      <w:r w:rsidR="00C51D46" w:rsidRPr="003C2624">
        <w:rPr>
          <w:rFonts w:cs="Arial"/>
        </w:rPr>
        <w:t>overly prescriptive</w:t>
      </w:r>
      <w:r w:rsidR="00774C10" w:rsidRPr="003C2624">
        <w:rPr>
          <w:rFonts w:cs="Arial"/>
        </w:rPr>
        <w:t xml:space="preserve"> approach </w:t>
      </w:r>
      <w:r w:rsidR="00C51D46" w:rsidRPr="003C2624">
        <w:rPr>
          <w:rFonts w:cs="Arial"/>
        </w:rPr>
        <w:t xml:space="preserve">to </w:t>
      </w:r>
      <w:r w:rsidR="00F748E3" w:rsidRPr="003C2624">
        <w:rPr>
          <w:rFonts w:cs="Arial"/>
        </w:rPr>
        <w:t>Reliability Unit Commitment (</w:t>
      </w:r>
      <w:r w:rsidR="00C51D46" w:rsidRPr="003C2624">
        <w:rPr>
          <w:rFonts w:cs="Arial"/>
        </w:rPr>
        <w:t>RUC</w:t>
      </w:r>
      <w:r w:rsidR="00F748E3" w:rsidRPr="003C2624">
        <w:rPr>
          <w:rFonts w:cs="Arial"/>
        </w:rPr>
        <w:t>)</w:t>
      </w:r>
      <w:r w:rsidR="00C51D46" w:rsidRPr="003C2624">
        <w:rPr>
          <w:rFonts w:cs="Arial"/>
        </w:rPr>
        <w:t xml:space="preserve"> </w:t>
      </w:r>
      <w:r w:rsidR="00774C10" w:rsidRPr="003C2624">
        <w:rPr>
          <w:rFonts w:cs="Arial"/>
        </w:rPr>
        <w:t xml:space="preserve">being </w:t>
      </w:r>
      <w:r w:rsidR="00500AEB" w:rsidRPr="003C2624">
        <w:rPr>
          <w:rFonts w:cs="Arial"/>
        </w:rPr>
        <w:t xml:space="preserve">wielded by </w:t>
      </w:r>
      <w:r w:rsidR="00D313BF" w:rsidRPr="003C2624">
        <w:rPr>
          <w:rFonts w:cs="Arial"/>
        </w:rPr>
        <w:t>ERCOT</w:t>
      </w:r>
      <w:r w:rsidR="00500AEB" w:rsidRPr="003C2624">
        <w:rPr>
          <w:rFonts w:cs="Arial"/>
        </w:rPr>
        <w:t xml:space="preserve">). </w:t>
      </w:r>
      <w:r w:rsidR="00F748E3" w:rsidRPr="003C2624">
        <w:rPr>
          <w:rFonts w:cs="Arial"/>
        </w:rPr>
        <w:t xml:space="preserve"> </w:t>
      </w:r>
      <w:r w:rsidR="00A06ECC" w:rsidRPr="003C2624">
        <w:rPr>
          <w:rFonts w:cs="Arial"/>
        </w:rPr>
        <w:t xml:space="preserve">System Lambda at or </w:t>
      </w:r>
      <w:r w:rsidR="00500AEB" w:rsidRPr="003C2624">
        <w:rPr>
          <w:rFonts w:cs="Arial"/>
        </w:rPr>
        <w:t>above $1500/MWh</w:t>
      </w:r>
      <w:r w:rsidR="00445660" w:rsidRPr="003C2624">
        <w:rPr>
          <w:rFonts w:cs="Arial"/>
        </w:rPr>
        <w:t xml:space="preserve"> rarely correlated with RUCs</w:t>
      </w:r>
      <w:r w:rsidR="00500AEB" w:rsidRPr="003C2624">
        <w:rPr>
          <w:rFonts w:cs="Arial"/>
        </w:rPr>
        <w:t xml:space="preserve">, and </w:t>
      </w:r>
      <w:r w:rsidR="00500AEB" w:rsidRPr="003C2624">
        <w:rPr>
          <w:rFonts w:cs="Arial"/>
          <w:i/>
          <w:iCs/>
        </w:rPr>
        <w:t>never</w:t>
      </w:r>
      <w:r w:rsidR="00500AEB" w:rsidRPr="003C2624">
        <w:rPr>
          <w:rFonts w:cs="Arial"/>
        </w:rPr>
        <w:t xml:space="preserve"> did </w:t>
      </w:r>
      <w:r w:rsidR="00445660" w:rsidRPr="003C2624">
        <w:rPr>
          <w:rFonts w:cs="Arial"/>
        </w:rPr>
        <w:t xml:space="preserve">so </w:t>
      </w:r>
      <w:r w:rsidR="00500AEB" w:rsidRPr="003C2624">
        <w:rPr>
          <w:rFonts w:cs="Arial"/>
        </w:rPr>
        <w:t xml:space="preserve">from the onset of ERCOT’s increase in the use of RUCs in late June 2021 all the way through Winter Storm Landon. </w:t>
      </w:r>
      <w:r w:rsidR="00F748E3" w:rsidRPr="003C2624">
        <w:rPr>
          <w:rFonts w:cs="Arial"/>
        </w:rPr>
        <w:t xml:space="preserve"> </w:t>
      </w:r>
      <w:r w:rsidR="00500AEB" w:rsidRPr="003C2624">
        <w:rPr>
          <w:rFonts w:cs="Arial"/>
        </w:rPr>
        <w:t xml:space="preserve">Luminant </w:t>
      </w:r>
      <w:r w:rsidR="00D313BF" w:rsidRPr="003C2624">
        <w:rPr>
          <w:rFonts w:cs="Arial"/>
        </w:rPr>
        <w:t>welcomes other data or analysis that stakeholders bring forward</w:t>
      </w:r>
      <w:r w:rsidR="00500AEB" w:rsidRPr="003C2624">
        <w:rPr>
          <w:rFonts w:cs="Arial"/>
        </w:rPr>
        <w:t xml:space="preserve">, but </w:t>
      </w:r>
      <w:r w:rsidR="00445660" w:rsidRPr="003C2624">
        <w:rPr>
          <w:rFonts w:cs="Arial"/>
        </w:rPr>
        <w:t xml:space="preserve">in the absence of refuting evidence, </w:t>
      </w:r>
      <w:r w:rsidR="00C6498F" w:rsidRPr="003C2624">
        <w:rPr>
          <w:rFonts w:cs="Arial"/>
        </w:rPr>
        <w:t>the only evidence put forth is</w:t>
      </w:r>
      <w:r w:rsidR="00500AEB" w:rsidRPr="003C2624">
        <w:rPr>
          <w:rFonts w:cs="Arial"/>
        </w:rPr>
        <w:t xml:space="preserve"> that the pricing outcomes NPRR1092’s proponents are concerned about</w:t>
      </w:r>
      <w:r w:rsidR="00F12414" w:rsidRPr="003C2624">
        <w:rPr>
          <w:rFonts w:cs="Arial"/>
        </w:rPr>
        <w:t xml:space="preserve"> are illusory and</w:t>
      </w:r>
      <w:r w:rsidR="00500AEB" w:rsidRPr="003C2624">
        <w:rPr>
          <w:rFonts w:cs="Arial"/>
        </w:rPr>
        <w:t xml:space="preserve"> have not actually materialized</w:t>
      </w:r>
      <w:r w:rsidR="00D313BF" w:rsidRPr="003C2624">
        <w:rPr>
          <w:rFonts w:cs="Arial"/>
        </w:rPr>
        <w:t>.</w:t>
      </w:r>
      <w:r w:rsidR="00500AEB" w:rsidRPr="003C2624">
        <w:rPr>
          <w:rFonts w:cs="Arial"/>
        </w:rPr>
        <w:t xml:space="preserve"> </w:t>
      </w:r>
    </w:p>
    <w:p w14:paraId="7EC81B96" w14:textId="6ABC86B7" w:rsidR="00774C10" w:rsidRPr="003C2624" w:rsidRDefault="00774C10" w:rsidP="00F748E3">
      <w:pPr>
        <w:pStyle w:val="NormalArial"/>
        <w:spacing w:before="120" w:after="120"/>
        <w:ind w:left="360"/>
        <w:rPr>
          <w:rFonts w:cs="Arial"/>
        </w:rPr>
      </w:pPr>
      <w:r w:rsidRPr="003C2624">
        <w:rPr>
          <w:rFonts w:cs="Arial"/>
        </w:rPr>
        <w:t xml:space="preserve">In addition to the fact that the data does not support the unfounded and irresponsible accusations, the Joint Commenters offer no real evidence of market abuse from any </w:t>
      </w:r>
      <w:r w:rsidRPr="003C2624">
        <w:rPr>
          <w:rFonts w:cs="Arial"/>
        </w:rPr>
        <w:lastRenderedPageBreak/>
        <w:t xml:space="preserve">of the authorities tasked with enforcing market behavior. </w:t>
      </w:r>
      <w:r w:rsidR="00F748E3" w:rsidRPr="003C2624">
        <w:rPr>
          <w:rFonts w:cs="Arial"/>
        </w:rPr>
        <w:t xml:space="preserve"> </w:t>
      </w:r>
      <w:r w:rsidRPr="003C2624">
        <w:rPr>
          <w:rFonts w:cs="Arial"/>
        </w:rPr>
        <w:t>As Luminant mentioned in its previous comments, the ERCOT market has multiple organizations and tools to ensure competitive market</w:t>
      </w:r>
      <w:r w:rsidR="00C51D46" w:rsidRPr="003C2624">
        <w:rPr>
          <w:rFonts w:cs="Arial"/>
        </w:rPr>
        <w:t xml:space="preserve"> outcome</w:t>
      </w:r>
      <w:r w:rsidRPr="003C2624">
        <w:rPr>
          <w:rFonts w:cs="Arial"/>
        </w:rPr>
        <w:t>s</w:t>
      </w:r>
      <w:r w:rsidR="00C51D46" w:rsidRPr="003C2624">
        <w:rPr>
          <w:rFonts w:cs="Arial"/>
        </w:rPr>
        <w:t>,</w:t>
      </w:r>
      <w:r w:rsidRPr="003C2624">
        <w:rPr>
          <w:rFonts w:cs="Arial"/>
        </w:rPr>
        <w:t xml:space="preserve"> including the </w:t>
      </w:r>
      <w:r w:rsidR="00F748E3" w:rsidRPr="003C2624">
        <w:rPr>
          <w:rFonts w:cs="Arial"/>
        </w:rPr>
        <w:t>Independent Market Monitor (</w:t>
      </w:r>
      <w:r w:rsidRPr="003C2624">
        <w:rPr>
          <w:rFonts w:cs="Arial"/>
        </w:rPr>
        <w:t>IMM</w:t>
      </w:r>
      <w:r w:rsidR="00F748E3" w:rsidRPr="003C2624">
        <w:rPr>
          <w:rFonts w:cs="Arial"/>
        </w:rPr>
        <w:t>)</w:t>
      </w:r>
      <w:r w:rsidRPr="003C2624">
        <w:rPr>
          <w:rFonts w:cs="Arial"/>
        </w:rPr>
        <w:t xml:space="preserve"> and </w:t>
      </w:r>
      <w:r w:rsidR="00F748E3" w:rsidRPr="003C2624">
        <w:rPr>
          <w:rFonts w:cs="Arial"/>
        </w:rPr>
        <w:t>Public Utility Commission of Texas (</w:t>
      </w:r>
      <w:r w:rsidRPr="003C2624">
        <w:rPr>
          <w:rFonts w:cs="Arial"/>
        </w:rPr>
        <w:t>PUCT</w:t>
      </w:r>
      <w:r w:rsidR="00F748E3" w:rsidRPr="003C2624">
        <w:rPr>
          <w:rFonts w:cs="Arial"/>
        </w:rPr>
        <w:t>)</w:t>
      </w:r>
      <w:r w:rsidRPr="003C2624">
        <w:rPr>
          <w:rFonts w:cs="Arial"/>
        </w:rPr>
        <w:t xml:space="preserve"> enforcement. </w:t>
      </w:r>
      <w:r w:rsidR="00F748E3" w:rsidRPr="003C2624">
        <w:rPr>
          <w:rFonts w:cs="Arial"/>
        </w:rPr>
        <w:t xml:space="preserve"> </w:t>
      </w:r>
      <w:r w:rsidRPr="003C2624">
        <w:rPr>
          <w:rFonts w:cs="Arial"/>
        </w:rPr>
        <w:t xml:space="preserve">Every offer from </w:t>
      </w:r>
      <w:r w:rsidR="00C51D46" w:rsidRPr="003C2624">
        <w:rPr>
          <w:rFonts w:cs="Arial"/>
        </w:rPr>
        <w:t xml:space="preserve">every </w:t>
      </w:r>
      <w:r w:rsidRPr="003C2624">
        <w:rPr>
          <w:rFonts w:cs="Arial"/>
        </w:rPr>
        <w:t xml:space="preserve">wholesale power </w:t>
      </w:r>
      <w:r w:rsidR="00F748E3" w:rsidRPr="003C2624">
        <w:rPr>
          <w:rFonts w:cs="Arial"/>
        </w:rPr>
        <w:t>M</w:t>
      </w:r>
      <w:r w:rsidRPr="003C2624">
        <w:rPr>
          <w:rFonts w:cs="Arial"/>
        </w:rPr>
        <w:t xml:space="preserve">arket </w:t>
      </w:r>
      <w:r w:rsidR="00F748E3" w:rsidRPr="003C2624">
        <w:rPr>
          <w:rFonts w:cs="Arial"/>
        </w:rPr>
        <w:t>P</w:t>
      </w:r>
      <w:r w:rsidRPr="003C2624">
        <w:rPr>
          <w:rFonts w:cs="Arial"/>
        </w:rPr>
        <w:t>articipant is</w:t>
      </w:r>
      <w:r w:rsidR="00C51D46" w:rsidRPr="003C2624">
        <w:rPr>
          <w:rFonts w:cs="Arial"/>
        </w:rPr>
        <w:t xml:space="preserve"> open to</w:t>
      </w:r>
      <w:r w:rsidRPr="003C2624">
        <w:rPr>
          <w:rFonts w:cs="Arial"/>
        </w:rPr>
        <w:t xml:space="preserve"> scrutin</w:t>
      </w:r>
      <w:r w:rsidR="00C51D46" w:rsidRPr="003C2624">
        <w:rPr>
          <w:rFonts w:cs="Arial"/>
        </w:rPr>
        <w:t>y by these overseers</w:t>
      </w:r>
      <w:r w:rsidRPr="003C2624">
        <w:rPr>
          <w:rFonts w:cs="Arial"/>
        </w:rPr>
        <w:t xml:space="preserve">. </w:t>
      </w:r>
      <w:r w:rsidR="00F748E3" w:rsidRPr="003C2624">
        <w:rPr>
          <w:rFonts w:cs="Arial"/>
        </w:rPr>
        <w:t xml:space="preserve"> </w:t>
      </w:r>
      <w:r w:rsidR="00C51D46" w:rsidRPr="003C2624">
        <w:rPr>
          <w:rFonts w:cs="Arial"/>
        </w:rPr>
        <w:t>T</w:t>
      </w:r>
      <w:r w:rsidRPr="003C2624">
        <w:rPr>
          <w:rFonts w:cs="Arial"/>
        </w:rPr>
        <w:t>he Joint Commenters offer the</w:t>
      </w:r>
      <w:r w:rsidR="00C51D46" w:rsidRPr="003C2624">
        <w:rPr>
          <w:rFonts w:cs="Arial"/>
        </w:rPr>
        <w:t>ir</w:t>
      </w:r>
      <w:r w:rsidRPr="003C2624">
        <w:rPr>
          <w:rFonts w:cs="Arial"/>
        </w:rPr>
        <w:t xml:space="preserve"> unsubstantiated </w:t>
      </w:r>
      <w:r w:rsidR="00C51D46" w:rsidRPr="003C2624">
        <w:rPr>
          <w:rFonts w:cs="Arial"/>
        </w:rPr>
        <w:t>allegations simply to further</w:t>
      </w:r>
      <w:r w:rsidRPr="003C2624">
        <w:rPr>
          <w:rFonts w:cs="Arial"/>
        </w:rPr>
        <w:t xml:space="preserve"> suppress prices</w:t>
      </w:r>
      <w:r w:rsidR="00873356" w:rsidRPr="003C2624">
        <w:rPr>
          <w:rFonts w:cs="Arial"/>
        </w:rPr>
        <w:t>, which will jeopardize</w:t>
      </w:r>
      <w:r w:rsidRPr="003C2624">
        <w:rPr>
          <w:rFonts w:cs="Arial"/>
        </w:rPr>
        <w:t xml:space="preserve"> </w:t>
      </w:r>
      <w:r w:rsidR="003B72FC" w:rsidRPr="003C2624">
        <w:rPr>
          <w:rFonts w:cs="Arial"/>
        </w:rPr>
        <w:t xml:space="preserve">long-run </w:t>
      </w:r>
      <w:r w:rsidRPr="003C2624">
        <w:rPr>
          <w:rFonts w:cs="Arial"/>
        </w:rPr>
        <w:t>reliability in</w:t>
      </w:r>
      <w:r w:rsidR="00873356" w:rsidRPr="003C2624">
        <w:rPr>
          <w:rFonts w:cs="Arial"/>
        </w:rPr>
        <w:t xml:space="preserve"> exchange for </w:t>
      </w:r>
      <w:r w:rsidR="003B72FC" w:rsidRPr="003C2624">
        <w:rPr>
          <w:rFonts w:cs="Arial"/>
        </w:rPr>
        <w:t xml:space="preserve">short-term lower costs </w:t>
      </w:r>
      <w:r w:rsidR="00873356" w:rsidRPr="003C2624">
        <w:rPr>
          <w:rFonts w:cs="Arial"/>
        </w:rPr>
        <w:t>for Joint Commenters</w:t>
      </w:r>
      <w:r w:rsidRPr="003C2624">
        <w:rPr>
          <w:rFonts w:cs="Arial"/>
        </w:rPr>
        <w:t xml:space="preserve">. </w:t>
      </w:r>
      <w:r w:rsidR="00F748E3" w:rsidRPr="003C2624">
        <w:rPr>
          <w:rFonts w:cs="Arial"/>
        </w:rPr>
        <w:t xml:space="preserve"> </w:t>
      </w:r>
      <w:r w:rsidRPr="003C2624">
        <w:rPr>
          <w:rFonts w:cs="Arial"/>
        </w:rPr>
        <w:t>NPRR1092 risks the longevity of dispatchable generation</w:t>
      </w:r>
      <w:r w:rsidR="00873356" w:rsidRPr="003C2624">
        <w:rPr>
          <w:rFonts w:cs="Arial"/>
        </w:rPr>
        <w:t xml:space="preserve">—precisely </w:t>
      </w:r>
      <w:r w:rsidRPr="003C2624">
        <w:rPr>
          <w:rFonts w:cs="Arial"/>
        </w:rPr>
        <w:t xml:space="preserve">the facilities </w:t>
      </w:r>
      <w:r w:rsidR="00873356" w:rsidRPr="003C2624">
        <w:rPr>
          <w:rFonts w:cs="Arial"/>
        </w:rPr>
        <w:t>this market</w:t>
      </w:r>
      <w:r w:rsidRPr="003C2624">
        <w:rPr>
          <w:rFonts w:cs="Arial"/>
        </w:rPr>
        <w:t xml:space="preserve"> need</w:t>
      </w:r>
      <w:r w:rsidR="00873356" w:rsidRPr="003C2624">
        <w:rPr>
          <w:rFonts w:cs="Arial"/>
        </w:rPr>
        <w:t>s</w:t>
      </w:r>
      <w:r w:rsidRPr="003C2624">
        <w:rPr>
          <w:rFonts w:cs="Arial"/>
        </w:rPr>
        <w:t xml:space="preserve"> for reliability, especially during winter months. </w:t>
      </w:r>
    </w:p>
    <w:p w14:paraId="23F168EB" w14:textId="21DF02F7" w:rsidR="00206CE7" w:rsidRPr="003C2624" w:rsidRDefault="00445660" w:rsidP="00F748E3">
      <w:pPr>
        <w:pStyle w:val="NormalArial"/>
        <w:spacing w:before="120" w:after="120"/>
        <w:ind w:left="360"/>
        <w:rPr>
          <w:rFonts w:cs="Arial"/>
        </w:rPr>
      </w:pPr>
      <w:r w:rsidRPr="003C2624">
        <w:rPr>
          <w:rFonts w:cs="Arial"/>
        </w:rPr>
        <w:t>Before addressing other responsive elements to Joint Commenters</w:t>
      </w:r>
      <w:r w:rsidR="00206CE7" w:rsidRPr="003C2624">
        <w:rPr>
          <w:rFonts w:cs="Arial"/>
        </w:rPr>
        <w:t>, Luminant want</w:t>
      </w:r>
      <w:r w:rsidRPr="003C2624">
        <w:rPr>
          <w:rFonts w:cs="Arial"/>
        </w:rPr>
        <w:t>s</w:t>
      </w:r>
      <w:r w:rsidR="00206CE7" w:rsidRPr="003C2624">
        <w:rPr>
          <w:rFonts w:cs="Arial"/>
        </w:rPr>
        <w:t xml:space="preserve"> to highlight that there </w:t>
      </w:r>
      <w:r w:rsidR="00F35420" w:rsidRPr="003C2624">
        <w:rPr>
          <w:rFonts w:cs="Arial"/>
        </w:rPr>
        <w:t xml:space="preserve">actually </w:t>
      </w:r>
      <w:r w:rsidR="005052DB" w:rsidRPr="003C2624">
        <w:rPr>
          <w:rFonts w:cs="Arial"/>
        </w:rPr>
        <w:t>appear</w:t>
      </w:r>
      <w:r w:rsidR="0071042A" w:rsidRPr="003C2624">
        <w:rPr>
          <w:rFonts w:cs="Arial"/>
        </w:rPr>
        <w:t>s</w:t>
      </w:r>
      <w:r w:rsidR="005052DB" w:rsidRPr="003C2624">
        <w:rPr>
          <w:rFonts w:cs="Arial"/>
        </w:rPr>
        <w:t xml:space="preserve"> to be</w:t>
      </w:r>
      <w:r w:rsidR="00206CE7" w:rsidRPr="003C2624">
        <w:rPr>
          <w:rFonts w:cs="Arial"/>
        </w:rPr>
        <w:t xml:space="preserve"> substantial areas of agreement between the camps on NPRR1092, </w:t>
      </w:r>
      <w:r w:rsidR="00C6498F" w:rsidRPr="003C2624">
        <w:rPr>
          <w:rFonts w:cs="Arial"/>
        </w:rPr>
        <w:t>and to</w:t>
      </w:r>
      <w:r w:rsidRPr="003C2624">
        <w:rPr>
          <w:rFonts w:cs="Arial"/>
        </w:rPr>
        <w:t xml:space="preserve"> </w:t>
      </w:r>
      <w:r w:rsidR="00206CE7" w:rsidRPr="003C2624">
        <w:rPr>
          <w:rFonts w:cs="Arial"/>
        </w:rPr>
        <w:t>recognize the efforts in Joint Commenters’ submission highlight</w:t>
      </w:r>
      <w:r w:rsidR="0094167C" w:rsidRPr="003C2624">
        <w:rPr>
          <w:rFonts w:cs="Arial"/>
        </w:rPr>
        <w:t>ing</w:t>
      </w:r>
      <w:r w:rsidR="00206CE7" w:rsidRPr="003C2624">
        <w:rPr>
          <w:rFonts w:cs="Arial"/>
        </w:rPr>
        <w:t xml:space="preserve"> areas where there may be room for compromise. </w:t>
      </w:r>
      <w:r w:rsidR="00F748E3" w:rsidRPr="003C2624">
        <w:rPr>
          <w:rFonts w:cs="Arial"/>
        </w:rPr>
        <w:t xml:space="preserve"> </w:t>
      </w:r>
      <w:r w:rsidRPr="003C2624">
        <w:rPr>
          <w:rFonts w:cs="Arial"/>
        </w:rPr>
        <w:t xml:space="preserve">Luminant </w:t>
      </w:r>
      <w:r w:rsidR="00206CE7" w:rsidRPr="003C2624">
        <w:rPr>
          <w:rFonts w:cs="Arial"/>
        </w:rPr>
        <w:t>looks forward to further exploring these channels for constructive discourse</w:t>
      </w:r>
      <w:r w:rsidRPr="003C2624">
        <w:rPr>
          <w:rFonts w:cs="Arial"/>
        </w:rPr>
        <w:t xml:space="preserve"> at</w:t>
      </w:r>
      <w:r w:rsidR="00F748E3" w:rsidRPr="003C2624">
        <w:rPr>
          <w:rFonts w:cs="Arial"/>
        </w:rPr>
        <w:t>,</w:t>
      </w:r>
      <w:r w:rsidRPr="003C2624">
        <w:rPr>
          <w:rFonts w:cs="Arial"/>
        </w:rPr>
        <w:t xml:space="preserve"> and following</w:t>
      </w:r>
      <w:r w:rsidR="00F748E3" w:rsidRPr="003C2624">
        <w:rPr>
          <w:rFonts w:cs="Arial"/>
        </w:rPr>
        <w:t>,</w:t>
      </w:r>
      <w:r w:rsidRPr="003C2624">
        <w:rPr>
          <w:rFonts w:cs="Arial"/>
        </w:rPr>
        <w:t xml:space="preserve"> the workshop</w:t>
      </w:r>
      <w:r w:rsidR="00F35420" w:rsidRPr="003C2624">
        <w:rPr>
          <w:rFonts w:cs="Arial"/>
        </w:rPr>
        <w:t>, and includes some initial responses regarding alternatives towards the end of these comments</w:t>
      </w:r>
      <w:r w:rsidR="00206CE7" w:rsidRPr="003C2624">
        <w:rPr>
          <w:rFonts w:cs="Arial"/>
        </w:rPr>
        <w:t>.</w:t>
      </w:r>
    </w:p>
    <w:p w14:paraId="7F52BF35" w14:textId="77777777" w:rsidR="00832022" w:rsidRPr="003C2624" w:rsidRDefault="00832022" w:rsidP="00F748E3">
      <w:pPr>
        <w:pStyle w:val="NormalArial"/>
        <w:spacing w:before="120" w:after="120"/>
        <w:ind w:left="360"/>
        <w:rPr>
          <w:rFonts w:cs="Arial"/>
          <w:u w:val="single"/>
        </w:rPr>
      </w:pPr>
      <w:r w:rsidRPr="003C2624">
        <w:rPr>
          <w:rFonts w:cs="Arial"/>
          <w:u w:val="single"/>
        </w:rPr>
        <w:t>Common Root Cause Concerns</w:t>
      </w:r>
    </w:p>
    <w:p w14:paraId="1C166E4A" w14:textId="61CE0A3B" w:rsidR="0048118F" w:rsidRPr="003C2624" w:rsidRDefault="005052DB" w:rsidP="00F748E3">
      <w:pPr>
        <w:pStyle w:val="NormalArial"/>
        <w:spacing w:before="120" w:after="120"/>
        <w:ind w:left="360"/>
        <w:rPr>
          <w:rFonts w:cs="Arial"/>
        </w:rPr>
      </w:pPr>
      <w:r w:rsidRPr="003C2624">
        <w:rPr>
          <w:rFonts w:cs="Arial"/>
        </w:rPr>
        <w:t>S</w:t>
      </w:r>
      <w:r w:rsidR="00206CE7" w:rsidRPr="003C2624">
        <w:rPr>
          <w:rFonts w:cs="Arial"/>
        </w:rPr>
        <w:t>ubstanti</w:t>
      </w:r>
      <w:r w:rsidRPr="003C2624">
        <w:rPr>
          <w:rFonts w:cs="Arial"/>
        </w:rPr>
        <w:t>ve</w:t>
      </w:r>
      <w:r w:rsidR="00206CE7" w:rsidRPr="003C2624">
        <w:rPr>
          <w:rFonts w:cs="Arial"/>
        </w:rPr>
        <w:t xml:space="preserve"> agreement likely exists </w:t>
      </w:r>
      <w:r w:rsidR="00445660" w:rsidRPr="003C2624">
        <w:rPr>
          <w:rFonts w:cs="Arial"/>
        </w:rPr>
        <w:t xml:space="preserve">among stakeholders </w:t>
      </w:r>
      <w:r w:rsidR="00206CE7" w:rsidRPr="003C2624">
        <w:rPr>
          <w:rFonts w:cs="Arial"/>
        </w:rPr>
        <w:t xml:space="preserve">that the proposals at issue in NPRR1092 </w:t>
      </w:r>
      <w:r w:rsidR="00117931" w:rsidRPr="003C2624">
        <w:rPr>
          <w:rFonts w:cs="Arial"/>
        </w:rPr>
        <w:t>are symptom</w:t>
      </w:r>
      <w:r w:rsidRPr="003C2624">
        <w:rPr>
          <w:rFonts w:cs="Arial"/>
        </w:rPr>
        <w:t>atic</w:t>
      </w:r>
      <w:r w:rsidR="00117931" w:rsidRPr="003C2624">
        <w:rPr>
          <w:rFonts w:cs="Arial"/>
        </w:rPr>
        <w:t xml:space="preserve"> of a deeper underlying cause, which is the mismatch between an energy-only market structure and conservative grid operations. </w:t>
      </w:r>
      <w:r w:rsidR="00F748E3" w:rsidRPr="003C2624">
        <w:rPr>
          <w:rFonts w:cs="Arial"/>
        </w:rPr>
        <w:t xml:space="preserve"> </w:t>
      </w:r>
      <w:r w:rsidR="00823A4A" w:rsidRPr="003C2624">
        <w:rPr>
          <w:rFonts w:cs="Arial"/>
        </w:rPr>
        <w:t>Joint Commenters state that “incentives for commitment are no longer aligned with market objectives</w:t>
      </w:r>
      <w:r w:rsidR="005545AF" w:rsidRPr="003C2624">
        <w:rPr>
          <w:rFonts w:cs="Arial"/>
        </w:rPr>
        <w:t>,</w:t>
      </w:r>
      <w:r w:rsidR="00823A4A" w:rsidRPr="003C2624">
        <w:rPr>
          <w:rFonts w:cs="Arial"/>
        </w:rPr>
        <w:t xml:space="preserve">” </w:t>
      </w:r>
      <w:r w:rsidR="005545AF" w:rsidRPr="003C2624">
        <w:rPr>
          <w:rFonts w:cs="Arial"/>
        </w:rPr>
        <w:t xml:space="preserve">and </w:t>
      </w:r>
      <w:r w:rsidR="00823A4A" w:rsidRPr="003C2624">
        <w:rPr>
          <w:rFonts w:cs="Arial"/>
        </w:rPr>
        <w:t xml:space="preserve">that “we hope that the </w:t>
      </w:r>
      <w:r w:rsidR="00F748E3" w:rsidRPr="003C2624">
        <w:rPr>
          <w:rFonts w:cs="Arial"/>
        </w:rPr>
        <w:t>Operating Reserve Demand Curve</w:t>
      </w:r>
      <w:r w:rsidR="00F748E3" w:rsidRPr="003C2624">
        <w:rPr>
          <w:rFonts w:cs="Arial"/>
        </w:rPr>
        <w:t xml:space="preserve"> (</w:t>
      </w:r>
      <w:r w:rsidR="00823A4A" w:rsidRPr="003C2624">
        <w:rPr>
          <w:rFonts w:cs="Arial"/>
        </w:rPr>
        <w:t>ORDC</w:t>
      </w:r>
      <w:r w:rsidR="00F748E3" w:rsidRPr="003C2624">
        <w:rPr>
          <w:rFonts w:cs="Arial"/>
        </w:rPr>
        <w:t>)</w:t>
      </w:r>
      <w:r w:rsidR="00823A4A" w:rsidRPr="003C2624">
        <w:rPr>
          <w:rFonts w:cs="Arial"/>
        </w:rPr>
        <w:t xml:space="preserve"> curve will provide sufficient commitment incentives so that RUC is not needed as frequently. </w:t>
      </w:r>
      <w:r w:rsidR="00F748E3" w:rsidRPr="003C2624">
        <w:rPr>
          <w:rFonts w:cs="Arial"/>
        </w:rPr>
        <w:t xml:space="preserve"> </w:t>
      </w:r>
      <w:r w:rsidR="00823A4A" w:rsidRPr="003C2624">
        <w:rPr>
          <w:rFonts w:cs="Arial"/>
        </w:rPr>
        <w:t xml:space="preserve">However, RUC pricing </w:t>
      </w:r>
      <w:r w:rsidR="00823A4A" w:rsidRPr="003C2624">
        <w:rPr>
          <w:rFonts w:cs="Arial"/>
          <w:i/>
          <w:iCs/>
        </w:rPr>
        <w:t>should never be part of a commitment decision; it only results in outcomes inconsistent with market objectives</w:t>
      </w:r>
      <w:r w:rsidR="00823A4A" w:rsidRPr="003C2624">
        <w:rPr>
          <w:rFonts w:cs="Arial"/>
        </w:rPr>
        <w:t xml:space="preserve">” </w:t>
      </w:r>
      <w:r w:rsidR="005545AF" w:rsidRPr="003C2624">
        <w:rPr>
          <w:rFonts w:cs="Arial"/>
        </w:rPr>
        <w:t xml:space="preserve">(emphasis in original). </w:t>
      </w:r>
      <w:r w:rsidR="00F748E3" w:rsidRPr="003C2624">
        <w:rPr>
          <w:rFonts w:cs="Arial"/>
        </w:rPr>
        <w:t xml:space="preserve"> </w:t>
      </w:r>
      <w:r w:rsidR="005545AF" w:rsidRPr="003C2624">
        <w:rPr>
          <w:rFonts w:cs="Arial"/>
        </w:rPr>
        <w:t xml:space="preserve">Luminant agrees, assuming that “market objectives” is meant to convey </w:t>
      </w:r>
      <w:r w:rsidR="00F12414" w:rsidRPr="003C2624">
        <w:rPr>
          <w:rFonts w:cs="Arial"/>
        </w:rPr>
        <w:t xml:space="preserve">reliable operations </w:t>
      </w:r>
      <w:r w:rsidR="007D0C37" w:rsidRPr="003C2624">
        <w:rPr>
          <w:rFonts w:cs="Arial"/>
        </w:rPr>
        <w:t xml:space="preserve">(this seems to be the natural reading given that RUCs specifically bridge market outcomes and reliability </w:t>
      </w:r>
      <w:r w:rsidR="00F12414" w:rsidRPr="003C2624">
        <w:rPr>
          <w:rFonts w:cs="Arial"/>
        </w:rPr>
        <w:t>requirements that are otherwise not met through the market</w:t>
      </w:r>
      <w:r w:rsidR="007D0C37" w:rsidRPr="003C2624">
        <w:rPr>
          <w:rFonts w:cs="Arial"/>
        </w:rPr>
        <w:t>).</w:t>
      </w:r>
      <w:r w:rsidR="005545AF" w:rsidRPr="003C2624">
        <w:rPr>
          <w:rFonts w:cs="Arial"/>
        </w:rPr>
        <w:t xml:space="preserve"> </w:t>
      </w:r>
      <w:r w:rsidR="00F748E3" w:rsidRPr="003C2624">
        <w:rPr>
          <w:rFonts w:cs="Arial"/>
        </w:rPr>
        <w:t xml:space="preserve"> </w:t>
      </w:r>
      <w:r w:rsidR="005545AF" w:rsidRPr="003C2624">
        <w:rPr>
          <w:rFonts w:cs="Arial"/>
        </w:rPr>
        <w:t xml:space="preserve">Luminant also shares the </w:t>
      </w:r>
      <w:r w:rsidRPr="003C2624">
        <w:rPr>
          <w:rFonts w:cs="Arial"/>
        </w:rPr>
        <w:t xml:space="preserve">ideal that </w:t>
      </w:r>
      <w:r w:rsidR="005545AF" w:rsidRPr="003C2624">
        <w:rPr>
          <w:rFonts w:cs="Arial"/>
        </w:rPr>
        <w:t xml:space="preserve">the ORDC </w:t>
      </w:r>
      <w:r w:rsidRPr="003C2624">
        <w:rPr>
          <w:rFonts w:cs="Arial"/>
        </w:rPr>
        <w:t xml:space="preserve">should provide the necessary </w:t>
      </w:r>
      <w:r w:rsidR="007D0C37" w:rsidRPr="003C2624">
        <w:rPr>
          <w:rFonts w:cs="Arial"/>
        </w:rPr>
        <w:t xml:space="preserve">commitment </w:t>
      </w:r>
      <w:r w:rsidR="005545AF" w:rsidRPr="003C2624">
        <w:rPr>
          <w:rFonts w:cs="Arial"/>
        </w:rPr>
        <w:t>incentives</w:t>
      </w:r>
      <w:r w:rsidRPr="003C2624">
        <w:rPr>
          <w:rFonts w:cs="Arial"/>
        </w:rPr>
        <w:t xml:space="preserve"> to avoid RUCs</w:t>
      </w:r>
      <w:r w:rsidR="005545AF" w:rsidRPr="003C2624">
        <w:rPr>
          <w:rFonts w:cs="Arial"/>
        </w:rPr>
        <w:t xml:space="preserve">. </w:t>
      </w:r>
      <w:r w:rsidR="00F748E3" w:rsidRPr="003C2624">
        <w:rPr>
          <w:rFonts w:cs="Arial"/>
        </w:rPr>
        <w:t xml:space="preserve"> </w:t>
      </w:r>
      <w:r w:rsidR="005545AF" w:rsidRPr="003C2624">
        <w:rPr>
          <w:rFonts w:cs="Arial"/>
        </w:rPr>
        <w:t>And while Luminant</w:t>
      </w:r>
      <w:r w:rsidR="007D0C37" w:rsidRPr="003C2624">
        <w:rPr>
          <w:rFonts w:cs="Arial"/>
        </w:rPr>
        <w:t xml:space="preserve"> notes that the </w:t>
      </w:r>
      <w:r w:rsidRPr="003C2624">
        <w:rPr>
          <w:rFonts w:cs="Arial"/>
        </w:rPr>
        <w:t xml:space="preserve">existing </w:t>
      </w:r>
      <w:r w:rsidR="007D0C37" w:rsidRPr="003C2624">
        <w:rPr>
          <w:rFonts w:cs="Arial"/>
        </w:rPr>
        <w:t xml:space="preserve">RUC </w:t>
      </w:r>
      <w:r w:rsidRPr="003C2624">
        <w:rPr>
          <w:rFonts w:cs="Arial"/>
        </w:rPr>
        <w:t>opt-out/</w:t>
      </w:r>
      <w:r w:rsidR="007D0C37" w:rsidRPr="003C2624">
        <w:rPr>
          <w:rFonts w:cs="Arial"/>
        </w:rPr>
        <w:t xml:space="preserve">clawback </w:t>
      </w:r>
      <w:r w:rsidRPr="003C2624">
        <w:rPr>
          <w:rFonts w:cs="Arial"/>
        </w:rPr>
        <w:t xml:space="preserve">policies are ostensibly intended </w:t>
      </w:r>
      <w:r w:rsidR="007A0E53" w:rsidRPr="003C2624">
        <w:rPr>
          <w:rFonts w:cs="Arial"/>
        </w:rPr>
        <w:t xml:space="preserve">precisely </w:t>
      </w:r>
      <w:r w:rsidRPr="003C2624">
        <w:rPr>
          <w:rFonts w:cs="Arial"/>
        </w:rPr>
        <w:t xml:space="preserve">to use </w:t>
      </w:r>
      <w:r w:rsidR="007D0C37" w:rsidRPr="003C2624">
        <w:rPr>
          <w:rFonts w:cs="Arial"/>
        </w:rPr>
        <w:t xml:space="preserve">“RUC pricing” to drive commitment </w:t>
      </w:r>
      <w:r w:rsidRPr="003C2624">
        <w:rPr>
          <w:rFonts w:cs="Arial"/>
        </w:rPr>
        <w:t xml:space="preserve">decisions (by encouraging forward commitment through </w:t>
      </w:r>
      <w:r w:rsidR="00F748E3" w:rsidRPr="003C2624">
        <w:rPr>
          <w:rFonts w:cs="Arial"/>
        </w:rPr>
        <w:t>Day-Ahead Market (</w:t>
      </w:r>
      <w:r w:rsidRPr="003C2624">
        <w:rPr>
          <w:rFonts w:cs="Arial"/>
        </w:rPr>
        <w:t>DAM</w:t>
      </w:r>
      <w:r w:rsidR="00F748E3" w:rsidRPr="003C2624">
        <w:rPr>
          <w:rFonts w:cs="Arial"/>
        </w:rPr>
        <w:t>)</w:t>
      </w:r>
      <w:r w:rsidRPr="003C2624">
        <w:rPr>
          <w:rFonts w:cs="Arial"/>
        </w:rPr>
        <w:t xml:space="preserve"> participation)</w:t>
      </w:r>
      <w:r w:rsidR="007D0C37" w:rsidRPr="003C2624">
        <w:rPr>
          <w:rFonts w:cs="Arial"/>
        </w:rPr>
        <w:t>, Luminant agree</w:t>
      </w:r>
      <w:r w:rsidR="00C6498F" w:rsidRPr="003C2624">
        <w:rPr>
          <w:rFonts w:cs="Arial"/>
        </w:rPr>
        <w:t>s</w:t>
      </w:r>
      <w:r w:rsidR="007D0C37" w:rsidRPr="003C2624">
        <w:rPr>
          <w:rFonts w:cs="Arial"/>
        </w:rPr>
        <w:t xml:space="preserve"> that a competitive generator should make its commitment decisions based on market price signals</w:t>
      </w:r>
      <w:r w:rsidR="007A0E53" w:rsidRPr="003C2624">
        <w:rPr>
          <w:rFonts w:cs="Arial"/>
        </w:rPr>
        <w:t xml:space="preserve">, which appears to </w:t>
      </w:r>
      <w:r w:rsidR="002921EE" w:rsidRPr="003C2624">
        <w:rPr>
          <w:rFonts w:cs="Arial"/>
        </w:rPr>
        <w:t xml:space="preserve">also </w:t>
      </w:r>
      <w:r w:rsidR="007A0E53" w:rsidRPr="003C2624">
        <w:rPr>
          <w:rFonts w:cs="Arial"/>
        </w:rPr>
        <w:t xml:space="preserve">be Joint Commenters’ </w:t>
      </w:r>
      <w:r w:rsidR="002921EE" w:rsidRPr="003C2624">
        <w:rPr>
          <w:rFonts w:cs="Arial"/>
        </w:rPr>
        <w:t>intent</w:t>
      </w:r>
      <w:r w:rsidR="007D0C37" w:rsidRPr="003C2624">
        <w:rPr>
          <w:rFonts w:cs="Arial"/>
        </w:rPr>
        <w:t>.</w:t>
      </w:r>
      <w:r w:rsidR="0048118F" w:rsidRPr="003C2624">
        <w:rPr>
          <w:rFonts w:cs="Arial"/>
        </w:rPr>
        <w:t xml:space="preserve"> </w:t>
      </w:r>
      <w:r w:rsidR="00F748E3" w:rsidRPr="003C2624">
        <w:rPr>
          <w:rFonts w:cs="Arial"/>
        </w:rPr>
        <w:t xml:space="preserve"> </w:t>
      </w:r>
      <w:r w:rsidR="008536B7" w:rsidRPr="003C2624">
        <w:rPr>
          <w:rFonts w:cs="Arial"/>
        </w:rPr>
        <w:t>Finally, Joint Commenters state that “</w:t>
      </w:r>
      <w:r w:rsidR="00DE3144" w:rsidRPr="003C2624">
        <w:rPr>
          <w:rFonts w:cs="Arial"/>
        </w:rPr>
        <w:t>f</w:t>
      </w:r>
      <w:r w:rsidR="008536B7" w:rsidRPr="003C2624">
        <w:rPr>
          <w:rFonts w:cs="Arial"/>
        </w:rPr>
        <w:t>or the market to function, Joint Consumers believe that RUCs must ultimately be reduced.</w:t>
      </w:r>
      <w:r w:rsidR="00DE3144" w:rsidRPr="003C2624">
        <w:rPr>
          <w:rFonts w:cs="Arial"/>
        </w:rPr>
        <w:t xml:space="preserve">” </w:t>
      </w:r>
      <w:r w:rsidR="00F748E3" w:rsidRPr="003C2624">
        <w:rPr>
          <w:rFonts w:cs="Arial"/>
        </w:rPr>
        <w:t xml:space="preserve"> </w:t>
      </w:r>
      <w:r w:rsidR="00DE3144" w:rsidRPr="003C2624">
        <w:rPr>
          <w:rFonts w:cs="Arial"/>
        </w:rPr>
        <w:t xml:space="preserve">Luminant wholeheartedly agrees </w:t>
      </w:r>
      <w:r w:rsidR="00766192" w:rsidRPr="003C2624">
        <w:rPr>
          <w:rFonts w:cs="Arial"/>
        </w:rPr>
        <w:t>with this statement</w:t>
      </w:r>
      <w:r w:rsidR="00DE3144" w:rsidRPr="003C2624">
        <w:rPr>
          <w:rFonts w:cs="Arial"/>
        </w:rPr>
        <w:t xml:space="preserve">. </w:t>
      </w:r>
    </w:p>
    <w:p w14:paraId="2C5EDAA2" w14:textId="5D651000" w:rsidR="003E3AB4" w:rsidRPr="003C2624" w:rsidRDefault="0048118F" w:rsidP="00F748E3">
      <w:pPr>
        <w:pStyle w:val="NormalArial"/>
        <w:spacing w:before="120" w:after="120"/>
        <w:ind w:left="360"/>
        <w:rPr>
          <w:rFonts w:cs="Arial"/>
        </w:rPr>
      </w:pPr>
      <w:r w:rsidRPr="003C2624">
        <w:rPr>
          <w:rFonts w:cs="Arial"/>
        </w:rPr>
        <w:t xml:space="preserve">The problem is that </w:t>
      </w:r>
      <w:r w:rsidR="0033247A" w:rsidRPr="003C2624">
        <w:rPr>
          <w:rFonts w:cs="Arial"/>
        </w:rPr>
        <w:t xml:space="preserve">ERCOT is seeking very conservative target reserves using </w:t>
      </w:r>
      <w:r w:rsidRPr="003C2624">
        <w:rPr>
          <w:rFonts w:cs="Arial"/>
        </w:rPr>
        <w:t xml:space="preserve">significantly expanded </w:t>
      </w:r>
      <w:r w:rsidR="00F748E3" w:rsidRPr="003C2624">
        <w:rPr>
          <w:rFonts w:cs="Arial"/>
        </w:rPr>
        <w:t>A</w:t>
      </w:r>
      <w:r w:rsidRPr="003C2624">
        <w:rPr>
          <w:rFonts w:cs="Arial"/>
        </w:rPr>
        <w:t xml:space="preserve">ncillary </w:t>
      </w:r>
      <w:r w:rsidR="00F748E3" w:rsidRPr="003C2624">
        <w:rPr>
          <w:rFonts w:cs="Arial"/>
        </w:rPr>
        <w:t>S</w:t>
      </w:r>
      <w:r w:rsidRPr="003C2624">
        <w:rPr>
          <w:rFonts w:cs="Arial"/>
        </w:rPr>
        <w:t>ervice procurements</w:t>
      </w:r>
      <w:r w:rsidR="0033247A" w:rsidRPr="003C2624">
        <w:rPr>
          <w:rFonts w:cs="Arial"/>
        </w:rPr>
        <w:t xml:space="preserve"> and conservative forecasts.  Specifically, </w:t>
      </w:r>
      <w:r w:rsidR="007A0E53" w:rsidRPr="003C2624">
        <w:rPr>
          <w:rFonts w:cs="Arial"/>
        </w:rPr>
        <w:t>ERCOT</w:t>
      </w:r>
      <w:r w:rsidR="00C6498F" w:rsidRPr="003C2624">
        <w:rPr>
          <w:rFonts w:cs="Arial"/>
        </w:rPr>
        <w:t>’s</w:t>
      </w:r>
      <w:r w:rsidR="007A0E53" w:rsidRPr="003C2624">
        <w:rPr>
          <w:rFonts w:cs="Arial"/>
        </w:rPr>
        <w:t xml:space="preserve"> use of </w:t>
      </w:r>
      <w:r w:rsidR="00F35420" w:rsidRPr="003C2624">
        <w:rPr>
          <w:rFonts w:cs="Arial"/>
        </w:rPr>
        <w:t xml:space="preserve">frequently </w:t>
      </w:r>
      <w:r w:rsidR="00F12414" w:rsidRPr="003C2624">
        <w:rPr>
          <w:rFonts w:cs="Arial"/>
        </w:rPr>
        <w:t xml:space="preserve">unrealistically high </w:t>
      </w:r>
      <w:r w:rsidR="00F748E3" w:rsidRPr="003C2624">
        <w:rPr>
          <w:rFonts w:cs="Arial"/>
        </w:rPr>
        <w:t>L</w:t>
      </w:r>
      <w:r w:rsidRPr="003C2624">
        <w:rPr>
          <w:rFonts w:cs="Arial"/>
        </w:rPr>
        <w:t>oad</w:t>
      </w:r>
      <w:r w:rsidR="00F12414" w:rsidRPr="003C2624">
        <w:rPr>
          <w:rFonts w:cs="Arial"/>
        </w:rPr>
        <w:t xml:space="preserve"> forecasts and </w:t>
      </w:r>
      <w:r w:rsidR="00F35420" w:rsidRPr="003C2624">
        <w:rPr>
          <w:rFonts w:cs="Arial"/>
        </w:rPr>
        <w:t xml:space="preserve">frequently </w:t>
      </w:r>
      <w:r w:rsidR="00F12414" w:rsidRPr="003C2624">
        <w:rPr>
          <w:rFonts w:cs="Arial"/>
        </w:rPr>
        <w:t xml:space="preserve">unrealistically low </w:t>
      </w:r>
      <w:r w:rsidRPr="003C2624">
        <w:rPr>
          <w:rFonts w:cs="Arial"/>
        </w:rPr>
        <w:t>wind</w:t>
      </w:r>
      <w:r w:rsidR="00F12414" w:rsidRPr="003C2624">
        <w:rPr>
          <w:rFonts w:cs="Arial"/>
        </w:rPr>
        <w:t xml:space="preserve"> and </w:t>
      </w:r>
      <w:r w:rsidRPr="003C2624">
        <w:rPr>
          <w:rFonts w:cs="Arial"/>
        </w:rPr>
        <w:t>solar forecasts</w:t>
      </w:r>
      <w:r w:rsidR="0033247A" w:rsidRPr="003C2624">
        <w:rPr>
          <w:rFonts w:cs="Arial"/>
        </w:rPr>
        <w:t xml:space="preserve"> will not align with </w:t>
      </w:r>
      <w:r w:rsidR="00F748E3" w:rsidRPr="003C2624">
        <w:rPr>
          <w:rFonts w:cs="Arial"/>
        </w:rPr>
        <w:t>M</w:t>
      </w:r>
      <w:r w:rsidR="0033247A" w:rsidRPr="003C2624">
        <w:rPr>
          <w:rFonts w:cs="Arial"/>
        </w:rPr>
        <w:t xml:space="preserve">arket </w:t>
      </w:r>
      <w:r w:rsidR="00F748E3" w:rsidRPr="003C2624">
        <w:rPr>
          <w:rFonts w:cs="Arial"/>
        </w:rPr>
        <w:t>P</w:t>
      </w:r>
      <w:r w:rsidR="0033247A" w:rsidRPr="003C2624">
        <w:rPr>
          <w:rFonts w:cs="Arial"/>
        </w:rPr>
        <w:t xml:space="preserve">articipant expectations </w:t>
      </w:r>
      <w:r w:rsidR="007A0E53" w:rsidRPr="003C2624">
        <w:rPr>
          <w:rFonts w:cs="Arial"/>
        </w:rPr>
        <w:t xml:space="preserve">for </w:t>
      </w:r>
      <w:r w:rsidR="0033247A" w:rsidRPr="003C2624">
        <w:rPr>
          <w:rFonts w:cs="Arial"/>
        </w:rPr>
        <w:t>supply or demand</w:t>
      </w:r>
      <w:r w:rsidR="00F12491" w:rsidRPr="003C2624">
        <w:rPr>
          <w:rFonts w:cs="Arial"/>
        </w:rPr>
        <w:t xml:space="preserve">. </w:t>
      </w:r>
      <w:r w:rsidR="00F748E3" w:rsidRPr="003C2624">
        <w:rPr>
          <w:rFonts w:cs="Arial"/>
        </w:rPr>
        <w:t xml:space="preserve"> </w:t>
      </w:r>
      <w:r w:rsidR="00F12491" w:rsidRPr="003C2624">
        <w:rPr>
          <w:rFonts w:cs="Arial"/>
        </w:rPr>
        <w:t>When this happens</w:t>
      </w:r>
      <w:r w:rsidR="0033247A" w:rsidRPr="003C2624">
        <w:rPr>
          <w:rFonts w:cs="Arial"/>
        </w:rPr>
        <w:t xml:space="preserve">, </w:t>
      </w:r>
      <w:r w:rsidRPr="003C2624">
        <w:rPr>
          <w:rFonts w:cs="Arial"/>
        </w:rPr>
        <w:t xml:space="preserve">market price </w:t>
      </w:r>
      <w:r w:rsidRPr="003C2624">
        <w:rPr>
          <w:rFonts w:cs="Arial"/>
        </w:rPr>
        <w:lastRenderedPageBreak/>
        <w:t xml:space="preserve">signals </w:t>
      </w:r>
      <w:r w:rsidR="007A0E53" w:rsidRPr="003C2624">
        <w:rPr>
          <w:rFonts w:cs="Arial"/>
        </w:rPr>
        <w:t>will</w:t>
      </w:r>
      <w:r w:rsidR="0033247A" w:rsidRPr="003C2624">
        <w:rPr>
          <w:rFonts w:cs="Arial"/>
        </w:rPr>
        <w:t xml:space="preserve"> not support </w:t>
      </w:r>
      <w:r w:rsidRPr="003C2624">
        <w:rPr>
          <w:rFonts w:cs="Arial"/>
        </w:rPr>
        <w:t xml:space="preserve">ERCOT’s conservative target reserves. </w:t>
      </w:r>
      <w:r w:rsidR="00F748E3" w:rsidRPr="003C2624">
        <w:rPr>
          <w:rFonts w:cs="Arial"/>
        </w:rPr>
        <w:t xml:space="preserve"> </w:t>
      </w:r>
      <w:r w:rsidR="00FE2CA3" w:rsidRPr="003C2624">
        <w:rPr>
          <w:rFonts w:cs="Arial"/>
        </w:rPr>
        <w:t xml:space="preserve">At the March 7, 2022, </w:t>
      </w:r>
      <w:r w:rsidR="00F12491" w:rsidRPr="003C2624">
        <w:rPr>
          <w:rFonts w:cs="Arial"/>
        </w:rPr>
        <w:t xml:space="preserve">ERCOT </w:t>
      </w:r>
      <w:r w:rsidR="00FE2CA3" w:rsidRPr="003C2624">
        <w:rPr>
          <w:rFonts w:cs="Arial"/>
        </w:rPr>
        <w:t xml:space="preserve">Board of Directors Meeting, </w:t>
      </w:r>
      <w:r w:rsidR="00F12491" w:rsidRPr="003C2624">
        <w:rPr>
          <w:rFonts w:cs="Arial"/>
        </w:rPr>
        <w:t>t</w:t>
      </w:r>
      <w:r w:rsidR="00FE2CA3" w:rsidRPr="003C2624">
        <w:rPr>
          <w:rFonts w:cs="Arial"/>
        </w:rPr>
        <w:t xml:space="preserve">he IMM relayed her concerns with these forecasts. </w:t>
      </w:r>
      <w:r w:rsidR="00F748E3" w:rsidRPr="003C2624">
        <w:rPr>
          <w:rFonts w:cs="Arial"/>
        </w:rPr>
        <w:t xml:space="preserve"> </w:t>
      </w:r>
      <w:r w:rsidRPr="003C2624">
        <w:rPr>
          <w:rFonts w:cs="Arial"/>
        </w:rPr>
        <w:t xml:space="preserve">Procuring additional </w:t>
      </w:r>
      <w:r w:rsidR="00F748E3" w:rsidRPr="003C2624">
        <w:rPr>
          <w:rFonts w:cs="Arial"/>
        </w:rPr>
        <w:t>A</w:t>
      </w:r>
      <w:r w:rsidRPr="003C2624">
        <w:rPr>
          <w:rFonts w:cs="Arial"/>
        </w:rPr>
        <w:t xml:space="preserve">ncillary </w:t>
      </w:r>
      <w:r w:rsidR="00F748E3" w:rsidRPr="003C2624">
        <w:rPr>
          <w:rFonts w:cs="Arial"/>
        </w:rPr>
        <w:t>S</w:t>
      </w:r>
      <w:r w:rsidRPr="003C2624">
        <w:rPr>
          <w:rFonts w:cs="Arial"/>
        </w:rPr>
        <w:t xml:space="preserve">ervices drives down ORDC pricing and, in the case of </w:t>
      </w:r>
      <w:r w:rsidR="00F748E3" w:rsidRPr="003C2624">
        <w:rPr>
          <w:rFonts w:cs="Arial"/>
        </w:rPr>
        <w:t>Non-Spinning Reserve (</w:t>
      </w:r>
      <w:r w:rsidRPr="003C2624">
        <w:rPr>
          <w:rFonts w:cs="Arial"/>
        </w:rPr>
        <w:t>Non-Spin</w:t>
      </w:r>
      <w:r w:rsidR="00F748E3" w:rsidRPr="003C2624">
        <w:rPr>
          <w:rFonts w:cs="Arial"/>
        </w:rPr>
        <w:t>)</w:t>
      </w:r>
      <w:r w:rsidRPr="003C2624">
        <w:rPr>
          <w:rFonts w:cs="Arial"/>
        </w:rPr>
        <w:t xml:space="preserve">, creates a soft price ceiling around $75/MWh. </w:t>
      </w:r>
      <w:r w:rsidR="00F748E3" w:rsidRPr="003C2624">
        <w:rPr>
          <w:rFonts w:cs="Arial"/>
        </w:rPr>
        <w:t xml:space="preserve"> </w:t>
      </w:r>
      <w:r w:rsidRPr="003C2624">
        <w:rPr>
          <w:rFonts w:cs="Arial"/>
        </w:rPr>
        <w:t xml:space="preserve">This </w:t>
      </w:r>
      <w:r w:rsidR="0033247A" w:rsidRPr="003C2624">
        <w:rPr>
          <w:rFonts w:cs="Arial"/>
        </w:rPr>
        <w:t xml:space="preserve">soft ceiling </w:t>
      </w:r>
      <w:r w:rsidR="00FE2CA3" w:rsidRPr="003C2624">
        <w:rPr>
          <w:rFonts w:cs="Arial"/>
        </w:rPr>
        <w:t xml:space="preserve">punitively </w:t>
      </w:r>
      <w:r w:rsidR="0033247A" w:rsidRPr="003C2624">
        <w:rPr>
          <w:rFonts w:cs="Arial"/>
        </w:rPr>
        <w:t xml:space="preserve">reduces the </w:t>
      </w:r>
      <w:r w:rsidR="00FE2CA3" w:rsidRPr="003C2624">
        <w:rPr>
          <w:rFonts w:cs="Arial"/>
        </w:rPr>
        <w:t xml:space="preserve">possibility </w:t>
      </w:r>
      <w:r w:rsidRPr="003C2624">
        <w:rPr>
          <w:rFonts w:cs="Arial"/>
        </w:rPr>
        <w:t>of higher prices</w:t>
      </w:r>
      <w:r w:rsidR="0033247A" w:rsidRPr="003C2624">
        <w:rPr>
          <w:rFonts w:cs="Arial"/>
        </w:rPr>
        <w:t xml:space="preserve">, </w:t>
      </w:r>
      <w:r w:rsidR="007A0E53" w:rsidRPr="003C2624">
        <w:rPr>
          <w:rFonts w:cs="Arial"/>
        </w:rPr>
        <w:t xml:space="preserve">both through </w:t>
      </w:r>
      <w:r w:rsidR="005250DB" w:rsidRPr="003C2624">
        <w:rPr>
          <w:rFonts w:cs="Arial"/>
        </w:rPr>
        <w:t>S</w:t>
      </w:r>
      <w:r w:rsidR="007A0E53" w:rsidRPr="003C2624">
        <w:rPr>
          <w:rFonts w:cs="Arial"/>
        </w:rPr>
        <w:t xml:space="preserve">ystem </w:t>
      </w:r>
      <w:r w:rsidR="005250DB" w:rsidRPr="003C2624">
        <w:rPr>
          <w:rFonts w:cs="Arial"/>
        </w:rPr>
        <w:t>L</w:t>
      </w:r>
      <w:r w:rsidR="007A0E53" w:rsidRPr="003C2624">
        <w:rPr>
          <w:rFonts w:cs="Arial"/>
        </w:rPr>
        <w:t>ambda</w:t>
      </w:r>
      <w:r w:rsidR="00F748E3" w:rsidRPr="003C2624">
        <w:rPr>
          <w:rFonts w:cs="Arial"/>
        </w:rPr>
        <w:t xml:space="preserve"> </w:t>
      </w:r>
      <w:r w:rsidR="007A0E53" w:rsidRPr="003C2624">
        <w:rPr>
          <w:rFonts w:cs="Arial"/>
        </w:rPr>
        <w:t>/</w:t>
      </w:r>
      <w:r w:rsidR="00F748E3" w:rsidRPr="003C2624">
        <w:rPr>
          <w:rFonts w:cs="Arial"/>
        </w:rPr>
        <w:t xml:space="preserve"> </w:t>
      </w:r>
      <w:r w:rsidR="00F748E3" w:rsidRPr="003C2624">
        <w:rPr>
          <w:rFonts w:cs="Arial"/>
        </w:rPr>
        <w:t>Locational Marginal Price</w:t>
      </w:r>
      <w:r w:rsidR="00F748E3" w:rsidRPr="003C2624">
        <w:rPr>
          <w:rFonts w:cs="Arial"/>
        </w:rPr>
        <w:t xml:space="preserve"> (</w:t>
      </w:r>
      <w:r w:rsidR="0033247A" w:rsidRPr="003C2624">
        <w:rPr>
          <w:rFonts w:cs="Arial"/>
        </w:rPr>
        <w:t>LMP</w:t>
      </w:r>
      <w:r w:rsidR="007A0E53" w:rsidRPr="003C2624">
        <w:rPr>
          <w:rFonts w:cs="Arial"/>
        </w:rPr>
        <w:t>s</w:t>
      </w:r>
      <w:r w:rsidR="00F748E3" w:rsidRPr="003C2624">
        <w:rPr>
          <w:rFonts w:cs="Arial"/>
        </w:rPr>
        <w:t>)</w:t>
      </w:r>
      <w:r w:rsidR="007A0E53" w:rsidRPr="003C2624">
        <w:rPr>
          <w:rFonts w:cs="Arial"/>
        </w:rPr>
        <w:t xml:space="preserve"> and the </w:t>
      </w:r>
      <w:r w:rsidR="0033247A" w:rsidRPr="003C2624">
        <w:rPr>
          <w:rFonts w:cs="Arial"/>
        </w:rPr>
        <w:t>ORDC,</w:t>
      </w:r>
      <w:r w:rsidRPr="003C2624">
        <w:rPr>
          <w:rFonts w:cs="Arial"/>
        </w:rPr>
        <w:t xml:space="preserve"> and</w:t>
      </w:r>
      <w:r w:rsidR="0033247A" w:rsidRPr="003C2624">
        <w:rPr>
          <w:rFonts w:cs="Arial"/>
        </w:rPr>
        <w:t xml:space="preserve"> disincentivizes</w:t>
      </w:r>
      <w:r w:rsidRPr="003C2624">
        <w:rPr>
          <w:rFonts w:cs="Arial"/>
        </w:rPr>
        <w:t xml:space="preserve"> loads </w:t>
      </w:r>
      <w:r w:rsidR="0033247A" w:rsidRPr="003C2624">
        <w:rPr>
          <w:rFonts w:cs="Arial"/>
        </w:rPr>
        <w:t xml:space="preserve">from hedging </w:t>
      </w:r>
      <w:r w:rsidRPr="003C2624">
        <w:rPr>
          <w:rFonts w:cs="Arial"/>
        </w:rPr>
        <w:t xml:space="preserve">their position in DAM or otherwise. </w:t>
      </w:r>
      <w:r w:rsidR="00F748E3" w:rsidRPr="003C2624">
        <w:rPr>
          <w:rFonts w:cs="Arial"/>
        </w:rPr>
        <w:t xml:space="preserve"> </w:t>
      </w:r>
      <w:r w:rsidR="002921EE" w:rsidRPr="003C2624">
        <w:rPr>
          <w:rFonts w:cs="Arial"/>
        </w:rPr>
        <w:t xml:space="preserve">In the meantime, ERCOT is forced to make up the difference by committing thousands of MWs using the RUC process. </w:t>
      </w:r>
      <w:r w:rsidR="00F748E3" w:rsidRPr="003C2624">
        <w:rPr>
          <w:rFonts w:cs="Arial"/>
        </w:rPr>
        <w:t xml:space="preserve"> </w:t>
      </w:r>
      <w:r w:rsidR="00766192" w:rsidRPr="003C2624">
        <w:rPr>
          <w:rFonts w:cs="Arial"/>
        </w:rPr>
        <w:t xml:space="preserve">That is, </w:t>
      </w:r>
      <w:r w:rsidR="00766192" w:rsidRPr="003C2624">
        <w:rPr>
          <w:rFonts w:cs="Arial"/>
          <w:i/>
          <w:iCs/>
        </w:rPr>
        <w:t xml:space="preserve">the market price signal for commitments </w:t>
      </w:r>
      <w:r w:rsidR="00FE2CA3" w:rsidRPr="003C2624">
        <w:rPr>
          <w:rFonts w:cs="Arial"/>
          <w:i/>
          <w:iCs/>
        </w:rPr>
        <w:t xml:space="preserve">is </w:t>
      </w:r>
      <w:r w:rsidR="00766192" w:rsidRPr="003C2624">
        <w:rPr>
          <w:rFonts w:cs="Arial"/>
          <w:i/>
          <w:iCs/>
        </w:rPr>
        <w:t>break</w:t>
      </w:r>
      <w:r w:rsidR="00FE2CA3" w:rsidRPr="003C2624">
        <w:rPr>
          <w:rFonts w:cs="Arial"/>
          <w:i/>
          <w:iCs/>
        </w:rPr>
        <w:t>ing</w:t>
      </w:r>
      <w:r w:rsidR="00766192" w:rsidRPr="003C2624">
        <w:rPr>
          <w:rFonts w:cs="Arial"/>
          <w:i/>
          <w:iCs/>
        </w:rPr>
        <w:t xml:space="preserve"> down</w:t>
      </w:r>
      <w:r w:rsidR="007A0E53" w:rsidRPr="003C2624">
        <w:rPr>
          <w:rFonts w:cs="Arial"/>
          <w:i/>
          <w:iCs/>
        </w:rPr>
        <w:t xml:space="preserve"> under ERCOT’s conservative grid operations</w:t>
      </w:r>
      <w:r w:rsidR="00766192" w:rsidRPr="003C2624">
        <w:rPr>
          <w:rFonts w:cs="Arial"/>
        </w:rPr>
        <w:t xml:space="preserve">. </w:t>
      </w:r>
      <w:r w:rsidR="00F748E3" w:rsidRPr="003C2624">
        <w:rPr>
          <w:rFonts w:cs="Arial"/>
        </w:rPr>
        <w:t xml:space="preserve"> </w:t>
      </w:r>
      <w:r w:rsidR="002229FF" w:rsidRPr="003C2624">
        <w:rPr>
          <w:rFonts w:cs="Arial"/>
        </w:rPr>
        <w:t xml:space="preserve">In sum, the market is calling ERCOT’s bluff about tight system conditions when none </w:t>
      </w:r>
      <w:r w:rsidR="007A0E53" w:rsidRPr="003C2624">
        <w:rPr>
          <w:rFonts w:cs="Arial"/>
        </w:rPr>
        <w:t xml:space="preserve">are likely to </w:t>
      </w:r>
      <w:r w:rsidR="002229FF" w:rsidRPr="003C2624">
        <w:rPr>
          <w:rFonts w:cs="Arial"/>
        </w:rPr>
        <w:t xml:space="preserve">exist.  </w:t>
      </w:r>
    </w:p>
    <w:p w14:paraId="27EA876D" w14:textId="7931EBB3" w:rsidR="005250DB" w:rsidRPr="003C2624" w:rsidRDefault="007A0E53" w:rsidP="00F748E3">
      <w:pPr>
        <w:pStyle w:val="NormalArial"/>
        <w:spacing w:before="120" w:after="120"/>
        <w:ind w:left="360"/>
        <w:rPr>
          <w:rFonts w:cs="Arial"/>
        </w:rPr>
      </w:pPr>
      <w:r w:rsidRPr="003C2624">
        <w:rPr>
          <w:rFonts w:cs="Arial"/>
        </w:rPr>
        <w:t>W</w:t>
      </w:r>
      <w:r w:rsidR="0048118F" w:rsidRPr="003C2624">
        <w:rPr>
          <w:rFonts w:cs="Arial"/>
        </w:rPr>
        <w:t>hile ERCOT</w:t>
      </w:r>
      <w:r w:rsidR="002229FF" w:rsidRPr="003C2624">
        <w:rPr>
          <w:rFonts w:cs="Arial"/>
        </w:rPr>
        <w:t xml:space="preserve">’s </w:t>
      </w:r>
      <w:r w:rsidRPr="003C2624">
        <w:rPr>
          <w:rFonts w:cs="Arial"/>
        </w:rPr>
        <w:t xml:space="preserve">focus </w:t>
      </w:r>
      <w:r w:rsidR="002229FF" w:rsidRPr="003C2624">
        <w:rPr>
          <w:rFonts w:cs="Arial"/>
        </w:rPr>
        <w:t xml:space="preserve">must be on reliable operations, </w:t>
      </w:r>
      <w:r w:rsidR="00FE2CA3" w:rsidRPr="003C2624">
        <w:rPr>
          <w:rFonts w:cs="Arial"/>
        </w:rPr>
        <w:t xml:space="preserve">an energy-only </w:t>
      </w:r>
      <w:r w:rsidR="002229FF" w:rsidRPr="003C2624">
        <w:rPr>
          <w:rFonts w:cs="Arial"/>
        </w:rPr>
        <w:t xml:space="preserve">market cannot be expected to be overly cautious and </w:t>
      </w:r>
      <w:r w:rsidR="003E3AB4" w:rsidRPr="003C2624">
        <w:rPr>
          <w:rFonts w:cs="Arial"/>
        </w:rPr>
        <w:t>risk-averse</w:t>
      </w:r>
      <w:r w:rsidR="002229FF" w:rsidRPr="003C2624">
        <w:rPr>
          <w:rFonts w:cs="Arial"/>
        </w:rPr>
        <w:t xml:space="preserve"> simply because that</w:t>
      </w:r>
      <w:r w:rsidRPr="003C2624">
        <w:rPr>
          <w:rFonts w:cs="Arial"/>
        </w:rPr>
        <w:t xml:space="preserve"> i</w:t>
      </w:r>
      <w:r w:rsidR="002229FF" w:rsidRPr="003C2624">
        <w:rPr>
          <w:rFonts w:cs="Arial"/>
        </w:rPr>
        <w:t xml:space="preserve">s ERCOT’s preferred posture. </w:t>
      </w:r>
      <w:r w:rsidR="00F748E3" w:rsidRPr="003C2624">
        <w:rPr>
          <w:rFonts w:cs="Arial"/>
        </w:rPr>
        <w:t xml:space="preserve"> </w:t>
      </w:r>
      <w:r w:rsidR="002229FF" w:rsidRPr="003C2624">
        <w:rPr>
          <w:rFonts w:cs="Arial"/>
        </w:rPr>
        <w:t>By design, m</w:t>
      </w:r>
      <w:r w:rsidR="004C2DAF" w:rsidRPr="003C2624">
        <w:rPr>
          <w:rFonts w:cs="Arial"/>
        </w:rPr>
        <w:t xml:space="preserve">arkets </w:t>
      </w:r>
      <w:r w:rsidR="002229FF" w:rsidRPr="003C2624">
        <w:rPr>
          <w:rFonts w:cs="Arial"/>
        </w:rPr>
        <w:t xml:space="preserve">tend to </w:t>
      </w:r>
      <w:r w:rsidR="003618B7" w:rsidRPr="003C2624">
        <w:rPr>
          <w:rFonts w:cs="Arial"/>
        </w:rPr>
        <w:t>coalesce around the most likely outcome</w:t>
      </w:r>
      <w:r w:rsidR="004C2DAF" w:rsidRPr="003C2624">
        <w:rPr>
          <w:rFonts w:cs="Arial"/>
        </w:rPr>
        <w:t xml:space="preserve">. </w:t>
      </w:r>
      <w:r w:rsidR="00F748E3" w:rsidRPr="003C2624">
        <w:rPr>
          <w:rFonts w:cs="Arial"/>
        </w:rPr>
        <w:t xml:space="preserve"> </w:t>
      </w:r>
      <w:r w:rsidR="003E3AB4" w:rsidRPr="003C2624">
        <w:rPr>
          <w:rFonts w:cs="Arial"/>
        </w:rPr>
        <w:t xml:space="preserve">To underscore this fact, consider the Joint Commenters’ statement that “if generators self-commit sufficient capacity to serve the forecasted Load, no undercutting [of competitive offers by RUCs if a low RUC offer floor is adopted] should occur.” </w:t>
      </w:r>
      <w:r w:rsidR="00F748E3" w:rsidRPr="003C2624">
        <w:rPr>
          <w:rFonts w:cs="Arial"/>
        </w:rPr>
        <w:t xml:space="preserve"> </w:t>
      </w:r>
      <w:r w:rsidR="003618B7" w:rsidRPr="003C2624">
        <w:rPr>
          <w:rFonts w:cs="Arial"/>
        </w:rPr>
        <w:t xml:space="preserve">This statement </w:t>
      </w:r>
      <w:r w:rsidR="00766192" w:rsidRPr="003C2624">
        <w:rPr>
          <w:rFonts w:cs="Arial"/>
        </w:rPr>
        <w:t xml:space="preserve">assumes that generators </w:t>
      </w:r>
      <w:r w:rsidR="002229FF" w:rsidRPr="003C2624">
        <w:rPr>
          <w:rFonts w:cs="Arial"/>
        </w:rPr>
        <w:t xml:space="preserve">make commitment decisions </w:t>
      </w:r>
      <w:r w:rsidR="00766192" w:rsidRPr="003C2624">
        <w:rPr>
          <w:rFonts w:cs="Arial"/>
        </w:rPr>
        <w:t>in an economic vacuum</w:t>
      </w:r>
      <w:r w:rsidR="002229FF" w:rsidRPr="003C2624">
        <w:rPr>
          <w:rFonts w:cs="Arial"/>
        </w:rPr>
        <w:t xml:space="preserve">, completely ignoring </w:t>
      </w:r>
      <w:r w:rsidR="003618B7" w:rsidRPr="003C2624">
        <w:rPr>
          <w:rFonts w:cs="Arial"/>
        </w:rPr>
        <w:t xml:space="preserve">the critical role that buyers (i.e., </w:t>
      </w:r>
      <w:r w:rsidR="00F748E3" w:rsidRPr="003C2624">
        <w:rPr>
          <w:rFonts w:cs="Arial"/>
        </w:rPr>
        <w:t>L</w:t>
      </w:r>
      <w:r w:rsidR="003618B7" w:rsidRPr="003C2624">
        <w:rPr>
          <w:rFonts w:cs="Arial"/>
        </w:rPr>
        <w:t xml:space="preserve">oads) have in generator forward commitment decisions. </w:t>
      </w:r>
      <w:r w:rsidR="00F748E3" w:rsidRPr="003C2624">
        <w:rPr>
          <w:rFonts w:cs="Arial"/>
        </w:rPr>
        <w:t xml:space="preserve"> </w:t>
      </w:r>
      <w:r w:rsidR="003618B7" w:rsidRPr="003C2624">
        <w:rPr>
          <w:rFonts w:cs="Arial"/>
        </w:rPr>
        <w:t>Market</w:t>
      </w:r>
      <w:r w:rsidR="002229FF" w:rsidRPr="003C2624">
        <w:rPr>
          <w:rFonts w:cs="Arial"/>
        </w:rPr>
        <w:t xml:space="preserve">s rely on both supply </w:t>
      </w:r>
      <w:r w:rsidR="002229FF" w:rsidRPr="003C2624">
        <w:rPr>
          <w:rFonts w:cs="Arial"/>
          <w:i/>
          <w:iCs/>
        </w:rPr>
        <w:t xml:space="preserve">and </w:t>
      </w:r>
      <w:r w:rsidR="002229FF" w:rsidRPr="003C2624">
        <w:rPr>
          <w:rFonts w:cs="Arial"/>
        </w:rPr>
        <w:t>demand.</w:t>
      </w:r>
      <w:r w:rsidR="003618B7" w:rsidRPr="003C2624">
        <w:rPr>
          <w:rFonts w:cs="Arial"/>
        </w:rPr>
        <w:t xml:space="preserve"> </w:t>
      </w:r>
      <w:r w:rsidR="00F748E3" w:rsidRPr="003C2624">
        <w:rPr>
          <w:rFonts w:cs="Arial"/>
        </w:rPr>
        <w:t xml:space="preserve"> </w:t>
      </w:r>
      <w:r w:rsidR="00040689" w:rsidRPr="003C2624">
        <w:rPr>
          <w:rFonts w:cs="Arial"/>
        </w:rPr>
        <w:t xml:space="preserve">Generators will not make uneconomic, irrational commitment decisions. </w:t>
      </w:r>
    </w:p>
    <w:p w14:paraId="7E83B7BD" w14:textId="34665713" w:rsidR="004C2DAF" w:rsidRPr="003C2624" w:rsidRDefault="00CB32FF" w:rsidP="00F748E3">
      <w:pPr>
        <w:pStyle w:val="NormalArial"/>
        <w:spacing w:before="120" w:after="120"/>
        <w:ind w:left="360"/>
        <w:rPr>
          <w:rFonts w:cs="Arial"/>
        </w:rPr>
      </w:pPr>
      <w:r w:rsidRPr="003C2624">
        <w:rPr>
          <w:rFonts w:cs="Arial"/>
        </w:rPr>
        <w:t xml:space="preserve">The solution </w:t>
      </w:r>
      <w:r w:rsidR="00F12491" w:rsidRPr="003C2624">
        <w:rPr>
          <w:rFonts w:cs="Arial"/>
        </w:rPr>
        <w:t xml:space="preserve">could </w:t>
      </w:r>
      <w:r w:rsidRPr="003C2624">
        <w:rPr>
          <w:rFonts w:cs="Arial"/>
        </w:rPr>
        <w:t xml:space="preserve">simply </w:t>
      </w:r>
      <w:r w:rsidR="00F12491" w:rsidRPr="003C2624">
        <w:rPr>
          <w:rFonts w:cs="Arial"/>
        </w:rPr>
        <w:t xml:space="preserve">be </w:t>
      </w:r>
      <w:r w:rsidR="007A0E53" w:rsidRPr="003C2624">
        <w:rPr>
          <w:rFonts w:cs="Arial"/>
        </w:rPr>
        <w:t xml:space="preserve">that </w:t>
      </w:r>
      <w:r w:rsidRPr="003C2624">
        <w:rPr>
          <w:rFonts w:cs="Arial"/>
        </w:rPr>
        <w:t>i</w:t>
      </w:r>
      <w:r w:rsidR="003E3AB4" w:rsidRPr="003C2624">
        <w:rPr>
          <w:rFonts w:cs="Arial"/>
        </w:rPr>
        <w:t xml:space="preserve">f </w:t>
      </w:r>
      <w:r w:rsidR="00F748E3" w:rsidRPr="003C2624">
        <w:rPr>
          <w:rFonts w:cs="Arial"/>
        </w:rPr>
        <w:t>L</w:t>
      </w:r>
      <w:r w:rsidR="003E3AB4" w:rsidRPr="003C2624">
        <w:rPr>
          <w:rFonts w:cs="Arial"/>
        </w:rPr>
        <w:t>oads want more generation to self-commit</w:t>
      </w:r>
      <w:r w:rsidRPr="003C2624">
        <w:rPr>
          <w:rFonts w:cs="Arial"/>
        </w:rPr>
        <w:t xml:space="preserve"> and fewer </w:t>
      </w:r>
      <w:r w:rsidR="00BD1136" w:rsidRPr="003C2624">
        <w:rPr>
          <w:rFonts w:cs="Arial"/>
        </w:rPr>
        <w:t>RUCs</w:t>
      </w:r>
      <w:r w:rsidR="003E3AB4" w:rsidRPr="003C2624">
        <w:rPr>
          <w:rFonts w:cs="Arial"/>
        </w:rPr>
        <w:t xml:space="preserve">, then </w:t>
      </w:r>
      <w:r w:rsidR="00F748E3" w:rsidRPr="003C2624">
        <w:rPr>
          <w:rFonts w:cs="Arial"/>
        </w:rPr>
        <w:t>L</w:t>
      </w:r>
      <w:r w:rsidR="003E3AB4" w:rsidRPr="003C2624">
        <w:rPr>
          <w:rFonts w:cs="Arial"/>
        </w:rPr>
        <w:t xml:space="preserve">oads should buy </w:t>
      </w:r>
      <w:r w:rsidRPr="003C2624">
        <w:rPr>
          <w:rFonts w:cs="Arial"/>
        </w:rPr>
        <w:t xml:space="preserve">sufficient </w:t>
      </w:r>
      <w:r w:rsidR="003E3AB4" w:rsidRPr="003C2624">
        <w:rPr>
          <w:rFonts w:cs="Arial"/>
        </w:rPr>
        <w:t>generation in the DAM</w:t>
      </w:r>
      <w:r w:rsidRPr="003C2624">
        <w:rPr>
          <w:rFonts w:cs="Arial"/>
        </w:rPr>
        <w:t xml:space="preserve"> to cover whatever </w:t>
      </w:r>
      <w:r w:rsidR="00F748E3" w:rsidRPr="003C2624">
        <w:rPr>
          <w:rFonts w:cs="Arial"/>
        </w:rPr>
        <w:t>L</w:t>
      </w:r>
      <w:r w:rsidRPr="003C2624">
        <w:rPr>
          <w:rFonts w:cs="Arial"/>
        </w:rPr>
        <w:t>oad and wind forecast</w:t>
      </w:r>
      <w:r w:rsidR="00AE3DE8" w:rsidRPr="003C2624">
        <w:rPr>
          <w:rFonts w:cs="Arial"/>
        </w:rPr>
        <w:t>s</w:t>
      </w:r>
      <w:r w:rsidRPr="003C2624">
        <w:rPr>
          <w:rFonts w:cs="Arial"/>
        </w:rPr>
        <w:t xml:space="preserve"> ERCOT produces, regardless of how realistic the forecast</w:t>
      </w:r>
      <w:r w:rsidR="00AE3DE8" w:rsidRPr="003C2624">
        <w:rPr>
          <w:rFonts w:cs="Arial"/>
        </w:rPr>
        <w:t>s</w:t>
      </w:r>
      <w:r w:rsidRPr="003C2624">
        <w:rPr>
          <w:rFonts w:cs="Arial"/>
        </w:rPr>
        <w:t xml:space="preserve"> </w:t>
      </w:r>
      <w:r w:rsidR="00AE3DE8" w:rsidRPr="003C2624">
        <w:rPr>
          <w:rFonts w:cs="Arial"/>
        </w:rPr>
        <w:t>are (plus an additional buffer for times when ERCOT wants to carry even more reserves)</w:t>
      </w:r>
      <w:r w:rsidRPr="003C2624">
        <w:rPr>
          <w:rFonts w:cs="Arial"/>
        </w:rPr>
        <w:t xml:space="preserve">. </w:t>
      </w:r>
      <w:r w:rsidR="00F748E3" w:rsidRPr="003C2624">
        <w:rPr>
          <w:rFonts w:cs="Arial"/>
        </w:rPr>
        <w:t xml:space="preserve"> </w:t>
      </w:r>
      <w:r w:rsidRPr="003C2624">
        <w:rPr>
          <w:rFonts w:cs="Arial"/>
        </w:rPr>
        <w:t xml:space="preserve">However, </w:t>
      </w:r>
      <w:r w:rsidR="003E3AB4" w:rsidRPr="003C2624">
        <w:rPr>
          <w:rFonts w:cs="Arial"/>
        </w:rPr>
        <w:t>assum</w:t>
      </w:r>
      <w:r w:rsidR="00F12491" w:rsidRPr="003C2624">
        <w:rPr>
          <w:rFonts w:cs="Arial"/>
        </w:rPr>
        <w:t>ing</w:t>
      </w:r>
      <w:r w:rsidR="003E3AB4" w:rsidRPr="003C2624">
        <w:rPr>
          <w:rFonts w:cs="Arial"/>
        </w:rPr>
        <w:t xml:space="preserve"> that </w:t>
      </w:r>
      <w:r w:rsidR="00F748E3" w:rsidRPr="003C2624">
        <w:rPr>
          <w:rFonts w:cs="Arial"/>
        </w:rPr>
        <w:t>L</w:t>
      </w:r>
      <w:r w:rsidR="003E3AB4" w:rsidRPr="003C2624">
        <w:rPr>
          <w:rFonts w:cs="Arial"/>
        </w:rPr>
        <w:t xml:space="preserve">oads </w:t>
      </w:r>
      <w:r w:rsidR="00AE3DE8" w:rsidRPr="003C2624">
        <w:rPr>
          <w:rFonts w:cs="Arial"/>
        </w:rPr>
        <w:t xml:space="preserve">are </w:t>
      </w:r>
      <w:r w:rsidRPr="003C2624">
        <w:rPr>
          <w:rFonts w:cs="Arial"/>
        </w:rPr>
        <w:t xml:space="preserve">also </w:t>
      </w:r>
      <w:r w:rsidR="00AE3DE8" w:rsidRPr="003C2624">
        <w:rPr>
          <w:rFonts w:cs="Arial"/>
        </w:rPr>
        <w:t xml:space="preserve">economically rational and </w:t>
      </w:r>
      <w:r w:rsidRPr="003C2624">
        <w:rPr>
          <w:rFonts w:cs="Arial"/>
        </w:rPr>
        <w:t xml:space="preserve">disagree with intentionally losing money, </w:t>
      </w:r>
      <w:r w:rsidR="003E3AB4" w:rsidRPr="003C2624">
        <w:rPr>
          <w:rFonts w:cs="Arial"/>
        </w:rPr>
        <w:t>they will</w:t>
      </w:r>
      <w:r w:rsidRPr="003C2624">
        <w:rPr>
          <w:rFonts w:cs="Arial"/>
        </w:rPr>
        <w:t xml:space="preserve"> likely</w:t>
      </w:r>
      <w:r w:rsidR="003E3AB4" w:rsidRPr="003C2624">
        <w:rPr>
          <w:rFonts w:cs="Arial"/>
        </w:rPr>
        <w:t xml:space="preserve"> only want to </w:t>
      </w:r>
      <w:r w:rsidRPr="003C2624">
        <w:rPr>
          <w:rFonts w:cs="Arial"/>
        </w:rPr>
        <w:t xml:space="preserve">secure the supply they actually expect to need. </w:t>
      </w:r>
      <w:r w:rsidR="00F748E3" w:rsidRPr="003C2624">
        <w:rPr>
          <w:rFonts w:cs="Arial"/>
        </w:rPr>
        <w:t xml:space="preserve"> </w:t>
      </w:r>
      <w:r w:rsidRPr="003C2624">
        <w:rPr>
          <w:rFonts w:cs="Arial"/>
        </w:rPr>
        <w:t>Therefore</w:t>
      </w:r>
      <w:r w:rsidR="00AE3DE8" w:rsidRPr="003C2624">
        <w:rPr>
          <w:rFonts w:cs="Arial"/>
        </w:rPr>
        <w:t>,</w:t>
      </w:r>
      <w:r w:rsidRPr="003C2624">
        <w:rPr>
          <w:rFonts w:cs="Arial"/>
        </w:rPr>
        <w:t xml:space="preserve"> the gap between ERCOT’s extreme risk</w:t>
      </w:r>
      <w:r w:rsidR="00AE3DE8" w:rsidRPr="003C2624">
        <w:rPr>
          <w:rFonts w:cs="Arial"/>
        </w:rPr>
        <w:t xml:space="preserve"> scenario</w:t>
      </w:r>
      <w:r w:rsidR="00F12491" w:rsidRPr="003C2624">
        <w:rPr>
          <w:rFonts w:cs="Arial"/>
        </w:rPr>
        <w:t>s</w:t>
      </w:r>
      <w:r w:rsidRPr="003C2624">
        <w:rPr>
          <w:rFonts w:cs="Arial"/>
        </w:rPr>
        <w:t xml:space="preserve"> and actual demand will remain.  </w:t>
      </w:r>
    </w:p>
    <w:p w14:paraId="1E2CB896" w14:textId="5D24481D" w:rsidR="007D0C37" w:rsidRPr="003C2624" w:rsidRDefault="00DE2182" w:rsidP="00F748E3">
      <w:pPr>
        <w:pStyle w:val="NormalArial"/>
        <w:spacing w:before="120" w:after="120"/>
        <w:ind w:left="360"/>
        <w:rPr>
          <w:rFonts w:cs="Arial"/>
        </w:rPr>
      </w:pPr>
      <w:r w:rsidRPr="003C2624">
        <w:rPr>
          <w:rFonts w:cs="Arial"/>
        </w:rPr>
        <w:t>ERCOT’s decision to operate more conservatively</w:t>
      </w:r>
      <w:r w:rsidR="00CB32FF" w:rsidRPr="003C2624">
        <w:rPr>
          <w:rFonts w:cs="Arial"/>
        </w:rPr>
        <w:t xml:space="preserve"> </w:t>
      </w:r>
      <w:r w:rsidRPr="003C2624">
        <w:rPr>
          <w:rFonts w:cs="Arial"/>
        </w:rPr>
        <w:t xml:space="preserve">is </w:t>
      </w:r>
      <w:r w:rsidR="00A754BA" w:rsidRPr="003C2624">
        <w:rPr>
          <w:rFonts w:cs="Arial"/>
        </w:rPr>
        <w:t xml:space="preserve">the </w:t>
      </w:r>
      <w:r w:rsidR="00A754BA" w:rsidRPr="003C2624">
        <w:rPr>
          <w:rFonts w:cs="Arial"/>
          <w:u w:val="single"/>
        </w:rPr>
        <w:t>only</w:t>
      </w:r>
      <w:r w:rsidR="00A754BA" w:rsidRPr="003C2624">
        <w:rPr>
          <w:rFonts w:cs="Arial"/>
        </w:rPr>
        <w:t xml:space="preserve"> “exercise of market power” at issue</w:t>
      </w:r>
      <w:r w:rsidRPr="003C2624">
        <w:rPr>
          <w:rFonts w:cs="Arial"/>
        </w:rPr>
        <w:t xml:space="preserve">. </w:t>
      </w:r>
      <w:r w:rsidR="00F748E3" w:rsidRPr="003C2624">
        <w:rPr>
          <w:rFonts w:cs="Arial"/>
        </w:rPr>
        <w:t xml:space="preserve"> </w:t>
      </w:r>
      <w:r w:rsidR="000E1379" w:rsidRPr="003C2624">
        <w:rPr>
          <w:rFonts w:cs="Arial"/>
        </w:rPr>
        <w:t>S</w:t>
      </w:r>
      <w:r w:rsidR="00A754BA" w:rsidRPr="003C2624">
        <w:rPr>
          <w:rFonts w:cs="Arial"/>
        </w:rPr>
        <w:t xml:space="preserve">takeholders should be clear-eyed that </w:t>
      </w:r>
      <w:r w:rsidRPr="003C2624">
        <w:rPr>
          <w:rFonts w:cs="Arial"/>
        </w:rPr>
        <w:t>operating conservatively is not congruent with an energy-only market’s incentive structure</w:t>
      </w:r>
      <w:r w:rsidR="00C80380" w:rsidRPr="003C2624">
        <w:rPr>
          <w:rFonts w:cs="Arial"/>
        </w:rPr>
        <w:t xml:space="preserve">s, and </w:t>
      </w:r>
      <w:r w:rsidR="00A754BA" w:rsidRPr="003C2624">
        <w:rPr>
          <w:rFonts w:cs="Arial"/>
        </w:rPr>
        <w:t xml:space="preserve">the </w:t>
      </w:r>
      <w:r w:rsidR="00C80380" w:rsidRPr="003C2624">
        <w:rPr>
          <w:rFonts w:cs="Arial"/>
        </w:rPr>
        <w:t xml:space="preserve">concerns raised by stakeholders on both sides of NPRR1092 </w:t>
      </w:r>
      <w:r w:rsidR="00A754BA" w:rsidRPr="003C2624">
        <w:rPr>
          <w:rFonts w:cs="Arial"/>
        </w:rPr>
        <w:t xml:space="preserve">are firmly rooted in </w:t>
      </w:r>
      <w:r w:rsidR="00C80380" w:rsidRPr="003C2624">
        <w:rPr>
          <w:rFonts w:cs="Arial"/>
        </w:rPr>
        <w:t>this dynamic</w:t>
      </w:r>
      <w:r w:rsidRPr="003C2624">
        <w:rPr>
          <w:rFonts w:cs="Arial"/>
        </w:rPr>
        <w:t>.</w:t>
      </w:r>
      <w:r w:rsidR="00F748E3" w:rsidRPr="003C2624">
        <w:rPr>
          <w:rFonts w:cs="Arial"/>
        </w:rPr>
        <w:t xml:space="preserve"> </w:t>
      </w:r>
      <w:r w:rsidRPr="003C2624">
        <w:rPr>
          <w:rFonts w:cs="Arial"/>
        </w:rPr>
        <w:t xml:space="preserve"> </w:t>
      </w:r>
      <w:r w:rsidR="00FE2CA3" w:rsidRPr="003C2624">
        <w:rPr>
          <w:rFonts w:cs="Arial"/>
        </w:rPr>
        <w:t>Without alignment between ERCOT operations and the fundamental design of the market, stakeholders will always be at odds.</w:t>
      </w:r>
    </w:p>
    <w:p w14:paraId="2DC6BF51" w14:textId="77777777" w:rsidR="00832022" w:rsidRPr="003C2624" w:rsidRDefault="00832022" w:rsidP="00F748E3">
      <w:pPr>
        <w:pStyle w:val="NormalArial"/>
        <w:spacing w:before="120" w:after="120"/>
        <w:ind w:left="360"/>
        <w:rPr>
          <w:rFonts w:cs="Arial"/>
          <w:u w:val="single"/>
        </w:rPr>
      </w:pPr>
      <w:r w:rsidRPr="003C2624">
        <w:rPr>
          <w:rFonts w:cs="Arial"/>
          <w:u w:val="single"/>
        </w:rPr>
        <w:t>Factual Context</w:t>
      </w:r>
    </w:p>
    <w:p w14:paraId="54B9AE88" w14:textId="39CB2486" w:rsidR="0043094F" w:rsidRPr="003C2624" w:rsidRDefault="00F57219" w:rsidP="00F748E3">
      <w:pPr>
        <w:pStyle w:val="NormalArial"/>
        <w:spacing w:before="120" w:after="120"/>
        <w:ind w:left="360"/>
        <w:rPr>
          <w:rFonts w:cs="Arial"/>
        </w:rPr>
      </w:pPr>
      <w:r w:rsidRPr="003C2624">
        <w:rPr>
          <w:rFonts w:cs="Arial"/>
        </w:rPr>
        <w:t xml:space="preserve">Returning to </w:t>
      </w:r>
      <w:r w:rsidR="00F400A1" w:rsidRPr="003C2624">
        <w:rPr>
          <w:rFonts w:cs="Arial"/>
        </w:rPr>
        <w:t xml:space="preserve">the factual background </w:t>
      </w:r>
      <w:r w:rsidRPr="003C2624">
        <w:rPr>
          <w:rFonts w:cs="Arial"/>
        </w:rPr>
        <w:t xml:space="preserve">for </w:t>
      </w:r>
      <w:r w:rsidR="00F400A1" w:rsidRPr="003C2624">
        <w:rPr>
          <w:rFonts w:cs="Arial"/>
        </w:rPr>
        <w:t>NPRR1092</w:t>
      </w:r>
      <w:r w:rsidRPr="003C2624">
        <w:rPr>
          <w:rFonts w:cs="Arial"/>
        </w:rPr>
        <w:t xml:space="preserve"> that the data appendix to </w:t>
      </w:r>
      <w:r w:rsidR="00487F06" w:rsidRPr="003C2624">
        <w:rPr>
          <w:rFonts w:cs="Arial"/>
        </w:rPr>
        <w:t>Luminant’s February 17, 2022 comments provide</w:t>
      </w:r>
      <w:r w:rsidRPr="003C2624">
        <w:rPr>
          <w:rFonts w:cs="Arial"/>
        </w:rPr>
        <w:t>s, while the</w:t>
      </w:r>
      <w:r w:rsidR="00BD2E03" w:rsidRPr="003C2624">
        <w:rPr>
          <w:rFonts w:cs="Arial"/>
        </w:rPr>
        <w:t xml:space="preserve"> data </w:t>
      </w:r>
      <w:r w:rsidR="00A754BA" w:rsidRPr="003C2624">
        <w:rPr>
          <w:rFonts w:cs="Arial"/>
        </w:rPr>
        <w:t xml:space="preserve">only </w:t>
      </w:r>
      <w:r w:rsidR="00BD2E03" w:rsidRPr="003C2624">
        <w:rPr>
          <w:rFonts w:cs="Arial"/>
        </w:rPr>
        <w:t xml:space="preserve">shows correlation and not causation, </w:t>
      </w:r>
      <w:r w:rsidR="008536B7" w:rsidRPr="003C2624">
        <w:rPr>
          <w:rFonts w:cs="Arial"/>
        </w:rPr>
        <w:t xml:space="preserve">it </w:t>
      </w:r>
      <w:r w:rsidR="009D1FDC" w:rsidRPr="003C2624">
        <w:rPr>
          <w:rFonts w:cs="Arial"/>
        </w:rPr>
        <w:t xml:space="preserve">demonstrates </w:t>
      </w:r>
      <w:r w:rsidR="008536B7" w:rsidRPr="003C2624">
        <w:rPr>
          <w:rFonts w:cs="Arial"/>
        </w:rPr>
        <w:t xml:space="preserve">that </w:t>
      </w:r>
      <w:r w:rsidR="008536B7" w:rsidRPr="003C2624">
        <w:rPr>
          <w:rFonts w:cs="Arial"/>
          <w:i/>
          <w:iCs/>
        </w:rPr>
        <w:t xml:space="preserve">the $1500/MWh RUC offer floor </w:t>
      </w:r>
      <w:r w:rsidR="00FD7E5F" w:rsidRPr="003C2624">
        <w:rPr>
          <w:rFonts w:cs="Arial"/>
          <w:i/>
          <w:iCs/>
        </w:rPr>
        <w:t xml:space="preserve">was </w:t>
      </w:r>
      <w:r w:rsidR="008536B7" w:rsidRPr="003C2624">
        <w:rPr>
          <w:rFonts w:cs="Arial"/>
          <w:i/>
          <w:iCs/>
        </w:rPr>
        <w:t>not set</w:t>
      </w:r>
      <w:r w:rsidR="00FD7E5F" w:rsidRPr="003C2624">
        <w:rPr>
          <w:rFonts w:cs="Arial"/>
          <w:i/>
          <w:iCs/>
        </w:rPr>
        <w:t>ting</w:t>
      </w:r>
      <w:r w:rsidR="008536B7" w:rsidRPr="003C2624">
        <w:rPr>
          <w:rFonts w:cs="Arial"/>
          <w:i/>
          <w:iCs/>
        </w:rPr>
        <w:t xml:space="preserve"> prices</w:t>
      </w:r>
      <w:r w:rsidR="008536B7" w:rsidRPr="003C2624">
        <w:rPr>
          <w:rFonts w:cs="Arial"/>
        </w:rPr>
        <w:t xml:space="preserve">. </w:t>
      </w:r>
      <w:r w:rsidR="00F748E3" w:rsidRPr="003C2624">
        <w:rPr>
          <w:rFonts w:cs="Arial"/>
        </w:rPr>
        <w:t xml:space="preserve"> </w:t>
      </w:r>
      <w:r w:rsidR="008536B7" w:rsidRPr="003C2624">
        <w:rPr>
          <w:rFonts w:cs="Arial"/>
        </w:rPr>
        <w:t xml:space="preserve">Luminant repeats this observation in response to Joint Commenters’ </w:t>
      </w:r>
      <w:r w:rsidR="00FD7E5F" w:rsidRPr="003C2624">
        <w:rPr>
          <w:rFonts w:cs="Arial"/>
        </w:rPr>
        <w:t xml:space="preserve">specific </w:t>
      </w:r>
      <w:r w:rsidR="008536B7" w:rsidRPr="003C2624">
        <w:rPr>
          <w:rFonts w:cs="Arial"/>
        </w:rPr>
        <w:t xml:space="preserve">statements that “the RUC offer floor should be at a price </w:t>
      </w:r>
      <w:r w:rsidR="008536B7" w:rsidRPr="003C2624">
        <w:rPr>
          <w:rFonts w:cs="Arial"/>
        </w:rPr>
        <w:lastRenderedPageBreak/>
        <w:t>where most units would self-commit,”</w:t>
      </w:r>
      <w:r w:rsidR="003F7564" w:rsidRPr="003C2624">
        <w:rPr>
          <w:rFonts w:cs="Arial"/>
        </w:rPr>
        <w:t xml:space="preserve"> and that it should not be “at a price that creates a penalty for the market when RUC units are deployed or unnecessarily withholds available capacity.” </w:t>
      </w:r>
      <w:r w:rsidR="00F748E3" w:rsidRPr="003C2624">
        <w:rPr>
          <w:rFonts w:cs="Arial"/>
        </w:rPr>
        <w:t xml:space="preserve"> </w:t>
      </w:r>
      <w:r w:rsidR="003F7564" w:rsidRPr="003C2624">
        <w:rPr>
          <w:rFonts w:cs="Arial"/>
        </w:rPr>
        <w:t xml:space="preserve">The simple fact is that RUCs have not resulted in prices set by the RUC offer floor, as </w:t>
      </w:r>
      <w:r w:rsidR="003F7564" w:rsidRPr="003C2624">
        <w:rPr>
          <w:rFonts w:cs="Arial"/>
          <w:i/>
          <w:iCs/>
        </w:rPr>
        <w:t xml:space="preserve">there was not a single incidence of </w:t>
      </w:r>
      <w:r w:rsidR="005250DB" w:rsidRPr="003C2624">
        <w:rPr>
          <w:rFonts w:cs="Arial"/>
          <w:i/>
          <w:iCs/>
        </w:rPr>
        <w:t>S</w:t>
      </w:r>
      <w:r w:rsidR="003F7564" w:rsidRPr="003C2624">
        <w:rPr>
          <w:rFonts w:cs="Arial"/>
          <w:i/>
          <w:iCs/>
        </w:rPr>
        <w:t xml:space="preserve">ystem </w:t>
      </w:r>
      <w:r w:rsidR="005250DB" w:rsidRPr="003C2624">
        <w:rPr>
          <w:rFonts w:cs="Arial"/>
          <w:i/>
          <w:iCs/>
        </w:rPr>
        <w:t>L</w:t>
      </w:r>
      <w:r w:rsidR="003F7564" w:rsidRPr="003C2624">
        <w:rPr>
          <w:rFonts w:cs="Arial"/>
          <w:i/>
          <w:iCs/>
        </w:rPr>
        <w:t xml:space="preserve">ambda </w:t>
      </w:r>
      <w:r w:rsidR="0043094F" w:rsidRPr="003C2624">
        <w:rPr>
          <w:rFonts w:cs="Arial"/>
          <w:i/>
          <w:iCs/>
        </w:rPr>
        <w:t xml:space="preserve">going above $1500/MWh coincident with a RUC during the entire study period </w:t>
      </w:r>
      <w:r w:rsidR="005250DB" w:rsidRPr="003C2624">
        <w:rPr>
          <w:rFonts w:cs="Arial"/>
          <w:i/>
          <w:iCs/>
        </w:rPr>
        <w:t xml:space="preserve">following the onset of ERCOT’s conservative grid operations </w:t>
      </w:r>
      <w:r w:rsidR="0043094F" w:rsidRPr="003C2624">
        <w:rPr>
          <w:rFonts w:cs="Arial"/>
          <w:i/>
          <w:iCs/>
        </w:rPr>
        <w:t>included in Luminant’s data presentation</w:t>
      </w:r>
      <w:r w:rsidR="005250DB" w:rsidRPr="003C2624">
        <w:rPr>
          <w:rFonts w:cs="Arial"/>
          <w:i/>
          <w:iCs/>
        </w:rPr>
        <w:t xml:space="preserve"> (and they were exceedingly rare even before then as well)</w:t>
      </w:r>
      <w:r w:rsidR="0043094F" w:rsidRPr="003C2624">
        <w:rPr>
          <w:rFonts w:cs="Arial"/>
        </w:rPr>
        <w:t xml:space="preserve">. </w:t>
      </w:r>
    </w:p>
    <w:p w14:paraId="52A8C9DE" w14:textId="557AE282" w:rsidR="008B6FF3" w:rsidRPr="003C2624" w:rsidRDefault="0043094F" w:rsidP="00F748E3">
      <w:pPr>
        <w:pStyle w:val="NormalArial"/>
        <w:spacing w:before="120" w:after="120"/>
        <w:ind w:left="360"/>
        <w:rPr>
          <w:rFonts w:cs="Arial"/>
        </w:rPr>
      </w:pPr>
      <w:r w:rsidRPr="003C2624">
        <w:rPr>
          <w:rFonts w:cs="Arial"/>
        </w:rPr>
        <w:t xml:space="preserve">Accordingly,  Joint Commenters’ characterization that the $1500/MWh RUC offer floor is a “penalty for the market” </w:t>
      </w:r>
      <w:r w:rsidR="009D1FDC" w:rsidRPr="003C2624">
        <w:rPr>
          <w:rFonts w:cs="Arial"/>
        </w:rPr>
        <w:t xml:space="preserve">is incorrect </w:t>
      </w:r>
      <w:r w:rsidR="00FD7E5F" w:rsidRPr="003C2624">
        <w:rPr>
          <w:rFonts w:cs="Arial"/>
        </w:rPr>
        <w:t xml:space="preserve">for two reasons. </w:t>
      </w:r>
      <w:r w:rsidR="00F748E3" w:rsidRPr="003C2624">
        <w:rPr>
          <w:rFonts w:cs="Arial"/>
        </w:rPr>
        <w:t xml:space="preserve"> </w:t>
      </w:r>
      <w:r w:rsidR="00FD7E5F" w:rsidRPr="003C2624">
        <w:rPr>
          <w:rFonts w:cs="Arial"/>
        </w:rPr>
        <w:t xml:space="preserve">First, </w:t>
      </w:r>
      <w:r w:rsidR="00F748E3" w:rsidRPr="003C2624">
        <w:rPr>
          <w:rFonts w:cs="Arial"/>
        </w:rPr>
        <w:t>L</w:t>
      </w:r>
      <w:r w:rsidRPr="003C2624">
        <w:rPr>
          <w:rFonts w:cs="Arial"/>
        </w:rPr>
        <w:t>oads were simply not paying that price</w:t>
      </w:r>
      <w:r w:rsidR="00FD7E5F" w:rsidRPr="003C2624">
        <w:rPr>
          <w:rFonts w:cs="Arial"/>
        </w:rPr>
        <w:t xml:space="preserve"> as </w:t>
      </w:r>
      <w:r w:rsidR="00832022" w:rsidRPr="003C2624">
        <w:rPr>
          <w:rFonts w:cs="Arial"/>
        </w:rPr>
        <w:t xml:space="preserve">just </w:t>
      </w:r>
      <w:r w:rsidR="00FD7E5F" w:rsidRPr="003C2624">
        <w:rPr>
          <w:rFonts w:cs="Arial"/>
        </w:rPr>
        <w:t>noted above</w:t>
      </w:r>
      <w:r w:rsidR="005250DB" w:rsidRPr="003C2624">
        <w:rPr>
          <w:rFonts w:cs="Arial"/>
        </w:rPr>
        <w:t xml:space="preserve"> (and, it should be noted, the vast majority of </w:t>
      </w:r>
      <w:r w:rsidR="00F748E3" w:rsidRPr="003C2624">
        <w:rPr>
          <w:rFonts w:cs="Arial"/>
        </w:rPr>
        <w:t>L</w:t>
      </w:r>
      <w:r w:rsidR="005250DB" w:rsidRPr="003C2624">
        <w:rPr>
          <w:rFonts w:cs="Arial"/>
        </w:rPr>
        <w:t xml:space="preserve">oads do not pay </w:t>
      </w:r>
      <w:r w:rsidR="00F748E3" w:rsidRPr="003C2624">
        <w:rPr>
          <w:rFonts w:cs="Arial"/>
        </w:rPr>
        <w:t>R</w:t>
      </w:r>
      <w:r w:rsidR="005250DB" w:rsidRPr="003C2624">
        <w:rPr>
          <w:rFonts w:cs="Arial"/>
        </w:rPr>
        <w:t>eal-</w:t>
      </w:r>
      <w:r w:rsidR="00F748E3" w:rsidRPr="003C2624">
        <w:rPr>
          <w:rFonts w:cs="Arial"/>
        </w:rPr>
        <w:t>T</w:t>
      </w:r>
      <w:r w:rsidR="005250DB" w:rsidRPr="003C2624">
        <w:rPr>
          <w:rFonts w:cs="Arial"/>
        </w:rPr>
        <w:t>ime energy prices at retail)</w:t>
      </w:r>
      <w:r w:rsidR="00FD7E5F" w:rsidRPr="003C2624">
        <w:rPr>
          <w:rFonts w:cs="Arial"/>
        </w:rPr>
        <w:t>.</w:t>
      </w:r>
      <w:r w:rsidRPr="003C2624">
        <w:rPr>
          <w:rFonts w:cs="Arial"/>
        </w:rPr>
        <w:t xml:space="preserve"> </w:t>
      </w:r>
      <w:r w:rsidR="00F748E3" w:rsidRPr="003C2624">
        <w:rPr>
          <w:rFonts w:cs="Arial"/>
        </w:rPr>
        <w:t xml:space="preserve"> </w:t>
      </w:r>
      <w:r w:rsidR="00FD7E5F" w:rsidRPr="003C2624">
        <w:rPr>
          <w:rFonts w:cs="Arial"/>
        </w:rPr>
        <w:t xml:space="preserve">Second, </w:t>
      </w:r>
      <w:r w:rsidRPr="003C2624">
        <w:rPr>
          <w:rFonts w:cs="Arial"/>
        </w:rPr>
        <w:t xml:space="preserve">the statement assumes that loads </w:t>
      </w:r>
      <w:r w:rsidR="008B6FF3" w:rsidRPr="003C2624">
        <w:rPr>
          <w:rFonts w:cs="Arial"/>
        </w:rPr>
        <w:t xml:space="preserve">alone </w:t>
      </w:r>
      <w:r w:rsidRPr="003C2624">
        <w:rPr>
          <w:rFonts w:cs="Arial"/>
        </w:rPr>
        <w:t xml:space="preserve">are “the market,” ignoring that generators are also equal stakeholders in market outcomes. </w:t>
      </w:r>
      <w:r w:rsidR="001E3401" w:rsidRPr="003C2624">
        <w:rPr>
          <w:rFonts w:cs="Arial"/>
        </w:rPr>
        <w:t xml:space="preserve"> </w:t>
      </w:r>
      <w:r w:rsidRPr="003C2624">
        <w:rPr>
          <w:rFonts w:cs="Arial"/>
        </w:rPr>
        <w:t xml:space="preserve">Luminant respects that Joint Commenters are concerned about the </w:t>
      </w:r>
      <w:r w:rsidRPr="003C2624">
        <w:rPr>
          <w:rFonts w:cs="Arial"/>
          <w:i/>
          <w:iCs/>
        </w:rPr>
        <w:t>possibility</w:t>
      </w:r>
      <w:r w:rsidRPr="003C2624">
        <w:rPr>
          <w:rFonts w:cs="Arial"/>
        </w:rPr>
        <w:t xml:space="preserve"> of prices at the RUC offer floor, but Luminant’s initial comments demonstrate that that outcome is a very rare exception, while the analysis presented to </w:t>
      </w:r>
      <w:r w:rsidR="001E3401" w:rsidRPr="003C2624">
        <w:rPr>
          <w:rFonts w:cs="Arial"/>
        </w:rPr>
        <w:t>the Technical Advisory Committee (</w:t>
      </w:r>
      <w:r w:rsidRPr="003C2624">
        <w:rPr>
          <w:rFonts w:cs="Arial"/>
        </w:rPr>
        <w:t>TAC</w:t>
      </w:r>
      <w:r w:rsidR="001E3401" w:rsidRPr="003C2624">
        <w:rPr>
          <w:rFonts w:cs="Arial"/>
        </w:rPr>
        <w:t>)</w:t>
      </w:r>
      <w:r w:rsidRPr="003C2624">
        <w:rPr>
          <w:rFonts w:cs="Arial"/>
        </w:rPr>
        <w:t xml:space="preserve"> by London Economics International highlights how a lower RUC offer floor</w:t>
      </w:r>
      <w:r w:rsidR="00081DA6" w:rsidRPr="003C2624">
        <w:rPr>
          <w:rFonts w:cs="Arial"/>
        </w:rPr>
        <w:t xml:space="preserve"> will have a much more frequent and meaningful suppressive impact on market prices. </w:t>
      </w:r>
      <w:r w:rsidR="001E3401" w:rsidRPr="003C2624">
        <w:rPr>
          <w:rFonts w:cs="Arial"/>
        </w:rPr>
        <w:t xml:space="preserve"> </w:t>
      </w:r>
      <w:r w:rsidR="008B6FF3" w:rsidRPr="003C2624">
        <w:rPr>
          <w:rFonts w:cs="Arial"/>
        </w:rPr>
        <w:t>Therefore</w:t>
      </w:r>
      <w:r w:rsidR="00081DA6" w:rsidRPr="003C2624">
        <w:rPr>
          <w:rFonts w:cs="Arial"/>
        </w:rPr>
        <w:t xml:space="preserve">, when discussing “penalties to the market,” </w:t>
      </w:r>
      <w:r w:rsidR="008B6FF3" w:rsidRPr="003C2624">
        <w:rPr>
          <w:rFonts w:cs="Arial"/>
        </w:rPr>
        <w:t xml:space="preserve">the actual </w:t>
      </w:r>
      <w:r w:rsidR="00081DA6" w:rsidRPr="003C2624">
        <w:rPr>
          <w:rFonts w:cs="Arial"/>
        </w:rPr>
        <w:t xml:space="preserve">market data shows that NPRR1092 </w:t>
      </w:r>
      <w:r w:rsidR="00FD7E5F" w:rsidRPr="003C2624">
        <w:rPr>
          <w:rFonts w:cs="Arial"/>
        </w:rPr>
        <w:t xml:space="preserve">attempts to </w:t>
      </w:r>
      <w:r w:rsidR="00081DA6" w:rsidRPr="003C2624">
        <w:rPr>
          <w:rFonts w:cs="Arial"/>
        </w:rPr>
        <w:t>justif</w:t>
      </w:r>
      <w:r w:rsidR="00FD7E5F" w:rsidRPr="003C2624">
        <w:rPr>
          <w:rFonts w:cs="Arial"/>
        </w:rPr>
        <w:t>y</w:t>
      </w:r>
      <w:r w:rsidR="00081DA6" w:rsidRPr="003C2624">
        <w:rPr>
          <w:rFonts w:cs="Arial"/>
        </w:rPr>
        <w:t xml:space="preserve"> a </w:t>
      </w:r>
      <w:r w:rsidR="00081DA6" w:rsidRPr="003C2624">
        <w:rPr>
          <w:rFonts w:cs="Arial"/>
          <w:i/>
          <w:iCs/>
        </w:rPr>
        <w:t>real</w:t>
      </w:r>
      <w:r w:rsidR="00081DA6" w:rsidRPr="003C2624">
        <w:rPr>
          <w:rFonts w:cs="Arial"/>
        </w:rPr>
        <w:t xml:space="preserve"> penalty to </w:t>
      </w:r>
      <w:r w:rsidR="00FD7E5F" w:rsidRPr="003C2624">
        <w:rPr>
          <w:rFonts w:cs="Arial"/>
        </w:rPr>
        <w:t xml:space="preserve">generation and other </w:t>
      </w:r>
      <w:r w:rsidR="001E3401" w:rsidRPr="003C2624">
        <w:rPr>
          <w:rFonts w:cs="Arial"/>
        </w:rPr>
        <w:t>R</w:t>
      </w:r>
      <w:r w:rsidR="00081DA6" w:rsidRPr="003C2624">
        <w:rPr>
          <w:rFonts w:cs="Arial"/>
        </w:rPr>
        <w:t xml:space="preserve">esources by claiming an </w:t>
      </w:r>
      <w:r w:rsidR="00081DA6" w:rsidRPr="003C2624">
        <w:rPr>
          <w:rFonts w:cs="Arial"/>
          <w:i/>
          <w:iCs/>
        </w:rPr>
        <w:t>illusory</w:t>
      </w:r>
      <w:r w:rsidR="00081DA6" w:rsidRPr="003C2624">
        <w:rPr>
          <w:rFonts w:cs="Arial"/>
        </w:rPr>
        <w:t xml:space="preserve"> penalty to </w:t>
      </w:r>
      <w:r w:rsidR="001E3401" w:rsidRPr="003C2624">
        <w:rPr>
          <w:rFonts w:cs="Arial"/>
        </w:rPr>
        <w:t>L</w:t>
      </w:r>
      <w:r w:rsidR="00081DA6" w:rsidRPr="003C2624">
        <w:rPr>
          <w:rFonts w:cs="Arial"/>
        </w:rPr>
        <w:t xml:space="preserve">oads. </w:t>
      </w:r>
    </w:p>
    <w:p w14:paraId="4EC6327E" w14:textId="6A5012A2" w:rsidR="00487F06" w:rsidRPr="003C2624" w:rsidRDefault="00081DA6" w:rsidP="00F748E3">
      <w:pPr>
        <w:pStyle w:val="NormalArial"/>
        <w:spacing w:before="120" w:after="120"/>
        <w:ind w:left="360"/>
        <w:rPr>
          <w:rFonts w:cs="Arial"/>
        </w:rPr>
      </w:pPr>
      <w:r w:rsidRPr="003C2624">
        <w:rPr>
          <w:rFonts w:cs="Arial"/>
        </w:rPr>
        <w:t xml:space="preserve">Similarly, Luminant takes issue with the claim that the $1500/MWh RUC offer floor </w:t>
      </w:r>
      <w:r w:rsidR="0043094F" w:rsidRPr="003C2624">
        <w:rPr>
          <w:rFonts w:cs="Arial"/>
        </w:rPr>
        <w:t>“unnecessarily withholds</w:t>
      </w:r>
      <w:r w:rsidRPr="003C2624">
        <w:rPr>
          <w:rFonts w:cs="Arial"/>
        </w:rPr>
        <w:t xml:space="preserve"> available</w:t>
      </w:r>
      <w:r w:rsidR="0043094F" w:rsidRPr="003C2624">
        <w:rPr>
          <w:rFonts w:cs="Arial"/>
        </w:rPr>
        <w:t xml:space="preserve"> capacity.</w:t>
      </w:r>
      <w:r w:rsidRPr="003C2624">
        <w:rPr>
          <w:rFonts w:cs="Arial"/>
        </w:rPr>
        <w:t xml:space="preserve">” </w:t>
      </w:r>
      <w:r w:rsidR="001E3401" w:rsidRPr="003C2624">
        <w:rPr>
          <w:rFonts w:cs="Arial"/>
        </w:rPr>
        <w:t xml:space="preserve"> </w:t>
      </w:r>
      <w:r w:rsidRPr="003C2624">
        <w:rPr>
          <w:rFonts w:cs="Arial"/>
          <w:i/>
          <w:iCs/>
        </w:rPr>
        <w:t xml:space="preserve">RUC units would not be </w:t>
      </w:r>
      <w:r w:rsidR="001E3401" w:rsidRPr="003C2624">
        <w:rPr>
          <w:rFonts w:cs="Arial"/>
          <w:i/>
          <w:iCs/>
        </w:rPr>
        <w:t>O</w:t>
      </w:r>
      <w:r w:rsidRPr="003C2624">
        <w:rPr>
          <w:rFonts w:cs="Arial"/>
          <w:i/>
          <w:iCs/>
        </w:rPr>
        <w:t>n</w:t>
      </w:r>
      <w:r w:rsidR="001E3401" w:rsidRPr="003C2624">
        <w:rPr>
          <w:rFonts w:cs="Arial"/>
          <w:i/>
          <w:iCs/>
        </w:rPr>
        <w:t>-L</w:t>
      </w:r>
      <w:r w:rsidRPr="003C2624">
        <w:rPr>
          <w:rFonts w:cs="Arial"/>
          <w:i/>
          <w:iCs/>
        </w:rPr>
        <w:t>ine but for ERCOT out-of-market actions,</w:t>
      </w:r>
      <w:r w:rsidRPr="003C2624">
        <w:rPr>
          <w:rFonts w:cs="Arial"/>
        </w:rPr>
        <w:t xml:space="preserve"> </w:t>
      </w:r>
      <w:r w:rsidRPr="003C2624">
        <w:rPr>
          <w:rFonts w:cs="Arial"/>
          <w:i/>
          <w:iCs/>
        </w:rPr>
        <w:t>even when ERCOT is using RUC to backstop conservative operating criteria</w:t>
      </w:r>
      <w:r w:rsidRPr="003C2624">
        <w:rPr>
          <w:rFonts w:cs="Arial"/>
        </w:rPr>
        <w:t xml:space="preserve">. </w:t>
      </w:r>
      <w:r w:rsidR="001E3401" w:rsidRPr="003C2624">
        <w:rPr>
          <w:rFonts w:cs="Arial"/>
        </w:rPr>
        <w:t xml:space="preserve"> </w:t>
      </w:r>
      <w:r w:rsidR="00C0213D" w:rsidRPr="003C2624">
        <w:rPr>
          <w:rFonts w:cs="Arial"/>
        </w:rPr>
        <w:t>RUC</w:t>
      </w:r>
      <w:r w:rsidR="001E3401" w:rsidRPr="003C2624">
        <w:rPr>
          <w:rFonts w:cs="Arial"/>
        </w:rPr>
        <w:t>-</w:t>
      </w:r>
      <w:r w:rsidR="00D344EE" w:rsidRPr="003C2624">
        <w:rPr>
          <w:rFonts w:cs="Arial"/>
        </w:rPr>
        <w:t>committe</w:t>
      </w:r>
      <w:r w:rsidR="00C0213D" w:rsidRPr="003C2624">
        <w:rPr>
          <w:rFonts w:cs="Arial"/>
        </w:rPr>
        <w:t xml:space="preserve">d </w:t>
      </w:r>
      <w:r w:rsidRPr="003C2624">
        <w:rPr>
          <w:rFonts w:cs="Arial"/>
        </w:rPr>
        <w:t xml:space="preserve">capacity is not withheld; it is </w:t>
      </w:r>
      <w:r w:rsidR="008B6FF3" w:rsidRPr="003C2624">
        <w:rPr>
          <w:rFonts w:cs="Arial"/>
        </w:rPr>
        <w:t xml:space="preserve">by definition </w:t>
      </w:r>
      <w:r w:rsidR="00C0213D" w:rsidRPr="003C2624">
        <w:rPr>
          <w:rFonts w:cs="Arial"/>
        </w:rPr>
        <w:t xml:space="preserve">still available to the market, </w:t>
      </w:r>
      <w:r w:rsidRPr="003C2624">
        <w:rPr>
          <w:rFonts w:cs="Arial"/>
        </w:rPr>
        <w:t xml:space="preserve">simply placed behind </w:t>
      </w:r>
      <w:r w:rsidR="00C0213D" w:rsidRPr="003C2624">
        <w:rPr>
          <w:rFonts w:cs="Arial"/>
        </w:rPr>
        <w:t xml:space="preserve">competitively-available </w:t>
      </w:r>
      <w:r w:rsidRPr="003C2624">
        <w:rPr>
          <w:rFonts w:cs="Arial"/>
        </w:rPr>
        <w:t xml:space="preserve">capacity for </w:t>
      </w:r>
      <w:r w:rsidR="001E3401" w:rsidRPr="003C2624">
        <w:rPr>
          <w:rFonts w:cs="Arial"/>
        </w:rPr>
        <w:t>D</w:t>
      </w:r>
      <w:r w:rsidRPr="003C2624">
        <w:rPr>
          <w:rFonts w:cs="Arial"/>
        </w:rPr>
        <w:t>ispatch priority – very much a necessity in order to limit the market distortions stemming from out-of-market actions.</w:t>
      </w:r>
      <w:r w:rsidR="00A725F1" w:rsidRPr="003C2624">
        <w:rPr>
          <w:rFonts w:cs="Arial"/>
        </w:rPr>
        <w:t xml:space="preserve"> </w:t>
      </w:r>
    </w:p>
    <w:p w14:paraId="2822309F" w14:textId="32397577" w:rsidR="00CD21D7" w:rsidRPr="003C2624" w:rsidRDefault="00081DA6" w:rsidP="00F748E3">
      <w:pPr>
        <w:pStyle w:val="NormalArial"/>
        <w:spacing w:before="120" w:after="120"/>
        <w:ind w:left="360"/>
        <w:rPr>
          <w:rFonts w:cs="Arial"/>
        </w:rPr>
      </w:pPr>
      <w:r w:rsidRPr="003C2624">
        <w:rPr>
          <w:rFonts w:cs="Arial"/>
        </w:rPr>
        <w:t xml:space="preserve">Luminant also </w:t>
      </w:r>
      <w:r w:rsidR="00FD5CC3" w:rsidRPr="003C2624">
        <w:rPr>
          <w:rFonts w:cs="Arial"/>
        </w:rPr>
        <w:t xml:space="preserve">wants to </w:t>
      </w:r>
      <w:r w:rsidR="006C5A42" w:rsidRPr="003C2624">
        <w:rPr>
          <w:rFonts w:cs="Arial"/>
        </w:rPr>
        <w:t xml:space="preserve">offer </w:t>
      </w:r>
      <w:r w:rsidR="00FD5CC3" w:rsidRPr="003C2624">
        <w:rPr>
          <w:rFonts w:cs="Arial"/>
        </w:rPr>
        <w:t xml:space="preserve">some </w:t>
      </w:r>
      <w:r w:rsidR="00A725F1" w:rsidRPr="003C2624">
        <w:rPr>
          <w:rFonts w:cs="Arial"/>
        </w:rPr>
        <w:t xml:space="preserve">unique </w:t>
      </w:r>
      <w:r w:rsidR="00FD5CC3" w:rsidRPr="003C2624">
        <w:rPr>
          <w:rFonts w:cs="Arial"/>
        </w:rPr>
        <w:t xml:space="preserve">context for </w:t>
      </w:r>
      <w:r w:rsidR="00A725F1" w:rsidRPr="003C2624">
        <w:rPr>
          <w:rFonts w:cs="Arial"/>
        </w:rPr>
        <w:t xml:space="preserve">stakeholders to consider </w:t>
      </w:r>
      <w:r w:rsidR="006C5A42" w:rsidRPr="003C2624">
        <w:rPr>
          <w:rFonts w:cs="Arial"/>
        </w:rPr>
        <w:t>regarding the interplay of commitment incentives with the proposals in NPRR1092.</w:t>
      </w:r>
      <w:r w:rsidR="001E3401" w:rsidRPr="003C2624">
        <w:rPr>
          <w:rFonts w:cs="Arial"/>
        </w:rPr>
        <w:t xml:space="preserve"> </w:t>
      </w:r>
      <w:r w:rsidR="006C5A42" w:rsidRPr="003C2624">
        <w:rPr>
          <w:rFonts w:cs="Arial"/>
        </w:rPr>
        <w:t xml:space="preserve"> While ERCOT RUC activity has touched many units across the broader ERCOT fleet,</w:t>
      </w:r>
      <w:r w:rsidR="008D522C" w:rsidRPr="003C2624">
        <w:rPr>
          <w:rFonts w:cs="Arial"/>
        </w:rPr>
        <w:t xml:space="preserve"> Luminant has borne a disproportionate share of RUCs over recent months and</w:t>
      </w:r>
      <w:r w:rsidR="006C5A42" w:rsidRPr="003C2624">
        <w:rPr>
          <w:rFonts w:cs="Arial"/>
        </w:rPr>
        <w:t xml:space="preserve"> the clear majority of RUCs from Luminant’s fleet have been for units that are impacted by an ongoing dispute with their natural gas supplier, which is the subject of a complaint currently pending at the Railroad Commission of Texas.</w:t>
      </w:r>
      <w:r w:rsidR="006C5A42" w:rsidRPr="003C2624">
        <w:rPr>
          <w:rStyle w:val="FootnoteReference"/>
          <w:rFonts w:cs="Arial"/>
        </w:rPr>
        <w:footnoteReference w:id="1"/>
      </w:r>
      <w:r w:rsidR="006C5A42" w:rsidRPr="003C2624">
        <w:rPr>
          <w:rFonts w:cs="Arial"/>
        </w:rPr>
        <w:t xml:space="preserve"> </w:t>
      </w:r>
      <w:r w:rsidR="001E3401" w:rsidRPr="003C2624">
        <w:rPr>
          <w:rFonts w:cs="Arial"/>
        </w:rPr>
        <w:t xml:space="preserve"> </w:t>
      </w:r>
      <w:r w:rsidR="006B31C0" w:rsidRPr="003C2624">
        <w:rPr>
          <w:rFonts w:cs="Arial"/>
        </w:rPr>
        <w:t>Because that complaint is publicly available, anyone can see that Luminant’s gas supplier is charging</w:t>
      </w:r>
      <w:r w:rsidR="000E1379" w:rsidRPr="003C2624">
        <w:rPr>
          <w:rFonts w:cs="Arial"/>
        </w:rPr>
        <w:t xml:space="preserve"> a minimum of</w:t>
      </w:r>
      <w:r w:rsidR="006B31C0" w:rsidRPr="003C2624">
        <w:rPr>
          <w:rFonts w:cs="Arial"/>
        </w:rPr>
        <w:t xml:space="preserve"> $15/MMBtu for day-ahead gas and $25/MMBtu for no-notice gas</w:t>
      </w:r>
      <w:r w:rsidR="000E1379" w:rsidRPr="003C2624">
        <w:rPr>
          <w:rFonts w:cs="Arial"/>
        </w:rPr>
        <w:t xml:space="preserve">. </w:t>
      </w:r>
      <w:r w:rsidR="001E3401" w:rsidRPr="003C2624">
        <w:rPr>
          <w:rFonts w:cs="Arial"/>
        </w:rPr>
        <w:t xml:space="preserve"> </w:t>
      </w:r>
      <w:r w:rsidR="000E1379" w:rsidRPr="003C2624">
        <w:rPr>
          <w:rFonts w:cs="Arial"/>
        </w:rPr>
        <w:t>During periods of high demand</w:t>
      </w:r>
      <w:r w:rsidR="005250DB" w:rsidRPr="003C2624">
        <w:rPr>
          <w:rFonts w:cs="Arial"/>
        </w:rPr>
        <w:t>,</w:t>
      </w:r>
      <w:r w:rsidR="000E1379" w:rsidRPr="003C2624">
        <w:rPr>
          <w:rFonts w:cs="Arial"/>
        </w:rPr>
        <w:t xml:space="preserve"> the gas supplier has charged up to $90/MMBtu—even though index </w:t>
      </w:r>
      <w:r w:rsidR="008B6FF3" w:rsidRPr="003C2624">
        <w:rPr>
          <w:rFonts w:cs="Arial"/>
        </w:rPr>
        <w:t xml:space="preserve">gas </w:t>
      </w:r>
      <w:r w:rsidR="000E1379" w:rsidRPr="003C2624">
        <w:rPr>
          <w:rFonts w:cs="Arial"/>
        </w:rPr>
        <w:t xml:space="preserve">prices have </w:t>
      </w:r>
      <w:r w:rsidR="008B6FF3" w:rsidRPr="003C2624">
        <w:rPr>
          <w:rFonts w:cs="Arial"/>
        </w:rPr>
        <w:t xml:space="preserve">only </w:t>
      </w:r>
      <w:r w:rsidR="000E1379" w:rsidRPr="003C2624">
        <w:rPr>
          <w:rFonts w:cs="Arial"/>
        </w:rPr>
        <w:t xml:space="preserve">been a fraction of this.  Furthermore, these gas prices are wholly outside of Luminant’s control. </w:t>
      </w:r>
      <w:r w:rsidR="006B31C0" w:rsidRPr="003C2624">
        <w:rPr>
          <w:rFonts w:cs="Arial"/>
        </w:rPr>
        <w:t xml:space="preserve"> </w:t>
      </w:r>
    </w:p>
    <w:p w14:paraId="74872700" w14:textId="16C0885D" w:rsidR="00081DA6" w:rsidRPr="003C2624" w:rsidRDefault="000E1379" w:rsidP="00F748E3">
      <w:pPr>
        <w:pStyle w:val="NormalArial"/>
        <w:spacing w:before="120" w:after="120"/>
        <w:ind w:left="360"/>
        <w:rPr>
          <w:rFonts w:cs="Arial"/>
        </w:rPr>
      </w:pPr>
      <w:r w:rsidRPr="003C2624">
        <w:rPr>
          <w:rFonts w:cs="Arial"/>
        </w:rPr>
        <w:lastRenderedPageBreak/>
        <w:t xml:space="preserve">On top of these unjustified high gas prices, ERCOT </w:t>
      </w:r>
      <w:r w:rsidR="00BA08C4" w:rsidRPr="003C2624">
        <w:rPr>
          <w:rFonts w:cs="Arial"/>
        </w:rPr>
        <w:t xml:space="preserve">Protocols </w:t>
      </w:r>
      <w:r w:rsidR="005250DB" w:rsidRPr="003C2624">
        <w:rPr>
          <w:rFonts w:cs="Arial"/>
        </w:rPr>
        <w:t xml:space="preserve">currently </w:t>
      </w:r>
      <w:r w:rsidR="008B6FF3" w:rsidRPr="003C2624">
        <w:rPr>
          <w:rFonts w:cs="Arial"/>
        </w:rPr>
        <w:t>add</w:t>
      </w:r>
      <w:r w:rsidR="00BA08C4" w:rsidRPr="003C2624">
        <w:rPr>
          <w:rFonts w:cs="Arial"/>
        </w:rPr>
        <w:t xml:space="preserve"> significant market risk on Luminant to participate in the DAM.  Section 4.4.9.2.1</w:t>
      </w:r>
      <w:r w:rsidR="001E3401" w:rsidRPr="003C2624">
        <w:rPr>
          <w:rFonts w:cs="Arial"/>
        </w:rPr>
        <w:t xml:space="preserve">, </w:t>
      </w:r>
      <w:r w:rsidR="001E3401" w:rsidRPr="003C2624">
        <w:rPr>
          <w:rFonts w:cs="Arial"/>
        </w:rPr>
        <w:t>Startup Offer and Minimum-Energy Offer Criteria</w:t>
      </w:r>
      <w:r w:rsidR="001E3401" w:rsidRPr="003C2624">
        <w:rPr>
          <w:rFonts w:cs="Arial"/>
        </w:rPr>
        <w:t>,</w:t>
      </w:r>
      <w:r w:rsidR="00BA08C4" w:rsidRPr="003C2624">
        <w:rPr>
          <w:rFonts w:cs="Arial"/>
        </w:rPr>
        <w:t xml:space="preserve"> </w:t>
      </w:r>
      <w:r w:rsidR="006B31C0" w:rsidRPr="003C2624">
        <w:rPr>
          <w:rFonts w:cs="Arial"/>
        </w:rPr>
        <w:t>makes it impossible for Luminant to fully reflect these costs in a DAM offer</w:t>
      </w:r>
      <w:r w:rsidR="00CD21D7" w:rsidRPr="003C2624">
        <w:rPr>
          <w:rFonts w:cs="Arial"/>
        </w:rPr>
        <w:t xml:space="preserve"> because the</w:t>
      </w:r>
      <w:r w:rsidR="00BA08C4" w:rsidRPr="003C2624">
        <w:rPr>
          <w:rFonts w:cs="Arial"/>
        </w:rPr>
        <w:t xml:space="preserve"> Protocols</w:t>
      </w:r>
      <w:r w:rsidR="00CD21D7" w:rsidRPr="003C2624">
        <w:rPr>
          <w:rFonts w:cs="Arial"/>
        </w:rPr>
        <w:t xml:space="preserve"> limit the startup and minimum energy components of a </w:t>
      </w:r>
      <w:r w:rsidR="001E3401" w:rsidRPr="003C2624">
        <w:rPr>
          <w:rFonts w:cs="Arial"/>
        </w:rPr>
        <w:t>three</w:t>
      </w:r>
      <w:r w:rsidR="00CD21D7" w:rsidRPr="003C2624">
        <w:rPr>
          <w:rFonts w:cs="Arial"/>
        </w:rPr>
        <w:t xml:space="preserve">-part offer to 200% of the generic or </w:t>
      </w:r>
      <w:r w:rsidR="001E3401" w:rsidRPr="003C2624">
        <w:rPr>
          <w:rFonts w:cs="Arial"/>
        </w:rPr>
        <w:t>R</w:t>
      </w:r>
      <w:r w:rsidR="00CD21D7" w:rsidRPr="003C2624">
        <w:rPr>
          <w:rFonts w:cs="Arial"/>
        </w:rPr>
        <w:t>esource-specific approved verifiable costs. In this instance, the generic verifiable costs are the reference point,</w:t>
      </w:r>
      <w:r w:rsidR="00D4239D" w:rsidRPr="003C2624">
        <w:rPr>
          <w:rStyle w:val="FootnoteReference"/>
          <w:rFonts w:cs="Arial"/>
        </w:rPr>
        <w:footnoteReference w:id="2"/>
      </w:r>
      <w:r w:rsidR="00CD21D7" w:rsidRPr="003C2624">
        <w:rPr>
          <w:rFonts w:cs="Arial"/>
        </w:rPr>
        <w:t xml:space="preserve"> which relies on the generic Katy gas </w:t>
      </w:r>
      <w:r w:rsidR="001E3401" w:rsidRPr="003C2624">
        <w:rPr>
          <w:rFonts w:cs="Arial"/>
        </w:rPr>
        <w:t>F</w:t>
      </w:r>
      <w:r w:rsidR="00CD21D7" w:rsidRPr="003C2624">
        <w:rPr>
          <w:rFonts w:cs="Arial"/>
        </w:rPr>
        <w:t xml:space="preserve">uel </w:t>
      </w:r>
      <w:r w:rsidR="001E3401" w:rsidRPr="003C2624">
        <w:rPr>
          <w:rFonts w:cs="Arial"/>
        </w:rPr>
        <w:t>I</w:t>
      </w:r>
      <w:r w:rsidR="00CD21D7" w:rsidRPr="003C2624">
        <w:rPr>
          <w:rFonts w:cs="Arial"/>
        </w:rPr>
        <w:t xml:space="preserve">ndex </w:t>
      </w:r>
      <w:r w:rsidR="001E3401" w:rsidRPr="003C2624">
        <w:rPr>
          <w:rFonts w:cs="Arial"/>
        </w:rPr>
        <w:t>P</w:t>
      </w:r>
      <w:r w:rsidR="00CD21D7" w:rsidRPr="003C2624">
        <w:rPr>
          <w:rFonts w:cs="Arial"/>
        </w:rPr>
        <w:t xml:space="preserve">rice (FIP) plus $0.50/MMBtu. </w:t>
      </w:r>
      <w:r w:rsidR="001E3401" w:rsidRPr="003C2624">
        <w:rPr>
          <w:rFonts w:cs="Arial"/>
        </w:rPr>
        <w:t xml:space="preserve"> </w:t>
      </w:r>
      <w:r w:rsidR="008867DA" w:rsidRPr="003C2624">
        <w:rPr>
          <w:rFonts w:cs="Arial"/>
        </w:rPr>
        <w:t xml:space="preserve">Even in a ~$5/MMBtu gas market price environment, </w:t>
      </w:r>
      <w:r w:rsidR="00BA08C4" w:rsidRPr="003C2624">
        <w:rPr>
          <w:rFonts w:cs="Arial"/>
        </w:rPr>
        <w:t xml:space="preserve">Luminant’s actual gas pricing </w:t>
      </w:r>
      <w:r w:rsidR="008B6FF3" w:rsidRPr="003C2624">
        <w:rPr>
          <w:rFonts w:cs="Arial"/>
        </w:rPr>
        <w:t xml:space="preserve">for these units </w:t>
      </w:r>
      <w:r w:rsidR="00BA08C4" w:rsidRPr="003C2624">
        <w:rPr>
          <w:rFonts w:cs="Arial"/>
        </w:rPr>
        <w:t xml:space="preserve">exceeds </w:t>
      </w:r>
      <w:r w:rsidR="008867DA" w:rsidRPr="003C2624">
        <w:rPr>
          <w:rFonts w:cs="Arial"/>
        </w:rPr>
        <w:t>200%</w:t>
      </w:r>
      <w:r w:rsidR="00BA08C4" w:rsidRPr="003C2624">
        <w:rPr>
          <w:rFonts w:cs="Arial"/>
        </w:rPr>
        <w:t xml:space="preserve"> of the Protocol</w:t>
      </w:r>
      <w:r w:rsidR="008B6FF3" w:rsidRPr="003C2624">
        <w:rPr>
          <w:rFonts w:cs="Arial"/>
        </w:rPr>
        <w:t>-</w:t>
      </w:r>
      <w:r w:rsidR="00BA08C4" w:rsidRPr="003C2624">
        <w:rPr>
          <w:rFonts w:cs="Arial"/>
        </w:rPr>
        <w:t>mandate</w:t>
      </w:r>
      <w:r w:rsidR="008B6FF3" w:rsidRPr="003C2624">
        <w:rPr>
          <w:rFonts w:cs="Arial"/>
        </w:rPr>
        <w:t>d</w:t>
      </w:r>
      <w:r w:rsidR="00BA08C4" w:rsidRPr="003C2624">
        <w:rPr>
          <w:rFonts w:cs="Arial"/>
        </w:rPr>
        <w:t xml:space="preserve"> </w:t>
      </w:r>
      <w:r w:rsidR="00A2749F" w:rsidRPr="003C2624">
        <w:rPr>
          <w:rFonts w:cs="Arial"/>
        </w:rPr>
        <w:t xml:space="preserve">offer </w:t>
      </w:r>
      <w:r w:rsidR="008B6FF3" w:rsidRPr="003C2624">
        <w:rPr>
          <w:rFonts w:cs="Arial"/>
        </w:rPr>
        <w:t>cap</w:t>
      </w:r>
      <w:r w:rsidR="008867DA" w:rsidRPr="003C2624">
        <w:rPr>
          <w:rFonts w:cs="Arial"/>
        </w:rPr>
        <w:t xml:space="preserve">. </w:t>
      </w:r>
      <w:r w:rsidR="001E3401" w:rsidRPr="003C2624">
        <w:rPr>
          <w:rFonts w:cs="Arial"/>
        </w:rPr>
        <w:t xml:space="preserve"> </w:t>
      </w:r>
      <w:r w:rsidR="008D522C" w:rsidRPr="003C2624">
        <w:rPr>
          <w:rFonts w:cs="Arial"/>
        </w:rPr>
        <w:t>Therefore,</w:t>
      </w:r>
      <w:r w:rsidR="008867DA" w:rsidRPr="003C2624">
        <w:rPr>
          <w:rFonts w:cs="Arial"/>
        </w:rPr>
        <w:t xml:space="preserve"> </w:t>
      </w:r>
      <w:r w:rsidR="00BA08C4" w:rsidRPr="003C2624">
        <w:rPr>
          <w:rFonts w:cs="Arial"/>
        </w:rPr>
        <w:t xml:space="preserve">Luminant wears significant risk of </w:t>
      </w:r>
      <w:r w:rsidR="008B6FF3" w:rsidRPr="003C2624">
        <w:rPr>
          <w:rFonts w:cs="Arial"/>
        </w:rPr>
        <w:t xml:space="preserve">financial loss </w:t>
      </w:r>
      <w:r w:rsidR="00BA08C4" w:rsidRPr="003C2624">
        <w:rPr>
          <w:rFonts w:cs="Arial"/>
        </w:rPr>
        <w:t xml:space="preserve">when offering these units </w:t>
      </w:r>
      <w:r w:rsidR="008867DA" w:rsidRPr="003C2624">
        <w:rPr>
          <w:rFonts w:cs="Arial"/>
        </w:rPr>
        <w:t>in the DAM.</w:t>
      </w:r>
      <w:r w:rsidR="008D522C" w:rsidRPr="003C2624">
        <w:rPr>
          <w:rStyle w:val="FootnoteReference"/>
          <w:rFonts w:cs="Arial"/>
        </w:rPr>
        <w:footnoteReference w:id="3"/>
      </w:r>
      <w:r w:rsidR="008867DA" w:rsidRPr="003C2624">
        <w:rPr>
          <w:rFonts w:cs="Arial"/>
        </w:rPr>
        <w:t xml:space="preserve"> </w:t>
      </w:r>
      <w:r w:rsidR="001E3401" w:rsidRPr="003C2624">
        <w:rPr>
          <w:rFonts w:cs="Arial"/>
        </w:rPr>
        <w:t xml:space="preserve"> </w:t>
      </w:r>
      <w:r w:rsidR="008867DA" w:rsidRPr="003C2624">
        <w:rPr>
          <w:rFonts w:cs="Arial"/>
        </w:rPr>
        <w:t>Furthermore, with ERCOT’s conservative grid operations generally depressing market prices, there is no market signal</w:t>
      </w:r>
      <w:r w:rsidR="00BA08C4" w:rsidRPr="003C2624">
        <w:rPr>
          <w:rFonts w:cs="Arial"/>
        </w:rPr>
        <w:t xml:space="preserve"> in </w:t>
      </w:r>
      <w:r w:rsidR="001E3401" w:rsidRPr="003C2624">
        <w:rPr>
          <w:rFonts w:cs="Arial"/>
        </w:rPr>
        <w:t>R</w:t>
      </w:r>
      <w:r w:rsidR="00BA08C4" w:rsidRPr="003C2624">
        <w:rPr>
          <w:rFonts w:cs="Arial"/>
        </w:rPr>
        <w:t>eal</w:t>
      </w:r>
      <w:r w:rsidR="001E3401" w:rsidRPr="003C2624">
        <w:rPr>
          <w:rFonts w:cs="Arial"/>
        </w:rPr>
        <w:t>-T</w:t>
      </w:r>
      <w:r w:rsidR="00BA08C4" w:rsidRPr="003C2624">
        <w:rPr>
          <w:rFonts w:cs="Arial"/>
        </w:rPr>
        <w:t>ime or bilaterally on the ICE Bal Day market</w:t>
      </w:r>
      <w:r w:rsidR="008867DA" w:rsidRPr="003C2624">
        <w:rPr>
          <w:rFonts w:cs="Arial"/>
        </w:rPr>
        <w:t xml:space="preserve"> to drive self-commitment outside of the DAM</w:t>
      </w:r>
      <w:r w:rsidR="007C472E" w:rsidRPr="003C2624">
        <w:rPr>
          <w:rFonts w:cs="Arial"/>
        </w:rPr>
        <w:t>, either</w:t>
      </w:r>
      <w:r w:rsidR="008867DA" w:rsidRPr="003C2624">
        <w:rPr>
          <w:rFonts w:cs="Arial"/>
        </w:rPr>
        <w:t xml:space="preserve">. </w:t>
      </w:r>
      <w:r w:rsidR="001E3401" w:rsidRPr="003C2624">
        <w:rPr>
          <w:rFonts w:cs="Arial"/>
        </w:rPr>
        <w:t xml:space="preserve"> </w:t>
      </w:r>
      <w:r w:rsidR="003E2EE9" w:rsidRPr="003C2624">
        <w:rPr>
          <w:rFonts w:cs="Arial"/>
        </w:rPr>
        <w:t xml:space="preserve">While Luminant has no obligation to provide this explanation to other </w:t>
      </w:r>
      <w:r w:rsidR="001E3401" w:rsidRPr="003C2624">
        <w:rPr>
          <w:rFonts w:cs="Arial"/>
        </w:rPr>
        <w:t>M</w:t>
      </w:r>
      <w:r w:rsidR="003E2EE9" w:rsidRPr="003C2624">
        <w:rPr>
          <w:rFonts w:cs="Arial"/>
        </w:rPr>
        <w:t xml:space="preserve">arket </w:t>
      </w:r>
      <w:r w:rsidR="001E3401" w:rsidRPr="003C2624">
        <w:rPr>
          <w:rFonts w:cs="Arial"/>
        </w:rPr>
        <w:t>P</w:t>
      </w:r>
      <w:r w:rsidR="003E2EE9" w:rsidRPr="003C2624">
        <w:rPr>
          <w:rFonts w:cs="Arial"/>
        </w:rPr>
        <w:t>articipants, since Joint Commenters have inserted misunderstandings about this dynamic into the NPRR1092 discussion, Luminant wants to be clear:</w:t>
      </w:r>
      <w:r w:rsidR="00405508" w:rsidRPr="003C2624">
        <w:rPr>
          <w:rFonts w:cs="Arial"/>
        </w:rPr>
        <w:t xml:space="preserve"> </w:t>
      </w:r>
      <w:r w:rsidR="00A410A8" w:rsidRPr="003C2624">
        <w:rPr>
          <w:rFonts w:cs="Arial"/>
        </w:rPr>
        <w:t xml:space="preserve">it is </w:t>
      </w:r>
      <w:r w:rsidR="00405508" w:rsidRPr="003C2624">
        <w:rPr>
          <w:rFonts w:cs="Arial"/>
        </w:rPr>
        <w:t xml:space="preserve">the combined effects of </w:t>
      </w:r>
      <w:r w:rsidR="001C25CF" w:rsidRPr="003C2624">
        <w:rPr>
          <w:rFonts w:cs="Arial"/>
        </w:rPr>
        <w:t>a third-party’s fuel prices</w:t>
      </w:r>
      <w:r w:rsidR="000D4CF9" w:rsidRPr="003C2624">
        <w:rPr>
          <w:rFonts w:cs="Arial"/>
        </w:rPr>
        <w:t xml:space="preserve"> and ERCOT’s conservative grid operations </w:t>
      </w:r>
      <w:r w:rsidR="00A410A8" w:rsidRPr="003C2624">
        <w:rPr>
          <w:rFonts w:cs="Arial"/>
        </w:rPr>
        <w:t xml:space="preserve">that </w:t>
      </w:r>
      <w:r w:rsidR="00D21173" w:rsidRPr="003C2624">
        <w:rPr>
          <w:rFonts w:cs="Arial"/>
        </w:rPr>
        <w:t>make these plants uneconomic to self-commit.</w:t>
      </w:r>
      <w:r w:rsidR="008867DA" w:rsidRPr="003C2624">
        <w:rPr>
          <w:rFonts w:cs="Arial"/>
        </w:rPr>
        <w:t xml:space="preserve"> </w:t>
      </w:r>
      <w:r w:rsidR="001E3401" w:rsidRPr="003C2624">
        <w:rPr>
          <w:rFonts w:cs="Arial"/>
        </w:rPr>
        <w:t xml:space="preserve"> </w:t>
      </w:r>
      <w:r w:rsidR="0022688B" w:rsidRPr="003C2624">
        <w:rPr>
          <w:rFonts w:cs="Arial"/>
        </w:rPr>
        <w:t xml:space="preserve">In addition, </w:t>
      </w:r>
      <w:r w:rsidR="00510C62" w:rsidRPr="003C2624">
        <w:rPr>
          <w:rFonts w:cs="Arial"/>
        </w:rPr>
        <w:t xml:space="preserve">while some </w:t>
      </w:r>
      <w:r w:rsidR="001E3401" w:rsidRPr="003C2624">
        <w:rPr>
          <w:rFonts w:cs="Arial"/>
        </w:rPr>
        <w:t>M</w:t>
      </w:r>
      <w:r w:rsidR="00510C62" w:rsidRPr="003C2624">
        <w:rPr>
          <w:rFonts w:cs="Arial"/>
        </w:rPr>
        <w:t xml:space="preserve">arket </w:t>
      </w:r>
      <w:r w:rsidR="001E3401" w:rsidRPr="003C2624">
        <w:rPr>
          <w:rFonts w:cs="Arial"/>
        </w:rPr>
        <w:t>P</w:t>
      </w:r>
      <w:r w:rsidR="00510C62" w:rsidRPr="003C2624">
        <w:rPr>
          <w:rFonts w:cs="Arial"/>
        </w:rPr>
        <w:t xml:space="preserve">articipants have made sweeping statements about RUC units being made whole to their costs, </w:t>
      </w:r>
      <w:r w:rsidR="0022688B" w:rsidRPr="003C2624">
        <w:rPr>
          <w:rFonts w:cs="Arial"/>
        </w:rPr>
        <w:t xml:space="preserve">at this time Luminant has received </w:t>
      </w:r>
      <w:r w:rsidR="00510C62" w:rsidRPr="003C2624">
        <w:rPr>
          <w:rFonts w:cs="Arial"/>
        </w:rPr>
        <w:t xml:space="preserve">some </w:t>
      </w:r>
      <w:r w:rsidR="0022688B" w:rsidRPr="003C2624">
        <w:rPr>
          <w:rFonts w:cs="Arial"/>
        </w:rPr>
        <w:t>indications that ERCOT may not make us whole for all of our RUCs.</w:t>
      </w:r>
    </w:p>
    <w:p w14:paraId="1459827E" w14:textId="5DEFB88D" w:rsidR="000D4CF9" w:rsidRPr="003C2624" w:rsidRDefault="000D4CF9" w:rsidP="00F748E3">
      <w:pPr>
        <w:pStyle w:val="NormalArial"/>
        <w:spacing w:before="120" w:after="120"/>
        <w:ind w:left="360"/>
        <w:rPr>
          <w:rFonts w:cs="Arial"/>
          <w:u w:val="single"/>
        </w:rPr>
      </w:pPr>
      <w:r w:rsidRPr="003C2624">
        <w:rPr>
          <w:rFonts w:cs="Arial"/>
          <w:u w:val="single"/>
        </w:rPr>
        <w:t>Addressing Market Power and Voluntary Mitigation Plan (</w:t>
      </w:r>
      <w:r w:rsidR="001E3401" w:rsidRPr="003C2624">
        <w:rPr>
          <w:rFonts w:cs="Arial"/>
          <w:u w:val="single"/>
        </w:rPr>
        <w:t>“</w:t>
      </w:r>
      <w:r w:rsidRPr="003C2624">
        <w:rPr>
          <w:rFonts w:cs="Arial"/>
          <w:u w:val="single"/>
        </w:rPr>
        <w:t>VMP</w:t>
      </w:r>
      <w:r w:rsidR="001E3401" w:rsidRPr="003C2624">
        <w:rPr>
          <w:rFonts w:cs="Arial"/>
          <w:u w:val="single"/>
        </w:rPr>
        <w:t>”</w:t>
      </w:r>
      <w:r w:rsidRPr="003C2624">
        <w:rPr>
          <w:rFonts w:cs="Arial"/>
          <w:u w:val="single"/>
        </w:rPr>
        <w:t>) Comments</w:t>
      </w:r>
    </w:p>
    <w:p w14:paraId="32508309" w14:textId="147564BC" w:rsidR="00207690" w:rsidRPr="003C2624" w:rsidRDefault="007C472E" w:rsidP="00F748E3">
      <w:pPr>
        <w:pStyle w:val="NormalArial"/>
        <w:spacing w:before="120" w:after="120"/>
        <w:ind w:left="360"/>
        <w:rPr>
          <w:rFonts w:cs="Arial"/>
        </w:rPr>
      </w:pPr>
      <w:r w:rsidRPr="003C2624">
        <w:rPr>
          <w:rFonts w:cs="Arial"/>
        </w:rPr>
        <w:t xml:space="preserve">Luminant offers </w:t>
      </w:r>
      <w:r w:rsidR="000D4CF9" w:rsidRPr="003C2624">
        <w:rPr>
          <w:rFonts w:cs="Arial"/>
        </w:rPr>
        <w:t xml:space="preserve">the </w:t>
      </w:r>
      <w:r w:rsidRPr="003C2624">
        <w:rPr>
          <w:rFonts w:cs="Arial"/>
        </w:rPr>
        <w:t xml:space="preserve">information </w:t>
      </w:r>
      <w:r w:rsidR="000D4CF9" w:rsidRPr="003C2624">
        <w:rPr>
          <w:rFonts w:cs="Arial"/>
        </w:rPr>
        <w:t xml:space="preserve">above </w:t>
      </w:r>
      <w:r w:rsidR="00207690" w:rsidRPr="003C2624">
        <w:rPr>
          <w:rFonts w:cs="Arial"/>
        </w:rPr>
        <w:t xml:space="preserve">because it provides a clear-cut example of </w:t>
      </w:r>
      <w:r w:rsidR="001E3401" w:rsidRPr="003C2624">
        <w:rPr>
          <w:rFonts w:cs="Arial"/>
        </w:rPr>
        <w:t>R</w:t>
      </w:r>
      <w:r w:rsidR="00207690" w:rsidRPr="003C2624">
        <w:rPr>
          <w:rFonts w:cs="Arial"/>
        </w:rPr>
        <w:t xml:space="preserve">esources whose commitment decisions are not impacted by the RUC opt-out but are </w:t>
      </w:r>
      <w:r w:rsidR="00041D0A" w:rsidRPr="003C2624">
        <w:rPr>
          <w:rFonts w:cs="Arial"/>
        </w:rPr>
        <w:t xml:space="preserve">unambiguously </w:t>
      </w:r>
      <w:r w:rsidR="00207690" w:rsidRPr="003C2624">
        <w:rPr>
          <w:rFonts w:cs="Arial"/>
        </w:rPr>
        <w:t xml:space="preserve">harmed by RUC and the RUC clawback. </w:t>
      </w:r>
      <w:r w:rsidR="001E3401" w:rsidRPr="003C2624">
        <w:rPr>
          <w:rFonts w:cs="Arial"/>
        </w:rPr>
        <w:t xml:space="preserve"> </w:t>
      </w:r>
      <w:r w:rsidR="00207690" w:rsidRPr="003C2624">
        <w:rPr>
          <w:rFonts w:cs="Arial"/>
        </w:rPr>
        <w:t xml:space="preserve">Additionally, it should help to clarify a frustratingly inaccurate picture painted by Joint Commenters’ </w:t>
      </w:r>
      <w:r w:rsidR="008614E5" w:rsidRPr="003C2624">
        <w:rPr>
          <w:rFonts w:cs="Arial"/>
        </w:rPr>
        <w:t>remarks about alleged</w:t>
      </w:r>
      <w:r w:rsidR="00207690" w:rsidRPr="003C2624">
        <w:rPr>
          <w:rFonts w:cs="Arial"/>
        </w:rPr>
        <w:t xml:space="preserve"> market power abuse by way of RUC</w:t>
      </w:r>
      <w:r w:rsidR="00041D0A" w:rsidRPr="003C2624">
        <w:rPr>
          <w:rFonts w:cs="Arial"/>
        </w:rPr>
        <w:t>:</w:t>
      </w:r>
    </w:p>
    <w:p w14:paraId="39210CB3" w14:textId="76A646A7" w:rsidR="00041D0A" w:rsidRPr="003C2624" w:rsidRDefault="00041D0A" w:rsidP="00F748E3">
      <w:pPr>
        <w:pStyle w:val="NormalArial"/>
        <w:spacing w:before="120" w:after="120"/>
        <w:ind w:left="720"/>
        <w:rPr>
          <w:rFonts w:cs="Arial"/>
        </w:rPr>
      </w:pPr>
      <w:r w:rsidRPr="003C2624">
        <w:rPr>
          <w:rFonts w:cs="Arial"/>
        </w:rPr>
        <w:t xml:space="preserve">“The frequency of RUCs allows a Market Participant to determine if there is a benefit to being RUC’ed and being “forced” to offer at a high offer price without violating any VMPs. </w:t>
      </w:r>
      <w:r w:rsidR="001E3401" w:rsidRPr="003C2624">
        <w:rPr>
          <w:rFonts w:cs="Arial"/>
        </w:rPr>
        <w:t xml:space="preserve"> </w:t>
      </w:r>
      <w:r w:rsidRPr="003C2624">
        <w:rPr>
          <w:rFonts w:cs="Arial"/>
        </w:rPr>
        <w:t>A Market Participant may be able to anticipate a RUC instruction, using the expected instruction to its advantage. This opportunity is exacerbated by the RUC “opt-out” process.”</w:t>
      </w:r>
    </w:p>
    <w:p w14:paraId="0F197367" w14:textId="122CB3FB" w:rsidR="00041D0A" w:rsidRPr="003C2624" w:rsidRDefault="00041D0A" w:rsidP="00F748E3">
      <w:pPr>
        <w:pStyle w:val="NormalArial"/>
        <w:spacing w:before="120" w:after="120"/>
        <w:ind w:left="360"/>
        <w:rPr>
          <w:rFonts w:cs="Arial"/>
        </w:rPr>
      </w:pPr>
      <w:r w:rsidRPr="003C2624">
        <w:rPr>
          <w:rFonts w:cs="Arial"/>
        </w:rPr>
        <w:lastRenderedPageBreak/>
        <w:t xml:space="preserve">This assertion is misplaced at best; even if a </w:t>
      </w:r>
      <w:r w:rsidR="001E3401" w:rsidRPr="003C2624">
        <w:rPr>
          <w:rFonts w:cs="Arial"/>
        </w:rPr>
        <w:t>M</w:t>
      </w:r>
      <w:r w:rsidRPr="003C2624">
        <w:rPr>
          <w:rFonts w:cs="Arial"/>
        </w:rPr>
        <w:t xml:space="preserve">arket </w:t>
      </w:r>
      <w:r w:rsidR="001E3401" w:rsidRPr="003C2624">
        <w:rPr>
          <w:rFonts w:cs="Arial"/>
        </w:rPr>
        <w:t>P</w:t>
      </w:r>
      <w:r w:rsidRPr="003C2624">
        <w:rPr>
          <w:rFonts w:cs="Arial"/>
        </w:rPr>
        <w:t xml:space="preserve">articipant can “anticipate a RUC,” that </w:t>
      </w:r>
      <w:r w:rsidR="00F45ECE" w:rsidRPr="003C2624">
        <w:rPr>
          <w:rFonts w:cs="Arial"/>
        </w:rPr>
        <w:t xml:space="preserve">neither indicates that market signals should have driven self-commitment, nor does it represent </w:t>
      </w:r>
      <w:r w:rsidRPr="003C2624">
        <w:rPr>
          <w:rFonts w:cs="Arial"/>
        </w:rPr>
        <w:t>knowledge</w:t>
      </w:r>
      <w:r w:rsidR="00F45ECE" w:rsidRPr="003C2624">
        <w:rPr>
          <w:rFonts w:cs="Arial"/>
        </w:rPr>
        <w:t xml:space="preserve"> unavailable to other </w:t>
      </w:r>
      <w:r w:rsidR="001E3401" w:rsidRPr="003C2624">
        <w:rPr>
          <w:rFonts w:cs="Arial"/>
        </w:rPr>
        <w:t>M</w:t>
      </w:r>
      <w:r w:rsidR="00F45ECE" w:rsidRPr="003C2624">
        <w:rPr>
          <w:rFonts w:cs="Arial"/>
        </w:rPr>
        <w:t xml:space="preserve">arket </w:t>
      </w:r>
      <w:r w:rsidR="001E3401" w:rsidRPr="003C2624">
        <w:rPr>
          <w:rFonts w:cs="Arial"/>
        </w:rPr>
        <w:t>P</w:t>
      </w:r>
      <w:r w:rsidR="00F45ECE" w:rsidRPr="003C2624">
        <w:rPr>
          <w:rFonts w:cs="Arial"/>
        </w:rPr>
        <w:t xml:space="preserve">articipants. </w:t>
      </w:r>
      <w:r w:rsidR="001E3401" w:rsidRPr="003C2624">
        <w:rPr>
          <w:rFonts w:cs="Arial"/>
        </w:rPr>
        <w:t xml:space="preserve"> </w:t>
      </w:r>
      <w:r w:rsidR="00F45ECE" w:rsidRPr="003C2624">
        <w:rPr>
          <w:rFonts w:cs="Arial"/>
        </w:rPr>
        <w:t xml:space="preserve">For instance, </w:t>
      </w:r>
      <w:r w:rsidR="001E3401" w:rsidRPr="003C2624">
        <w:rPr>
          <w:rFonts w:cs="Arial"/>
        </w:rPr>
        <w:t>L</w:t>
      </w:r>
      <w:r w:rsidR="00F45ECE" w:rsidRPr="003C2624">
        <w:rPr>
          <w:rFonts w:cs="Arial"/>
        </w:rPr>
        <w:t xml:space="preserve">oads could similarly anticipate this dynamic and take long positions against it, in turn driving up forward prices, potentially resulting in actual market commitment signals that would obviate ERCOT’s </w:t>
      </w:r>
      <w:r w:rsidR="00E60F18" w:rsidRPr="003C2624">
        <w:rPr>
          <w:rFonts w:cs="Arial"/>
        </w:rPr>
        <w:t xml:space="preserve">need to use </w:t>
      </w:r>
      <w:r w:rsidR="00F45ECE" w:rsidRPr="003C2624">
        <w:rPr>
          <w:rFonts w:cs="Arial"/>
        </w:rPr>
        <w:t>RUC.</w:t>
      </w:r>
      <w:r w:rsidR="001E3401" w:rsidRPr="003C2624">
        <w:rPr>
          <w:rFonts w:cs="Arial"/>
        </w:rPr>
        <w:t xml:space="preserve"> </w:t>
      </w:r>
      <w:r w:rsidR="00F45ECE" w:rsidRPr="003C2624">
        <w:rPr>
          <w:rFonts w:cs="Arial"/>
        </w:rPr>
        <w:t xml:space="preserve"> The “exacerbat[ion] by the RUC ‘opt-out’ process” does not make sense, though; if a unit opts out of RUC then the RUC offer floor is irrelevant because the unit is not RUC</w:t>
      </w:r>
      <w:r w:rsidR="00A2749F" w:rsidRPr="003C2624">
        <w:rPr>
          <w:rFonts w:cs="Arial"/>
        </w:rPr>
        <w:t xml:space="preserve"> committe</w:t>
      </w:r>
      <w:r w:rsidR="00F45ECE" w:rsidRPr="003C2624">
        <w:rPr>
          <w:rFonts w:cs="Arial"/>
        </w:rPr>
        <w:t>d</w:t>
      </w:r>
      <w:r w:rsidR="00B64F60" w:rsidRPr="003C2624">
        <w:rPr>
          <w:rFonts w:cs="Arial"/>
        </w:rPr>
        <w:t xml:space="preserve"> (even though it must remain</w:t>
      </w:r>
      <w:r w:rsidR="00A2749F" w:rsidRPr="003C2624">
        <w:rPr>
          <w:rFonts w:cs="Arial"/>
        </w:rPr>
        <w:t xml:space="preserve"> self-</w:t>
      </w:r>
      <w:r w:rsidR="00B64F60" w:rsidRPr="003C2624">
        <w:rPr>
          <w:rFonts w:cs="Arial"/>
        </w:rPr>
        <w:t>committed for the entire RUC period)</w:t>
      </w:r>
      <w:r w:rsidR="00F45ECE" w:rsidRPr="003C2624">
        <w:rPr>
          <w:rFonts w:cs="Arial"/>
        </w:rPr>
        <w:t xml:space="preserve">. </w:t>
      </w:r>
      <w:r w:rsidR="001E3401" w:rsidRPr="003C2624">
        <w:rPr>
          <w:rFonts w:cs="Arial"/>
        </w:rPr>
        <w:t xml:space="preserve"> </w:t>
      </w:r>
      <w:r w:rsidR="00F45ECE" w:rsidRPr="003C2624">
        <w:rPr>
          <w:rFonts w:cs="Arial"/>
        </w:rPr>
        <w:t>So</w:t>
      </w:r>
      <w:r w:rsidR="00E60F18" w:rsidRPr="003C2624">
        <w:rPr>
          <w:rFonts w:cs="Arial"/>
        </w:rPr>
        <w:t>,</w:t>
      </w:r>
      <w:r w:rsidR="00F45ECE" w:rsidRPr="003C2624">
        <w:rPr>
          <w:rFonts w:cs="Arial"/>
        </w:rPr>
        <w:t xml:space="preserve"> to the extent the RUC offer floor is a concern, the RUC opt-out should actually mitigate that concern. </w:t>
      </w:r>
      <w:r w:rsidR="001E3401" w:rsidRPr="003C2624">
        <w:rPr>
          <w:rFonts w:cs="Arial"/>
        </w:rPr>
        <w:t xml:space="preserve"> </w:t>
      </w:r>
      <w:r w:rsidR="00F45ECE" w:rsidRPr="003C2624">
        <w:rPr>
          <w:rFonts w:cs="Arial"/>
        </w:rPr>
        <w:t xml:space="preserve">To argue both sides </w:t>
      </w:r>
      <w:r w:rsidR="003105A2" w:rsidRPr="003C2624">
        <w:rPr>
          <w:rFonts w:cs="Arial"/>
        </w:rPr>
        <w:t>is circular logic</w:t>
      </w:r>
      <w:r w:rsidR="00F45ECE" w:rsidRPr="003C2624">
        <w:rPr>
          <w:rFonts w:cs="Arial"/>
        </w:rPr>
        <w:t xml:space="preserve">. </w:t>
      </w:r>
    </w:p>
    <w:p w14:paraId="1632C6E3" w14:textId="4B87B9EB" w:rsidR="00533C00" w:rsidRPr="003C2624" w:rsidRDefault="008614E5" w:rsidP="00F748E3">
      <w:pPr>
        <w:pStyle w:val="NormalArial"/>
        <w:spacing w:before="120" w:after="120"/>
        <w:ind w:left="360"/>
        <w:rPr>
          <w:rFonts w:cs="Arial"/>
        </w:rPr>
      </w:pPr>
      <w:r w:rsidRPr="003C2624">
        <w:rPr>
          <w:rFonts w:cs="Arial"/>
        </w:rPr>
        <w:t>T</w:t>
      </w:r>
      <w:r w:rsidR="00677F59" w:rsidRPr="003C2624">
        <w:rPr>
          <w:rFonts w:cs="Arial"/>
        </w:rPr>
        <w:t xml:space="preserve">he frequent rhetorical use of market power fears </w:t>
      </w:r>
      <w:r w:rsidRPr="003C2624">
        <w:rPr>
          <w:rFonts w:cs="Arial"/>
        </w:rPr>
        <w:t>is</w:t>
      </w:r>
      <w:r w:rsidR="00FA343F" w:rsidRPr="003C2624">
        <w:rPr>
          <w:rFonts w:cs="Arial"/>
        </w:rPr>
        <w:t xml:space="preserve"> </w:t>
      </w:r>
      <w:r w:rsidR="00E60F18" w:rsidRPr="003C2624">
        <w:rPr>
          <w:rFonts w:cs="Arial"/>
        </w:rPr>
        <w:t>not helpful in</w:t>
      </w:r>
      <w:r w:rsidR="00FA343F" w:rsidRPr="003C2624">
        <w:rPr>
          <w:rFonts w:cs="Arial"/>
        </w:rPr>
        <w:t xml:space="preserve"> evaluating the need and merits of the policies in NPRR1092. </w:t>
      </w:r>
      <w:r w:rsidR="001E3401" w:rsidRPr="003C2624">
        <w:rPr>
          <w:rFonts w:cs="Arial"/>
        </w:rPr>
        <w:t xml:space="preserve"> </w:t>
      </w:r>
      <w:r w:rsidR="00FA343F" w:rsidRPr="003C2624">
        <w:rPr>
          <w:rFonts w:cs="Arial"/>
        </w:rPr>
        <w:t xml:space="preserve">As the data previously provided by Luminant showed, prices have on balance been </w:t>
      </w:r>
      <w:r w:rsidR="00FA343F" w:rsidRPr="003C2624">
        <w:rPr>
          <w:rFonts w:cs="Arial"/>
          <w:i/>
          <w:iCs/>
        </w:rPr>
        <w:t>suppressed</w:t>
      </w:r>
      <w:r w:rsidR="00FA343F" w:rsidRPr="003C2624">
        <w:rPr>
          <w:rFonts w:cs="Arial"/>
        </w:rPr>
        <w:t xml:space="preserve"> by conservative grid operations, so </w:t>
      </w:r>
      <w:r w:rsidR="00FA343F" w:rsidRPr="003C2624">
        <w:rPr>
          <w:rFonts w:cs="Arial"/>
          <w:i/>
          <w:iCs/>
        </w:rPr>
        <w:t>if</w:t>
      </w:r>
      <w:r w:rsidR="00FA343F" w:rsidRPr="003C2624">
        <w:rPr>
          <w:rFonts w:cs="Arial"/>
        </w:rPr>
        <w:t xml:space="preserve"> any </w:t>
      </w:r>
      <w:r w:rsidR="001E3401" w:rsidRPr="003C2624">
        <w:rPr>
          <w:rFonts w:cs="Arial"/>
        </w:rPr>
        <w:t>E</w:t>
      </w:r>
      <w:r w:rsidR="00FA343F" w:rsidRPr="003C2624">
        <w:rPr>
          <w:rFonts w:cs="Arial"/>
        </w:rPr>
        <w:t xml:space="preserve">ntity besides ERCOT </w:t>
      </w:r>
      <w:r w:rsidR="00B11D62" w:rsidRPr="003C2624">
        <w:rPr>
          <w:rFonts w:cs="Arial"/>
        </w:rPr>
        <w:t xml:space="preserve">has </w:t>
      </w:r>
      <w:r w:rsidR="00FA343F" w:rsidRPr="003C2624">
        <w:rPr>
          <w:rFonts w:cs="Arial"/>
        </w:rPr>
        <w:t>attempt</w:t>
      </w:r>
      <w:r w:rsidR="00B11D62" w:rsidRPr="003C2624">
        <w:rPr>
          <w:rFonts w:cs="Arial"/>
        </w:rPr>
        <w:t>ed</w:t>
      </w:r>
      <w:r w:rsidR="00FA343F" w:rsidRPr="003C2624">
        <w:rPr>
          <w:rFonts w:cs="Arial"/>
        </w:rPr>
        <w:t xml:space="preserve"> to exercise market power they have </w:t>
      </w:r>
      <w:r w:rsidR="00B11D62" w:rsidRPr="003C2624">
        <w:rPr>
          <w:rFonts w:cs="Arial"/>
        </w:rPr>
        <w:t>resoundingly failed</w:t>
      </w:r>
      <w:r w:rsidR="00FA343F" w:rsidRPr="003C2624">
        <w:rPr>
          <w:rFonts w:cs="Arial"/>
        </w:rPr>
        <w:t>.</w:t>
      </w:r>
      <w:r w:rsidR="00506015" w:rsidRPr="003C2624">
        <w:rPr>
          <w:rFonts w:cs="Arial"/>
        </w:rPr>
        <w:t xml:space="preserve"> </w:t>
      </w:r>
    </w:p>
    <w:p w14:paraId="11CB98C8" w14:textId="0B6FE233" w:rsidR="00677F59" w:rsidRPr="003C2624" w:rsidRDefault="00B64F60" w:rsidP="00F748E3">
      <w:pPr>
        <w:pStyle w:val="NormalArial"/>
        <w:spacing w:before="120" w:after="120"/>
        <w:ind w:left="360"/>
        <w:rPr>
          <w:rFonts w:cs="Arial"/>
        </w:rPr>
      </w:pPr>
      <w:r w:rsidRPr="003C2624">
        <w:rPr>
          <w:rFonts w:cs="Arial"/>
        </w:rPr>
        <w:t xml:space="preserve">That said, </w:t>
      </w:r>
      <w:r w:rsidR="00FA343F" w:rsidRPr="003C2624">
        <w:rPr>
          <w:rFonts w:cs="Arial"/>
        </w:rPr>
        <w:t xml:space="preserve">Luminant does </w:t>
      </w:r>
      <w:r w:rsidR="00506015" w:rsidRPr="003C2624">
        <w:rPr>
          <w:rFonts w:cs="Arial"/>
        </w:rPr>
        <w:t xml:space="preserve">recognize and share other stakeholders’ </w:t>
      </w:r>
      <w:r w:rsidR="00FA343F" w:rsidRPr="003C2624">
        <w:rPr>
          <w:rFonts w:cs="Arial"/>
        </w:rPr>
        <w:t>desire to understand the market outcomes from February 24, 2022</w:t>
      </w:r>
      <w:r w:rsidR="00533C00" w:rsidRPr="003C2624">
        <w:rPr>
          <w:rFonts w:cs="Arial"/>
        </w:rPr>
        <w:t xml:space="preserve">. </w:t>
      </w:r>
      <w:r w:rsidR="001E3401" w:rsidRPr="003C2624">
        <w:rPr>
          <w:rFonts w:cs="Arial"/>
        </w:rPr>
        <w:t xml:space="preserve"> </w:t>
      </w:r>
      <w:r w:rsidR="00D3608D" w:rsidRPr="003C2624">
        <w:rPr>
          <w:rFonts w:cs="Arial"/>
        </w:rPr>
        <w:t xml:space="preserve">However, </w:t>
      </w:r>
      <w:r w:rsidR="00506015" w:rsidRPr="003C2624">
        <w:rPr>
          <w:rFonts w:cs="Arial"/>
        </w:rPr>
        <w:t>the breadth of evidence of price suppression from conservative grid operations in the preceding months suggests that unique circumstances of February 24 do not invalidate the broader trend.</w:t>
      </w:r>
      <w:r w:rsidRPr="003C2624">
        <w:rPr>
          <w:rFonts w:cs="Arial"/>
        </w:rPr>
        <w:t xml:space="preserve"> </w:t>
      </w:r>
      <w:r w:rsidR="001E3401" w:rsidRPr="003C2624">
        <w:rPr>
          <w:rFonts w:cs="Arial"/>
        </w:rPr>
        <w:t xml:space="preserve"> </w:t>
      </w:r>
      <w:r w:rsidRPr="003C2624">
        <w:rPr>
          <w:rFonts w:cs="Arial"/>
        </w:rPr>
        <w:t xml:space="preserve">But in the context of NPRR1092, it is important to note that </w:t>
      </w:r>
      <w:r w:rsidR="005F24B4" w:rsidRPr="003C2624">
        <w:rPr>
          <w:rFonts w:cs="Arial"/>
        </w:rPr>
        <w:t>in the 1,154 SCED runs between February 23 and February 26, 2022, there were only 14 that experienced a total price point between $1500 and $2000/MWh</w:t>
      </w:r>
      <w:r w:rsidR="002A5F4C" w:rsidRPr="003C2624">
        <w:rPr>
          <w:rFonts w:cs="Arial"/>
        </w:rPr>
        <w:t xml:space="preserve">, and </w:t>
      </w:r>
      <w:r w:rsidR="002A5F4C" w:rsidRPr="003C2624">
        <w:rPr>
          <w:rFonts w:cs="Arial"/>
          <w:i/>
          <w:iCs/>
        </w:rPr>
        <w:t>none</w:t>
      </w:r>
      <w:r w:rsidR="002A5F4C" w:rsidRPr="003C2624">
        <w:rPr>
          <w:rFonts w:cs="Arial"/>
        </w:rPr>
        <w:t xml:space="preserve"> of those SCED runs reflected a System Lambda above $907/MWh</w:t>
      </w:r>
      <w:r w:rsidR="005F24B4" w:rsidRPr="003C2624">
        <w:rPr>
          <w:rFonts w:cs="Arial"/>
        </w:rPr>
        <w:t xml:space="preserve">. </w:t>
      </w:r>
      <w:r w:rsidR="001E3401" w:rsidRPr="003C2624">
        <w:rPr>
          <w:rFonts w:cs="Arial"/>
        </w:rPr>
        <w:t xml:space="preserve"> </w:t>
      </w:r>
      <w:r w:rsidR="00D3608D" w:rsidRPr="003C2624">
        <w:rPr>
          <w:rFonts w:cs="Arial"/>
        </w:rPr>
        <w:t>That is, the $1500/MWh RUC offer floor still was not setting prices during the February 24 pricing event.</w:t>
      </w:r>
    </w:p>
    <w:p w14:paraId="00774F28" w14:textId="18D3F748" w:rsidR="00506015" w:rsidRPr="003C2624" w:rsidRDefault="005F24B4" w:rsidP="00F748E3">
      <w:pPr>
        <w:pStyle w:val="NormalArial"/>
        <w:spacing w:before="120" w:after="120"/>
        <w:ind w:left="360"/>
        <w:rPr>
          <w:rFonts w:cs="Arial"/>
        </w:rPr>
      </w:pPr>
      <w:r w:rsidRPr="003C2624">
        <w:rPr>
          <w:rFonts w:cs="Arial"/>
        </w:rPr>
        <w:t xml:space="preserve">Finally, </w:t>
      </w:r>
      <w:r w:rsidR="004C03C7" w:rsidRPr="003C2624">
        <w:rPr>
          <w:rFonts w:cs="Arial"/>
        </w:rPr>
        <w:t xml:space="preserve">Luminant </w:t>
      </w:r>
      <w:r w:rsidR="00D00B2E" w:rsidRPr="003C2624">
        <w:rPr>
          <w:rFonts w:cs="Arial"/>
        </w:rPr>
        <w:t>strongly disagree</w:t>
      </w:r>
      <w:r w:rsidRPr="003C2624">
        <w:rPr>
          <w:rFonts w:cs="Arial"/>
        </w:rPr>
        <w:t>s</w:t>
      </w:r>
      <w:r w:rsidR="00D00B2E" w:rsidRPr="003C2624">
        <w:rPr>
          <w:rFonts w:cs="Arial"/>
        </w:rPr>
        <w:t xml:space="preserve"> with the criticisms lodged by Joint Commenters </w:t>
      </w:r>
      <w:r w:rsidR="004C03C7" w:rsidRPr="003C2624">
        <w:rPr>
          <w:rFonts w:cs="Arial"/>
        </w:rPr>
        <w:t xml:space="preserve">on the topic of </w:t>
      </w:r>
      <w:r w:rsidR="001E3401" w:rsidRPr="003C2624">
        <w:rPr>
          <w:rFonts w:cs="Arial"/>
        </w:rPr>
        <w:t>v</w:t>
      </w:r>
      <w:r w:rsidR="004C03C7" w:rsidRPr="003C2624">
        <w:rPr>
          <w:rFonts w:cs="Arial"/>
        </w:rPr>
        <w:t xml:space="preserve">oluntary </w:t>
      </w:r>
      <w:r w:rsidR="001E3401" w:rsidRPr="003C2624">
        <w:rPr>
          <w:rFonts w:cs="Arial"/>
        </w:rPr>
        <w:t>m</w:t>
      </w:r>
      <w:r w:rsidR="004C03C7" w:rsidRPr="003C2624">
        <w:rPr>
          <w:rFonts w:cs="Arial"/>
        </w:rPr>
        <w:t xml:space="preserve">itigation </w:t>
      </w:r>
      <w:r w:rsidR="001E3401" w:rsidRPr="003C2624">
        <w:rPr>
          <w:rFonts w:cs="Arial"/>
        </w:rPr>
        <w:t>p</w:t>
      </w:r>
      <w:r w:rsidR="004C03C7" w:rsidRPr="003C2624">
        <w:rPr>
          <w:rFonts w:cs="Arial"/>
        </w:rPr>
        <w:t>lans (</w:t>
      </w:r>
      <w:r w:rsidR="001E3401" w:rsidRPr="003C2624">
        <w:rPr>
          <w:rFonts w:cs="Arial"/>
        </w:rPr>
        <w:t>“</w:t>
      </w:r>
      <w:r w:rsidR="004C03C7" w:rsidRPr="003C2624">
        <w:rPr>
          <w:rFonts w:cs="Arial"/>
        </w:rPr>
        <w:t>VMPs</w:t>
      </w:r>
      <w:r w:rsidR="001E3401" w:rsidRPr="003C2624">
        <w:rPr>
          <w:rFonts w:cs="Arial"/>
        </w:rPr>
        <w:t>”</w:t>
      </w:r>
      <w:r w:rsidR="004C03C7" w:rsidRPr="003C2624">
        <w:rPr>
          <w:rFonts w:cs="Arial"/>
        </w:rPr>
        <w:t>)</w:t>
      </w:r>
      <w:r w:rsidR="00D00B2E" w:rsidRPr="003C2624">
        <w:rPr>
          <w:rFonts w:cs="Arial"/>
        </w:rPr>
        <w:t xml:space="preserve">. </w:t>
      </w:r>
      <w:r w:rsidR="001E3401" w:rsidRPr="003C2624">
        <w:rPr>
          <w:rFonts w:cs="Arial"/>
        </w:rPr>
        <w:t xml:space="preserve"> </w:t>
      </w:r>
      <w:r w:rsidR="008614E5" w:rsidRPr="003C2624">
        <w:rPr>
          <w:rFonts w:cs="Arial"/>
        </w:rPr>
        <w:t xml:space="preserve">The accusations by Joint Commenters are not supported by </w:t>
      </w:r>
      <w:r w:rsidR="00D00B2E" w:rsidRPr="003C2624">
        <w:rPr>
          <w:rFonts w:cs="Arial"/>
        </w:rPr>
        <w:t>publicly available 60</w:t>
      </w:r>
      <w:r w:rsidR="00774C10" w:rsidRPr="003C2624">
        <w:rPr>
          <w:rFonts w:cs="Arial"/>
        </w:rPr>
        <w:t>-</w:t>
      </w:r>
      <w:r w:rsidR="00D00B2E" w:rsidRPr="003C2624">
        <w:rPr>
          <w:rFonts w:cs="Arial"/>
        </w:rPr>
        <w:t xml:space="preserve">day data. </w:t>
      </w:r>
      <w:r w:rsidR="001E3401" w:rsidRPr="003C2624">
        <w:rPr>
          <w:rFonts w:cs="Arial"/>
        </w:rPr>
        <w:t xml:space="preserve"> </w:t>
      </w:r>
      <w:r w:rsidR="00D00B2E" w:rsidRPr="003C2624">
        <w:rPr>
          <w:rFonts w:cs="Arial"/>
        </w:rPr>
        <w:t>Furthermore</w:t>
      </w:r>
      <w:r w:rsidR="004C03C7" w:rsidRPr="003C2624">
        <w:rPr>
          <w:rFonts w:cs="Arial"/>
        </w:rPr>
        <w:t>, the following limited counterpoints</w:t>
      </w:r>
      <w:r w:rsidR="008614E5" w:rsidRPr="003C2624">
        <w:rPr>
          <w:rFonts w:cs="Arial"/>
        </w:rPr>
        <w:t xml:space="preserve"> are notewort</w:t>
      </w:r>
      <w:r w:rsidR="00D3608D" w:rsidRPr="003C2624">
        <w:rPr>
          <w:rFonts w:cs="Arial"/>
        </w:rPr>
        <w:t>h</w:t>
      </w:r>
      <w:r w:rsidR="008614E5" w:rsidRPr="003C2624">
        <w:rPr>
          <w:rFonts w:cs="Arial"/>
        </w:rPr>
        <w:t>y</w:t>
      </w:r>
      <w:r w:rsidR="004C03C7" w:rsidRPr="003C2624">
        <w:rPr>
          <w:rFonts w:cs="Arial"/>
        </w:rPr>
        <w:t>:</w:t>
      </w:r>
    </w:p>
    <w:p w14:paraId="7C2456FE" w14:textId="77777777" w:rsidR="004523C0" w:rsidRPr="003C2624" w:rsidRDefault="004523C0" w:rsidP="00F748E3">
      <w:pPr>
        <w:pStyle w:val="NormalArial"/>
        <w:numPr>
          <w:ilvl w:val="0"/>
          <w:numId w:val="9"/>
        </w:numPr>
        <w:spacing w:before="120" w:after="120"/>
        <w:rPr>
          <w:rFonts w:cs="Arial"/>
        </w:rPr>
      </w:pPr>
      <w:r w:rsidRPr="003C2624">
        <w:rPr>
          <w:rFonts w:cs="Arial"/>
        </w:rPr>
        <w:t>Nothing in any VMP requires a generator to self-commit its capacity against its own economic self-interest</w:t>
      </w:r>
      <w:r w:rsidR="00E60F18" w:rsidRPr="003C2624">
        <w:rPr>
          <w:rFonts w:cs="Arial"/>
        </w:rPr>
        <w:t>;</w:t>
      </w:r>
    </w:p>
    <w:p w14:paraId="192A4796" w14:textId="77777777" w:rsidR="004523C0" w:rsidRPr="003C2624" w:rsidRDefault="004523C0" w:rsidP="00F748E3">
      <w:pPr>
        <w:pStyle w:val="NormalArial"/>
        <w:numPr>
          <w:ilvl w:val="0"/>
          <w:numId w:val="9"/>
        </w:numPr>
        <w:spacing w:before="120" w:after="120"/>
        <w:rPr>
          <w:rFonts w:cs="Arial"/>
        </w:rPr>
      </w:pPr>
      <w:r w:rsidRPr="003C2624">
        <w:rPr>
          <w:rFonts w:cs="Arial"/>
        </w:rPr>
        <w:t>Nothing in any VMP prevents a generator from offering its capacity at prices above its VMP limits – it simply no longer affords the generator an absolute defense against market power abuse allegations if the generator does so</w:t>
      </w:r>
      <w:r w:rsidR="00E60F18" w:rsidRPr="003C2624">
        <w:rPr>
          <w:rFonts w:cs="Arial"/>
        </w:rPr>
        <w:t>;</w:t>
      </w:r>
    </w:p>
    <w:p w14:paraId="06090782" w14:textId="64C81629" w:rsidR="004C03C7" w:rsidRPr="003C2624" w:rsidRDefault="004C03C7" w:rsidP="00F748E3">
      <w:pPr>
        <w:pStyle w:val="NormalArial"/>
        <w:numPr>
          <w:ilvl w:val="0"/>
          <w:numId w:val="9"/>
        </w:numPr>
        <w:spacing w:before="120" w:after="120"/>
        <w:rPr>
          <w:rFonts w:cs="Arial"/>
        </w:rPr>
      </w:pPr>
      <w:r w:rsidRPr="003C2624">
        <w:rPr>
          <w:rFonts w:cs="Arial"/>
        </w:rPr>
        <w:t xml:space="preserve">Luminant’s VMP is not “outdated” or ignorant of the ORDC – it was approved by the PUCT in December 2019, five years after the </w:t>
      </w:r>
      <w:r w:rsidR="002643FB" w:rsidRPr="003C2624">
        <w:rPr>
          <w:rFonts w:cs="Arial"/>
        </w:rPr>
        <w:t>“advent”</w:t>
      </w:r>
      <w:r w:rsidRPr="003C2624">
        <w:rPr>
          <w:rFonts w:cs="Arial"/>
        </w:rPr>
        <w:t xml:space="preserve"> of </w:t>
      </w:r>
      <w:r w:rsidR="002643FB" w:rsidRPr="003C2624">
        <w:rPr>
          <w:rFonts w:cs="Arial"/>
        </w:rPr>
        <w:t xml:space="preserve">the </w:t>
      </w:r>
      <w:r w:rsidRPr="003C2624">
        <w:rPr>
          <w:rFonts w:cs="Arial"/>
        </w:rPr>
        <w:t>ORDC</w:t>
      </w:r>
      <w:r w:rsidR="002643FB" w:rsidRPr="003C2624">
        <w:rPr>
          <w:rFonts w:cs="Arial"/>
        </w:rPr>
        <w:t xml:space="preserve"> and RDPA</w:t>
      </w:r>
      <w:r w:rsidR="004E08E3" w:rsidRPr="003C2624">
        <w:rPr>
          <w:rFonts w:cs="Arial"/>
        </w:rPr>
        <w:t>, and contains a</w:t>
      </w:r>
      <w:r w:rsidR="004523C0" w:rsidRPr="003C2624">
        <w:rPr>
          <w:rFonts w:cs="Arial"/>
        </w:rPr>
        <w:t>n automatic</w:t>
      </w:r>
      <w:r w:rsidR="004E08E3" w:rsidRPr="003C2624">
        <w:rPr>
          <w:rFonts w:cs="Arial"/>
        </w:rPr>
        <w:t xml:space="preserve"> </w:t>
      </w:r>
      <w:r w:rsidR="004523C0" w:rsidRPr="003C2624">
        <w:rPr>
          <w:rFonts w:cs="Arial"/>
        </w:rPr>
        <w:t>termination after 7 years or Real-Time Co-optimization</w:t>
      </w:r>
      <w:r w:rsidR="003C2624" w:rsidRPr="003C2624">
        <w:rPr>
          <w:rFonts w:cs="Arial"/>
        </w:rPr>
        <w:t xml:space="preserve"> (RTC)</w:t>
      </w:r>
      <w:r w:rsidR="004523C0" w:rsidRPr="003C2624">
        <w:rPr>
          <w:rFonts w:cs="Arial"/>
        </w:rPr>
        <w:t xml:space="preserve"> implementation (whichever occurs first)</w:t>
      </w:r>
      <w:r w:rsidR="00E60F18" w:rsidRPr="003C2624">
        <w:rPr>
          <w:rFonts w:cs="Arial"/>
        </w:rPr>
        <w:t>;</w:t>
      </w:r>
      <w:r w:rsidR="004523C0" w:rsidRPr="003C2624">
        <w:rPr>
          <w:rFonts w:cs="Arial"/>
        </w:rPr>
        <w:t xml:space="preserve"> </w:t>
      </w:r>
    </w:p>
    <w:p w14:paraId="2371BAAE" w14:textId="47566C38" w:rsidR="00CB1899" w:rsidRPr="003C2624" w:rsidRDefault="00CB1899" w:rsidP="00F748E3">
      <w:pPr>
        <w:pStyle w:val="NormalArial"/>
        <w:numPr>
          <w:ilvl w:val="0"/>
          <w:numId w:val="9"/>
        </w:numPr>
        <w:spacing w:before="120" w:after="120"/>
        <w:rPr>
          <w:rFonts w:cs="Arial"/>
        </w:rPr>
      </w:pPr>
      <w:r w:rsidRPr="003C2624">
        <w:rPr>
          <w:rFonts w:cs="Arial"/>
        </w:rPr>
        <w:lastRenderedPageBreak/>
        <w:t xml:space="preserve">The PUCT Executive Director can revoke </w:t>
      </w:r>
      <w:r w:rsidR="002A5F4C" w:rsidRPr="003C2624">
        <w:rPr>
          <w:rFonts w:cs="Arial"/>
        </w:rPr>
        <w:t xml:space="preserve">any of the current VMPs, including </w:t>
      </w:r>
      <w:r w:rsidRPr="003C2624">
        <w:rPr>
          <w:rFonts w:cs="Arial"/>
        </w:rPr>
        <w:t>Luminant’s</w:t>
      </w:r>
      <w:r w:rsidR="002A5F4C" w:rsidRPr="003C2624">
        <w:rPr>
          <w:rFonts w:cs="Arial"/>
        </w:rPr>
        <w:t>,</w:t>
      </w:r>
      <w:r w:rsidRPr="003C2624">
        <w:rPr>
          <w:rFonts w:cs="Arial"/>
        </w:rPr>
        <w:t xml:space="preserve"> with </w:t>
      </w:r>
      <w:r w:rsidR="003C2624" w:rsidRPr="003C2624">
        <w:rPr>
          <w:rFonts w:cs="Arial"/>
        </w:rPr>
        <w:t>three</w:t>
      </w:r>
      <w:r w:rsidRPr="003C2624">
        <w:rPr>
          <w:rFonts w:cs="Arial"/>
        </w:rPr>
        <w:t xml:space="preserve"> </w:t>
      </w:r>
      <w:r w:rsidR="003C2624" w:rsidRPr="003C2624">
        <w:rPr>
          <w:rFonts w:cs="Arial"/>
        </w:rPr>
        <w:t>B</w:t>
      </w:r>
      <w:r w:rsidRPr="003C2624">
        <w:rPr>
          <w:rFonts w:cs="Arial"/>
        </w:rPr>
        <w:t xml:space="preserve">usiness </w:t>
      </w:r>
      <w:r w:rsidR="003C2624" w:rsidRPr="003C2624">
        <w:rPr>
          <w:rFonts w:cs="Arial"/>
        </w:rPr>
        <w:t>D</w:t>
      </w:r>
      <w:r w:rsidRPr="003C2624">
        <w:rPr>
          <w:rFonts w:cs="Arial"/>
        </w:rPr>
        <w:t>ays’ notice</w:t>
      </w:r>
      <w:r w:rsidR="00D3608D" w:rsidRPr="003C2624">
        <w:rPr>
          <w:rFonts w:cs="Arial"/>
        </w:rPr>
        <w:t>,</w:t>
      </w:r>
      <w:r w:rsidRPr="003C2624">
        <w:rPr>
          <w:rFonts w:cs="Arial"/>
        </w:rPr>
        <w:t xml:space="preserve"> if the VMP is determined to no longer serve the public interest – </w:t>
      </w:r>
      <w:r w:rsidR="004E08E3" w:rsidRPr="003C2624">
        <w:rPr>
          <w:rFonts w:cs="Arial"/>
        </w:rPr>
        <w:t>thus the PUCT has ample power to determine and act if it determines that a VMP becomes “outdated”</w:t>
      </w:r>
      <w:r w:rsidR="00E60F18" w:rsidRPr="003C2624">
        <w:rPr>
          <w:rFonts w:cs="Arial"/>
        </w:rPr>
        <w:t>;</w:t>
      </w:r>
      <w:r w:rsidR="004E08E3" w:rsidRPr="003C2624">
        <w:rPr>
          <w:rFonts w:cs="Arial"/>
        </w:rPr>
        <w:t xml:space="preserve"> </w:t>
      </w:r>
      <w:r w:rsidR="00D3608D" w:rsidRPr="003C2624">
        <w:rPr>
          <w:rFonts w:cs="Arial"/>
        </w:rPr>
        <w:t>and</w:t>
      </w:r>
    </w:p>
    <w:p w14:paraId="5D135E61" w14:textId="77777777" w:rsidR="00CB1899" w:rsidRPr="003C2624" w:rsidRDefault="00CB1899" w:rsidP="00F748E3">
      <w:pPr>
        <w:pStyle w:val="NormalArial"/>
        <w:numPr>
          <w:ilvl w:val="0"/>
          <w:numId w:val="9"/>
        </w:numPr>
        <w:spacing w:before="120" w:after="120"/>
        <w:rPr>
          <w:rFonts w:cs="Arial"/>
        </w:rPr>
      </w:pPr>
      <w:r w:rsidRPr="003C2624">
        <w:rPr>
          <w:rFonts w:cs="Arial"/>
        </w:rPr>
        <w:t>ERCOT, not Market Participants, initiated the increase in RUC activity</w:t>
      </w:r>
      <w:r w:rsidR="00E60F18" w:rsidRPr="003C2624">
        <w:rPr>
          <w:rFonts w:cs="Arial"/>
        </w:rPr>
        <w:t xml:space="preserve"> and</w:t>
      </w:r>
      <w:r w:rsidRPr="003C2624">
        <w:rPr>
          <w:rFonts w:cs="Arial"/>
        </w:rPr>
        <w:t xml:space="preserve"> revoking</w:t>
      </w:r>
      <w:r w:rsidR="004523C0" w:rsidRPr="003C2624">
        <w:rPr>
          <w:rFonts w:cs="Arial"/>
        </w:rPr>
        <w:t xml:space="preserve"> or modifying</w:t>
      </w:r>
      <w:r w:rsidRPr="003C2624">
        <w:rPr>
          <w:rFonts w:cs="Arial"/>
        </w:rPr>
        <w:t xml:space="preserve"> a VMP would not change this outcome</w:t>
      </w:r>
      <w:r w:rsidR="00845B66" w:rsidRPr="003C2624">
        <w:rPr>
          <w:rFonts w:cs="Arial"/>
        </w:rPr>
        <w:t>.</w:t>
      </w:r>
    </w:p>
    <w:p w14:paraId="0AB68EC1" w14:textId="77777777" w:rsidR="00FA1FEB" w:rsidRPr="003C2624" w:rsidRDefault="00FA1FEB" w:rsidP="00F748E3">
      <w:pPr>
        <w:pStyle w:val="NormalArial"/>
        <w:spacing w:before="120" w:after="120"/>
        <w:ind w:left="360"/>
        <w:rPr>
          <w:rFonts w:cs="Arial"/>
          <w:u w:val="single"/>
        </w:rPr>
      </w:pPr>
      <w:r w:rsidRPr="003C2624">
        <w:rPr>
          <w:rFonts w:cs="Arial"/>
          <w:u w:val="single"/>
        </w:rPr>
        <w:t>Alternatives</w:t>
      </w:r>
    </w:p>
    <w:p w14:paraId="33622CD5" w14:textId="0D681215" w:rsidR="00FE2CA3" w:rsidRPr="003C2624" w:rsidRDefault="00FE2CA3" w:rsidP="003C2624">
      <w:pPr>
        <w:pStyle w:val="NormalArial"/>
        <w:spacing w:before="120" w:after="120"/>
        <w:ind w:left="360"/>
        <w:rPr>
          <w:rFonts w:cs="Arial"/>
        </w:rPr>
      </w:pPr>
      <w:r w:rsidRPr="003C2624">
        <w:rPr>
          <w:rFonts w:cs="Arial"/>
        </w:rPr>
        <w:t>An overarching problem of NPRR1092 is that is seeks to change a perceived symptom of ERCOT’s conservative operations rather th</w:t>
      </w:r>
      <w:r w:rsidR="003C2624" w:rsidRPr="003C2624">
        <w:rPr>
          <w:rFonts w:cs="Arial"/>
        </w:rPr>
        <w:t>a</w:t>
      </w:r>
      <w:r w:rsidRPr="003C2624">
        <w:rPr>
          <w:rFonts w:cs="Arial"/>
        </w:rPr>
        <w:t>n go after the root cause.  There are several solutions that would look to solve the root cause issue of minimizing RUCs</w:t>
      </w:r>
      <w:r w:rsidR="00D3608D" w:rsidRPr="003C2624">
        <w:rPr>
          <w:rFonts w:cs="Arial"/>
        </w:rPr>
        <w:t>;</w:t>
      </w:r>
      <w:r w:rsidRPr="003C2624">
        <w:rPr>
          <w:rFonts w:cs="Arial"/>
        </w:rPr>
        <w:t xml:space="preserve"> unfortunately</w:t>
      </w:r>
      <w:r w:rsidR="00F355BB" w:rsidRPr="003C2624">
        <w:rPr>
          <w:rFonts w:cs="Arial"/>
        </w:rPr>
        <w:t>,</w:t>
      </w:r>
      <w:r w:rsidRPr="003C2624">
        <w:rPr>
          <w:rFonts w:cs="Arial"/>
        </w:rPr>
        <w:t xml:space="preserve"> many in this market </w:t>
      </w:r>
      <w:r w:rsidR="00D3608D" w:rsidRPr="003C2624">
        <w:rPr>
          <w:rFonts w:cs="Arial"/>
        </w:rPr>
        <w:t xml:space="preserve">would likely obstruct </w:t>
      </w:r>
      <w:r w:rsidRPr="003C2624">
        <w:rPr>
          <w:rFonts w:cs="Arial"/>
        </w:rPr>
        <w:t>them.</w:t>
      </w:r>
      <w:r w:rsidR="003C2624" w:rsidRPr="003C2624">
        <w:rPr>
          <w:rFonts w:cs="Arial"/>
        </w:rPr>
        <w:t xml:space="preserve"> </w:t>
      </w:r>
      <w:r w:rsidRPr="003C2624">
        <w:rPr>
          <w:rFonts w:cs="Arial"/>
        </w:rPr>
        <w:t xml:space="preserve"> These include a </w:t>
      </w:r>
      <w:r w:rsidR="003C2624" w:rsidRPr="003C2624">
        <w:rPr>
          <w:rFonts w:cs="Arial"/>
        </w:rPr>
        <w:t>D</w:t>
      </w:r>
      <w:r w:rsidRPr="003C2624">
        <w:rPr>
          <w:rFonts w:cs="Arial"/>
        </w:rPr>
        <w:t xml:space="preserve">emand curve in the DAM </w:t>
      </w:r>
      <w:r w:rsidR="00D3608D" w:rsidRPr="003C2624">
        <w:rPr>
          <w:rFonts w:cs="Arial"/>
        </w:rPr>
        <w:t xml:space="preserve">reflecting </w:t>
      </w:r>
      <w:r w:rsidRPr="003C2624">
        <w:rPr>
          <w:rFonts w:cs="Arial"/>
        </w:rPr>
        <w:t xml:space="preserve">ERCOT’s forecasted </w:t>
      </w:r>
      <w:r w:rsidR="003C2624" w:rsidRPr="003C2624">
        <w:rPr>
          <w:rFonts w:cs="Arial"/>
        </w:rPr>
        <w:t>L</w:t>
      </w:r>
      <w:r w:rsidRPr="003C2624">
        <w:rPr>
          <w:rFonts w:cs="Arial"/>
        </w:rPr>
        <w:t xml:space="preserve">oad, a requirement for </w:t>
      </w:r>
      <w:r w:rsidR="003C2624" w:rsidRPr="003C2624">
        <w:rPr>
          <w:rFonts w:cs="Arial"/>
        </w:rPr>
        <w:t>L</w:t>
      </w:r>
      <w:r w:rsidRPr="003C2624">
        <w:rPr>
          <w:rFonts w:cs="Arial"/>
        </w:rPr>
        <w:t>oads to participate in the DAM, an ORDC that fully cover</w:t>
      </w:r>
      <w:r w:rsidR="00D3608D" w:rsidRPr="003C2624">
        <w:rPr>
          <w:rFonts w:cs="Arial"/>
        </w:rPr>
        <w:t>s</w:t>
      </w:r>
      <w:r w:rsidRPr="003C2624">
        <w:rPr>
          <w:rFonts w:cs="Arial"/>
        </w:rPr>
        <w:t xml:space="preserve"> ERCOT’s desired headroom and account</w:t>
      </w:r>
      <w:r w:rsidR="00D3608D" w:rsidRPr="003C2624">
        <w:rPr>
          <w:rFonts w:cs="Arial"/>
        </w:rPr>
        <w:t>s</w:t>
      </w:r>
      <w:r w:rsidRPr="003C2624">
        <w:rPr>
          <w:rFonts w:cs="Arial"/>
        </w:rPr>
        <w:t xml:space="preserve"> for the day’s Non-Spin procurements</w:t>
      </w:r>
      <w:r w:rsidR="00D3608D" w:rsidRPr="003C2624">
        <w:rPr>
          <w:rFonts w:cs="Arial"/>
        </w:rPr>
        <w:t>,</w:t>
      </w:r>
      <w:r w:rsidRPr="003C2624">
        <w:rPr>
          <w:rFonts w:cs="Arial"/>
        </w:rPr>
        <w:t xml:space="preserve"> or a </w:t>
      </w:r>
      <w:r w:rsidRPr="003C2624">
        <w:rPr>
          <w:rFonts w:cs="Arial"/>
          <w:i/>
          <w:iCs/>
        </w:rPr>
        <w:t>compensated</w:t>
      </w:r>
      <w:r w:rsidRPr="003C2624">
        <w:rPr>
          <w:rFonts w:cs="Arial"/>
        </w:rPr>
        <w:t xml:space="preserve"> must</w:t>
      </w:r>
      <w:r w:rsidR="00D3608D" w:rsidRPr="003C2624">
        <w:rPr>
          <w:rFonts w:cs="Arial"/>
        </w:rPr>
        <w:t>-</w:t>
      </w:r>
      <w:r w:rsidRPr="003C2624">
        <w:rPr>
          <w:rFonts w:cs="Arial"/>
        </w:rPr>
        <w:t>offer requirement</w:t>
      </w:r>
      <w:r w:rsidR="00D3608D" w:rsidRPr="003C2624">
        <w:rPr>
          <w:rFonts w:cs="Arial"/>
        </w:rPr>
        <w:t xml:space="preserve"> (e.g.</w:t>
      </w:r>
      <w:r w:rsidRPr="003C2624">
        <w:rPr>
          <w:rFonts w:cs="Arial"/>
        </w:rPr>
        <w:t>,</w:t>
      </w:r>
      <w:r w:rsidR="00D3608D" w:rsidRPr="003C2624">
        <w:rPr>
          <w:rFonts w:cs="Arial"/>
        </w:rPr>
        <w:t xml:space="preserve"> associated with </w:t>
      </w:r>
      <w:r w:rsidR="00746022" w:rsidRPr="003C2624">
        <w:rPr>
          <w:rFonts w:cs="Arial"/>
        </w:rPr>
        <w:t>an LSE Reliability Obligation).</w:t>
      </w:r>
    </w:p>
    <w:p w14:paraId="585EBD2C" w14:textId="77777777" w:rsidR="004523C0" w:rsidRPr="003C2624" w:rsidRDefault="008614E5" w:rsidP="00F748E3">
      <w:pPr>
        <w:pStyle w:val="NormalArial"/>
        <w:spacing w:before="120" w:after="120"/>
        <w:ind w:left="360"/>
        <w:rPr>
          <w:rFonts w:cs="Arial"/>
        </w:rPr>
      </w:pPr>
      <w:r w:rsidRPr="003C2624">
        <w:rPr>
          <w:rFonts w:cs="Arial"/>
        </w:rPr>
        <w:t>Finally</w:t>
      </w:r>
      <w:r w:rsidR="004523C0" w:rsidRPr="003C2624">
        <w:rPr>
          <w:rFonts w:cs="Arial"/>
        </w:rPr>
        <w:t>, Luminant offers the following initial feedback regarding compromises indicated by Joint Commenters</w:t>
      </w:r>
      <w:r w:rsidR="00D3471F" w:rsidRPr="003C2624">
        <w:rPr>
          <w:rFonts w:cs="Arial"/>
        </w:rPr>
        <w:t xml:space="preserve">, as well as </w:t>
      </w:r>
      <w:r w:rsidR="00746022" w:rsidRPr="003C2624">
        <w:rPr>
          <w:rFonts w:cs="Arial"/>
        </w:rPr>
        <w:t xml:space="preserve">other </w:t>
      </w:r>
      <w:r w:rsidR="00D3471F" w:rsidRPr="003C2624">
        <w:rPr>
          <w:rFonts w:cs="Arial"/>
        </w:rPr>
        <w:t>potential alternative approaches</w:t>
      </w:r>
      <w:r w:rsidR="004523C0" w:rsidRPr="003C2624">
        <w:rPr>
          <w:rFonts w:cs="Arial"/>
        </w:rPr>
        <w:t>:</w:t>
      </w:r>
    </w:p>
    <w:p w14:paraId="458C1A00" w14:textId="79977213" w:rsidR="004523C0" w:rsidRPr="003C2624" w:rsidRDefault="00684A57" w:rsidP="00F748E3">
      <w:pPr>
        <w:pStyle w:val="NormalArial"/>
        <w:numPr>
          <w:ilvl w:val="0"/>
          <w:numId w:val="10"/>
        </w:numPr>
        <w:spacing w:before="120" w:after="120"/>
        <w:rPr>
          <w:rFonts w:cs="Arial"/>
          <w:i/>
          <w:iCs/>
        </w:rPr>
      </w:pPr>
      <w:r w:rsidRPr="003C2624">
        <w:rPr>
          <w:rFonts w:cs="Arial"/>
          <w:i/>
          <w:iCs/>
        </w:rPr>
        <w:t xml:space="preserve">“The RUC design … encourages [generators] in Real-Time to accurately show their plans in the </w:t>
      </w:r>
      <w:r w:rsidR="003C2624" w:rsidRPr="003C2624">
        <w:rPr>
          <w:rFonts w:cs="Arial"/>
          <w:i/>
          <w:iCs/>
        </w:rPr>
        <w:t xml:space="preserve">(Current Operating Plan) </w:t>
      </w:r>
      <w:r w:rsidRPr="003C2624">
        <w:rPr>
          <w:rFonts w:cs="Arial"/>
          <w:i/>
          <w:iCs/>
        </w:rPr>
        <w:t>COP” and “The accuracy of submittals to the ERCOT COP has long been a major problem for ERCOT studies.  COP accuracy is potentially a root cause of this windfall opportunity.”</w:t>
      </w:r>
    </w:p>
    <w:p w14:paraId="2ACE43C0" w14:textId="6B7B8355" w:rsidR="00684A57" w:rsidRPr="003C2624" w:rsidRDefault="00684A57" w:rsidP="00F748E3">
      <w:pPr>
        <w:pStyle w:val="NormalArial"/>
        <w:numPr>
          <w:ilvl w:val="1"/>
          <w:numId w:val="10"/>
        </w:numPr>
        <w:spacing w:before="120" w:after="120"/>
        <w:rPr>
          <w:rFonts w:cs="Arial"/>
        </w:rPr>
      </w:pPr>
      <w:r w:rsidRPr="003C2624">
        <w:rPr>
          <w:rFonts w:cs="Arial"/>
        </w:rPr>
        <w:t xml:space="preserve">Luminant has for many years raised concerns about the inaccuracy of COPs approaching real-time operations and the appearance of </w:t>
      </w:r>
      <w:r w:rsidR="00845B66" w:rsidRPr="003C2624">
        <w:rPr>
          <w:rFonts w:cs="Arial"/>
        </w:rPr>
        <w:t>supply</w:t>
      </w:r>
      <w:r w:rsidRPr="003C2624">
        <w:rPr>
          <w:rFonts w:cs="Arial"/>
        </w:rPr>
        <w:t xml:space="preserve"> in real-time that </w:t>
      </w:r>
      <w:r w:rsidR="00845B66" w:rsidRPr="003C2624">
        <w:rPr>
          <w:rFonts w:cs="Arial"/>
        </w:rPr>
        <w:t xml:space="preserve">was </w:t>
      </w:r>
      <w:r w:rsidRPr="003C2624">
        <w:rPr>
          <w:rFonts w:cs="Arial"/>
        </w:rPr>
        <w:t xml:space="preserve">not transparent to the market even when market conditions clearly provided signals for all available generation to be </w:t>
      </w:r>
      <w:r w:rsidR="003C2624" w:rsidRPr="003C2624">
        <w:rPr>
          <w:rFonts w:cs="Arial"/>
        </w:rPr>
        <w:t>O</w:t>
      </w:r>
      <w:r w:rsidRPr="003C2624">
        <w:rPr>
          <w:rFonts w:cs="Arial"/>
        </w:rPr>
        <w:t>n</w:t>
      </w:r>
      <w:r w:rsidR="003C2624" w:rsidRPr="003C2624">
        <w:rPr>
          <w:rFonts w:cs="Arial"/>
        </w:rPr>
        <w:t>-L</w:t>
      </w:r>
      <w:r w:rsidRPr="003C2624">
        <w:rPr>
          <w:rFonts w:cs="Arial"/>
        </w:rPr>
        <w:t xml:space="preserve">ine during peak hours. </w:t>
      </w:r>
      <w:r w:rsidR="003C2624" w:rsidRPr="003C2624">
        <w:rPr>
          <w:rFonts w:cs="Arial"/>
        </w:rPr>
        <w:t xml:space="preserve"> </w:t>
      </w:r>
      <w:r w:rsidRPr="003C2624">
        <w:rPr>
          <w:rFonts w:cs="Arial"/>
        </w:rPr>
        <w:t>Luminant would support enforcement of reasonable COP accuracy standards, which could have the dual benefits of providing other generators with better clarity about potential unmet needs for competitive commitment decisions (rather than having to guess) and for ERCOT when considering whether to issue a RUC instruction.</w:t>
      </w:r>
    </w:p>
    <w:p w14:paraId="4609D6BF" w14:textId="77777777" w:rsidR="00684A57" w:rsidRPr="003C2624" w:rsidRDefault="00684A57" w:rsidP="00F748E3">
      <w:pPr>
        <w:pStyle w:val="NormalArial"/>
        <w:numPr>
          <w:ilvl w:val="0"/>
          <w:numId w:val="10"/>
        </w:numPr>
        <w:spacing w:before="120" w:after="120"/>
        <w:rPr>
          <w:rFonts w:cs="Arial"/>
          <w:i/>
          <w:iCs/>
        </w:rPr>
      </w:pPr>
      <w:r w:rsidRPr="003C2624">
        <w:rPr>
          <w:rFonts w:cs="Arial"/>
          <w:i/>
          <w:iCs/>
        </w:rPr>
        <w:t>“We hope that the ORDC curve will provide sufficient commitment incentives so that RUC is not needed as frequently.”</w:t>
      </w:r>
    </w:p>
    <w:p w14:paraId="0280277F" w14:textId="3483EC0E" w:rsidR="00684A57" w:rsidRPr="003C2624" w:rsidRDefault="00684A57" w:rsidP="00F748E3">
      <w:pPr>
        <w:pStyle w:val="NormalArial"/>
        <w:numPr>
          <w:ilvl w:val="1"/>
          <w:numId w:val="10"/>
        </w:numPr>
        <w:spacing w:before="120" w:after="120"/>
        <w:rPr>
          <w:rFonts w:cs="Arial"/>
        </w:rPr>
      </w:pPr>
      <w:r w:rsidRPr="003C2624">
        <w:rPr>
          <w:rFonts w:cs="Arial"/>
        </w:rPr>
        <w:t xml:space="preserve">Luminant agrees and advocated this position last fall. </w:t>
      </w:r>
      <w:r w:rsidR="003C2624" w:rsidRPr="003C2624">
        <w:rPr>
          <w:rFonts w:cs="Arial"/>
        </w:rPr>
        <w:t xml:space="preserve"> </w:t>
      </w:r>
      <w:r w:rsidR="008978D5" w:rsidRPr="003C2624">
        <w:rPr>
          <w:rFonts w:cs="Arial"/>
        </w:rPr>
        <w:t xml:space="preserve">However, pricing outcomes thus far have failed to provide that commitment incentive in all hours, which Luminant suspects is due to a mismatch between ERCOT’s </w:t>
      </w:r>
      <w:r w:rsidR="00845B66" w:rsidRPr="003C2624">
        <w:rPr>
          <w:rFonts w:cs="Arial"/>
        </w:rPr>
        <w:t xml:space="preserve">preferred level of reserves </w:t>
      </w:r>
      <w:r w:rsidR="008978D5" w:rsidRPr="003C2624">
        <w:rPr>
          <w:rFonts w:cs="Arial"/>
        </w:rPr>
        <w:t xml:space="preserve">and those that the market expects. </w:t>
      </w:r>
      <w:r w:rsidR="003C2624" w:rsidRPr="003C2624">
        <w:rPr>
          <w:rFonts w:cs="Arial"/>
        </w:rPr>
        <w:t xml:space="preserve"> </w:t>
      </w:r>
      <w:r w:rsidR="008978D5" w:rsidRPr="003C2624">
        <w:rPr>
          <w:rFonts w:cs="Arial"/>
        </w:rPr>
        <w:t xml:space="preserve">That is, if ERCOT targets 7500 MW of reserves </w:t>
      </w:r>
      <w:r w:rsidR="008978D5" w:rsidRPr="003C2624">
        <w:rPr>
          <w:rFonts w:cs="Arial"/>
        </w:rPr>
        <w:lastRenderedPageBreak/>
        <w:t xml:space="preserve">during an extreme peak, but the ORDC parameters were evaluated based on 6000-6500 MW as the target reserves, the </w:t>
      </w:r>
      <w:r w:rsidR="003C2624" w:rsidRPr="003C2624">
        <w:rPr>
          <w:rFonts w:cs="Arial"/>
        </w:rPr>
        <w:t>A</w:t>
      </w:r>
      <w:r w:rsidR="008978D5" w:rsidRPr="003C2624">
        <w:rPr>
          <w:rFonts w:cs="Arial"/>
        </w:rPr>
        <w:t xml:space="preserve">ncillary </w:t>
      </w:r>
      <w:r w:rsidR="003C2624" w:rsidRPr="003C2624">
        <w:rPr>
          <w:rFonts w:cs="Arial"/>
        </w:rPr>
        <w:t>S</w:t>
      </w:r>
      <w:r w:rsidR="008978D5" w:rsidRPr="003C2624">
        <w:rPr>
          <w:rFonts w:cs="Arial"/>
        </w:rPr>
        <w:t>ervice additions will weigh down the energy market-driven commitments.</w:t>
      </w:r>
    </w:p>
    <w:p w14:paraId="0977D8E7" w14:textId="77777777" w:rsidR="008978D5" w:rsidRPr="003C2624" w:rsidRDefault="008978D5" w:rsidP="00F748E3">
      <w:pPr>
        <w:pStyle w:val="NormalArial"/>
        <w:numPr>
          <w:ilvl w:val="0"/>
          <w:numId w:val="10"/>
        </w:numPr>
        <w:spacing w:before="120" w:after="120"/>
        <w:rPr>
          <w:rFonts w:cs="Arial"/>
          <w:i/>
          <w:iCs/>
        </w:rPr>
      </w:pPr>
      <w:r w:rsidRPr="003C2624">
        <w:rPr>
          <w:rFonts w:cs="Arial"/>
          <w:i/>
          <w:iCs/>
        </w:rPr>
        <w:t xml:space="preserve">“[T]here should be a way to buy back/opt-out if ERCOT commits the RUC generator far in advance of its start-up time instead of deselecting it. Ultimately, deselection should occur more frequently and be required by </w:t>
      </w:r>
      <w:r w:rsidRPr="003C2624">
        <w:rPr>
          <w:rFonts w:cs="Arial"/>
          <w:b/>
          <w:bCs/>
          <w:i/>
          <w:iCs/>
        </w:rPr>
        <w:t>amending paragraph (3) of Section 5.5.2, Reliability Unit Commitment (RUC) Process,</w:t>
      </w:r>
      <w:r w:rsidRPr="003C2624">
        <w:rPr>
          <w:rFonts w:cs="Arial"/>
          <w:i/>
          <w:iCs/>
        </w:rPr>
        <w:t xml:space="preserve"> to tighten the requirements allowing ERCOT to deselect a unit and </w:t>
      </w:r>
      <w:r w:rsidRPr="003C2624">
        <w:rPr>
          <w:rFonts w:cs="Arial"/>
          <w:b/>
          <w:bCs/>
          <w:i/>
          <w:iCs/>
        </w:rPr>
        <w:t xml:space="preserve">retaining portions of paragraph (14) of 5.5.2 </w:t>
      </w:r>
      <w:r w:rsidRPr="003C2624">
        <w:rPr>
          <w:rFonts w:cs="Arial"/>
          <w:i/>
          <w:iCs/>
        </w:rPr>
        <w:t>to allow opt-out under much more limited circumstances.”</w:t>
      </w:r>
    </w:p>
    <w:p w14:paraId="55C8DE60" w14:textId="77777777" w:rsidR="00684A57" w:rsidRPr="003C2624" w:rsidRDefault="008978D5" w:rsidP="00F748E3">
      <w:pPr>
        <w:pStyle w:val="NormalArial"/>
        <w:numPr>
          <w:ilvl w:val="1"/>
          <w:numId w:val="10"/>
        </w:numPr>
        <w:spacing w:before="120" w:after="120"/>
        <w:rPr>
          <w:rFonts w:cs="Arial"/>
        </w:rPr>
      </w:pPr>
      <w:r w:rsidRPr="003C2624">
        <w:rPr>
          <w:rFonts w:cs="Arial"/>
        </w:rPr>
        <w:t xml:space="preserve">Luminant agrees that this scenario should be addressed, but suggests that “far in advance of its start-up time” should be clarified as 15-30 minutes in advance of its start-up timeframe. </w:t>
      </w:r>
    </w:p>
    <w:p w14:paraId="1607EC26" w14:textId="77777777" w:rsidR="008978D5" w:rsidRPr="003C2624" w:rsidRDefault="008978D5" w:rsidP="00F748E3">
      <w:pPr>
        <w:pStyle w:val="NormalArial"/>
        <w:numPr>
          <w:ilvl w:val="0"/>
          <w:numId w:val="10"/>
        </w:numPr>
        <w:spacing w:before="120" w:after="120"/>
        <w:rPr>
          <w:rFonts w:cs="Arial"/>
          <w:i/>
          <w:iCs/>
        </w:rPr>
      </w:pPr>
      <w:r w:rsidRPr="003C2624">
        <w:rPr>
          <w:rFonts w:cs="Arial"/>
          <w:i/>
          <w:iCs/>
        </w:rPr>
        <w:t>“Joint Consumers are also open to the suggestion that an energy offer floor be indexed to the price of natural gas multiplied by a heat rate factor between 15 and 20 -- well over the heat rates of any likely generation units to be RUC’ed.</w:t>
      </w:r>
      <w:r w:rsidR="00493AC9" w:rsidRPr="003C2624">
        <w:rPr>
          <w:rFonts w:cs="Arial"/>
          <w:i/>
          <w:iCs/>
        </w:rPr>
        <w:t xml:space="preserve"> To avoid gas market concerns raised by Commissioners, the gas price in this calculation could be a two-month rolling average. These proposals would result in amendments to paragraph (4)(e) of Section 6.5.7.3, Security Constrained Economic Dispatch.”</w:t>
      </w:r>
    </w:p>
    <w:p w14:paraId="48FB2BD8" w14:textId="440398BF" w:rsidR="008978D5" w:rsidRPr="003C2624" w:rsidRDefault="00493AC9" w:rsidP="00F748E3">
      <w:pPr>
        <w:pStyle w:val="NormalArial"/>
        <w:numPr>
          <w:ilvl w:val="1"/>
          <w:numId w:val="10"/>
        </w:numPr>
        <w:spacing w:before="120" w:after="120"/>
        <w:rPr>
          <w:rFonts w:cs="Arial"/>
          <w:i/>
          <w:iCs/>
        </w:rPr>
      </w:pPr>
      <w:r w:rsidRPr="003C2624">
        <w:rPr>
          <w:rFonts w:cs="Arial"/>
        </w:rPr>
        <w:t xml:space="preserve">Luminant is open to discussing such an approach, but </w:t>
      </w:r>
      <w:r w:rsidR="005F24B4" w:rsidRPr="003C2624">
        <w:rPr>
          <w:rFonts w:cs="Arial"/>
        </w:rPr>
        <w:t xml:space="preserve">generally believes that </w:t>
      </w:r>
      <w:r w:rsidR="00CD23F7" w:rsidRPr="003C2624">
        <w:rPr>
          <w:rFonts w:cs="Arial"/>
        </w:rPr>
        <w:t>this approach (as specified) would not come close to protecting competitive offers</w:t>
      </w:r>
      <w:r w:rsidR="00FA1FEB" w:rsidRPr="003C2624">
        <w:rPr>
          <w:rFonts w:cs="Arial"/>
        </w:rPr>
        <w:t xml:space="preserve"> as it is more than an order of magnitude too low.</w:t>
      </w:r>
      <w:r w:rsidR="00FA1FEB" w:rsidRPr="003C2624">
        <w:rPr>
          <w:rStyle w:val="FootnoteReference"/>
          <w:rFonts w:cs="Arial"/>
        </w:rPr>
        <w:footnoteReference w:id="4"/>
      </w:r>
      <w:r w:rsidR="00CD23F7" w:rsidRPr="003C2624">
        <w:rPr>
          <w:rFonts w:cs="Arial"/>
        </w:rPr>
        <w:t xml:space="preserve"> </w:t>
      </w:r>
      <w:r w:rsidR="003C2624" w:rsidRPr="003C2624">
        <w:rPr>
          <w:rFonts w:cs="Arial"/>
        </w:rPr>
        <w:t xml:space="preserve"> </w:t>
      </w:r>
      <w:r w:rsidR="00CD23F7" w:rsidRPr="003C2624">
        <w:rPr>
          <w:rFonts w:cs="Arial"/>
        </w:rPr>
        <w:t>A</w:t>
      </w:r>
      <w:r w:rsidRPr="003C2624">
        <w:rPr>
          <w:rFonts w:cs="Arial"/>
        </w:rPr>
        <w:t xml:space="preserve">s indicated </w:t>
      </w:r>
      <w:r w:rsidR="00CD23F7" w:rsidRPr="003C2624">
        <w:rPr>
          <w:rFonts w:cs="Arial"/>
        </w:rPr>
        <w:t xml:space="preserve">in response to </w:t>
      </w:r>
      <w:r w:rsidRPr="003C2624">
        <w:rPr>
          <w:rFonts w:cs="Arial"/>
        </w:rPr>
        <w:t>previous questions</w:t>
      </w:r>
      <w:r w:rsidR="00CD23F7" w:rsidRPr="003C2624">
        <w:rPr>
          <w:rFonts w:cs="Arial"/>
        </w:rPr>
        <w:t>,</w:t>
      </w:r>
      <w:r w:rsidRPr="003C2624">
        <w:rPr>
          <w:rFonts w:cs="Arial"/>
        </w:rPr>
        <w:t xml:space="preserve"> the cost-benefit trade-off of implementing changes</w:t>
      </w:r>
      <w:r w:rsidR="00FA1FEB" w:rsidRPr="003C2624">
        <w:rPr>
          <w:rFonts w:cs="Arial"/>
        </w:rPr>
        <w:t>,</w:t>
      </w:r>
      <w:r w:rsidRPr="003C2624">
        <w:rPr>
          <w:rFonts w:cs="Arial"/>
        </w:rPr>
        <w:t xml:space="preserve"> </w:t>
      </w:r>
      <w:r w:rsidR="00FA1FEB" w:rsidRPr="003C2624">
        <w:rPr>
          <w:rFonts w:cs="Arial"/>
        </w:rPr>
        <w:t>assuming</w:t>
      </w:r>
      <w:r w:rsidR="00B36E2E" w:rsidRPr="003C2624">
        <w:rPr>
          <w:rFonts w:cs="Arial"/>
        </w:rPr>
        <w:t xml:space="preserve"> it supports economic commitment decisions and does not simply require generators to commit units uneconomically</w:t>
      </w:r>
      <w:r w:rsidR="00FA1FEB" w:rsidRPr="003C2624">
        <w:rPr>
          <w:rFonts w:cs="Arial"/>
        </w:rPr>
        <w:t xml:space="preserve">, </w:t>
      </w:r>
      <w:r w:rsidR="0094167C" w:rsidRPr="003C2624">
        <w:rPr>
          <w:rFonts w:cs="Arial"/>
        </w:rPr>
        <w:t xml:space="preserve">is </w:t>
      </w:r>
      <w:r w:rsidR="00FA1FEB" w:rsidRPr="003C2624">
        <w:rPr>
          <w:rFonts w:cs="Arial"/>
        </w:rPr>
        <w:t>likely not compelling compared to status quo</w:t>
      </w:r>
      <w:r w:rsidRPr="003C2624">
        <w:rPr>
          <w:rFonts w:cs="Arial"/>
        </w:rPr>
        <w:t>.</w:t>
      </w:r>
    </w:p>
    <w:p w14:paraId="66CDE697" w14:textId="5907B20C" w:rsidR="00493AC9" w:rsidRPr="003C2624" w:rsidRDefault="00493AC9" w:rsidP="00F748E3">
      <w:pPr>
        <w:pStyle w:val="NormalArial"/>
        <w:numPr>
          <w:ilvl w:val="1"/>
          <w:numId w:val="10"/>
        </w:numPr>
        <w:spacing w:before="120" w:after="120"/>
        <w:rPr>
          <w:rFonts w:cs="Arial"/>
        </w:rPr>
      </w:pPr>
      <w:r w:rsidRPr="003C2624">
        <w:rPr>
          <w:rFonts w:cs="Arial"/>
        </w:rPr>
        <w:t xml:space="preserve">If this path is pursued, then in scenarios where gas prices are climbing rapidly the competitive offers from gas units displaced by the RUC offer floor will also climb rapidly. </w:t>
      </w:r>
      <w:r w:rsidR="003C2624" w:rsidRPr="003C2624">
        <w:rPr>
          <w:rFonts w:cs="Arial"/>
        </w:rPr>
        <w:t xml:space="preserve"> </w:t>
      </w:r>
      <w:r w:rsidRPr="003C2624">
        <w:rPr>
          <w:rFonts w:cs="Arial"/>
        </w:rPr>
        <w:t>1-2 weeks would seem much more appropriate than 2 months.</w:t>
      </w:r>
    </w:p>
    <w:p w14:paraId="041428FE" w14:textId="7DE24688" w:rsidR="006C7205" w:rsidRPr="003C2624" w:rsidRDefault="00FA1FEB" w:rsidP="00F748E3">
      <w:pPr>
        <w:pStyle w:val="NormalArial"/>
        <w:numPr>
          <w:ilvl w:val="0"/>
          <w:numId w:val="10"/>
        </w:numPr>
        <w:spacing w:before="120" w:after="120"/>
        <w:rPr>
          <w:rFonts w:cs="Arial"/>
        </w:rPr>
      </w:pPr>
      <w:r w:rsidRPr="003C2624">
        <w:rPr>
          <w:rFonts w:cs="Arial"/>
        </w:rPr>
        <w:t xml:space="preserve">While Luminant believes that the status quo reflects an appropriate balance of stakeholder negotiations and compromises developed over many years, Luminant is also evaluating alternatives to the proposals in NPRR1092 that can help to address concerns (real or perceived) without harming </w:t>
      </w:r>
      <w:r w:rsidR="003C2624" w:rsidRPr="003C2624">
        <w:rPr>
          <w:rFonts w:cs="Arial"/>
        </w:rPr>
        <w:t>M</w:t>
      </w:r>
      <w:r w:rsidR="006C7205" w:rsidRPr="003C2624">
        <w:rPr>
          <w:rFonts w:cs="Arial"/>
        </w:rPr>
        <w:t xml:space="preserve">arket </w:t>
      </w:r>
      <w:r w:rsidR="003C2624" w:rsidRPr="003C2624">
        <w:rPr>
          <w:rFonts w:cs="Arial"/>
        </w:rPr>
        <w:t>P</w:t>
      </w:r>
      <w:r w:rsidR="006C7205" w:rsidRPr="003C2624">
        <w:rPr>
          <w:rFonts w:cs="Arial"/>
        </w:rPr>
        <w:t xml:space="preserve">articipants unnecessarily – particularly those that own and operate the </w:t>
      </w:r>
      <w:r w:rsidR="006C7205" w:rsidRPr="003C2624">
        <w:rPr>
          <w:rFonts w:cs="Arial"/>
        </w:rPr>
        <w:lastRenderedPageBreak/>
        <w:t xml:space="preserve">dispatchable generation that is critical to ERCOT reliability. </w:t>
      </w:r>
      <w:r w:rsidR="003C2624" w:rsidRPr="003C2624">
        <w:rPr>
          <w:rFonts w:cs="Arial"/>
        </w:rPr>
        <w:t xml:space="preserve"> </w:t>
      </w:r>
      <w:r w:rsidR="00D3471F" w:rsidRPr="003C2624">
        <w:rPr>
          <w:rFonts w:cs="Arial"/>
        </w:rPr>
        <w:t xml:space="preserve">Luminant </w:t>
      </w:r>
      <w:r w:rsidR="00C2690F" w:rsidRPr="003C2624">
        <w:rPr>
          <w:rFonts w:cs="Arial"/>
        </w:rPr>
        <w:t>is open to discussing the following</w:t>
      </w:r>
      <w:r w:rsidR="006C7205" w:rsidRPr="003C2624">
        <w:rPr>
          <w:rFonts w:cs="Arial"/>
        </w:rPr>
        <w:t xml:space="preserve">: </w:t>
      </w:r>
    </w:p>
    <w:p w14:paraId="14754E99" w14:textId="77777777" w:rsidR="006C7205" w:rsidRPr="003C2624" w:rsidRDefault="00FD2C4E" w:rsidP="00F748E3">
      <w:pPr>
        <w:pStyle w:val="NormalArial"/>
        <w:numPr>
          <w:ilvl w:val="1"/>
          <w:numId w:val="10"/>
        </w:numPr>
        <w:spacing w:before="120" w:after="120"/>
        <w:rPr>
          <w:rFonts w:cs="Arial"/>
        </w:rPr>
      </w:pPr>
      <w:r w:rsidRPr="003C2624">
        <w:rPr>
          <w:rFonts w:cs="Arial"/>
        </w:rPr>
        <w:t>Remove the RUC clawback with removal of RUC opt-out</w:t>
      </w:r>
      <w:r w:rsidR="00A72237" w:rsidRPr="003C2624">
        <w:rPr>
          <w:rFonts w:cs="Arial"/>
        </w:rPr>
        <w:t>;</w:t>
      </w:r>
    </w:p>
    <w:p w14:paraId="73551181" w14:textId="77777777" w:rsidR="00FD2C4E" w:rsidRPr="003C2624" w:rsidRDefault="00A72237" w:rsidP="00F748E3">
      <w:pPr>
        <w:pStyle w:val="NormalArial"/>
        <w:numPr>
          <w:ilvl w:val="1"/>
          <w:numId w:val="10"/>
        </w:numPr>
        <w:spacing w:before="120" w:after="120"/>
        <w:rPr>
          <w:rFonts w:cs="Arial"/>
        </w:rPr>
      </w:pPr>
      <w:r w:rsidRPr="003C2624">
        <w:rPr>
          <w:rFonts w:cs="Arial"/>
        </w:rPr>
        <w:t xml:space="preserve">Reduce </w:t>
      </w:r>
      <w:r w:rsidR="00FD2C4E" w:rsidRPr="003C2624">
        <w:rPr>
          <w:rFonts w:cs="Arial"/>
        </w:rPr>
        <w:t xml:space="preserve">RUC offer floor </w:t>
      </w:r>
      <w:r w:rsidRPr="003C2624">
        <w:rPr>
          <w:rFonts w:cs="Arial"/>
        </w:rPr>
        <w:t xml:space="preserve">to </w:t>
      </w:r>
      <w:r w:rsidR="00FD2C4E" w:rsidRPr="003C2624">
        <w:rPr>
          <w:rFonts w:cs="Arial"/>
        </w:rPr>
        <w:t>$</w:t>
      </w:r>
      <w:r w:rsidR="00FE2CA3" w:rsidRPr="003C2624">
        <w:rPr>
          <w:rFonts w:cs="Arial"/>
        </w:rPr>
        <w:t>1200</w:t>
      </w:r>
      <w:r w:rsidR="00FD2C4E" w:rsidRPr="003C2624">
        <w:rPr>
          <w:rFonts w:cs="Arial"/>
        </w:rPr>
        <w:t>/MWh</w:t>
      </w:r>
      <w:r w:rsidR="00FE2CA3" w:rsidRPr="003C2624">
        <w:rPr>
          <w:rFonts w:cs="Arial"/>
        </w:rPr>
        <w:t xml:space="preserve"> as this is actually behind the majority of competitive offers</w:t>
      </w:r>
      <w:r w:rsidRPr="003C2624">
        <w:rPr>
          <w:rFonts w:cs="Arial"/>
        </w:rPr>
        <w:t>;</w:t>
      </w:r>
    </w:p>
    <w:p w14:paraId="218D7E79" w14:textId="77777777" w:rsidR="00FD2C4E" w:rsidRPr="003C2624" w:rsidRDefault="00FD2C4E" w:rsidP="00F748E3">
      <w:pPr>
        <w:pStyle w:val="NormalArial"/>
        <w:numPr>
          <w:ilvl w:val="1"/>
          <w:numId w:val="10"/>
        </w:numPr>
        <w:spacing w:before="120" w:after="120"/>
        <w:rPr>
          <w:rFonts w:cs="Arial"/>
        </w:rPr>
      </w:pPr>
      <w:r w:rsidRPr="003C2624">
        <w:rPr>
          <w:rFonts w:cs="Arial"/>
        </w:rPr>
        <w:t>Ensure that c</w:t>
      </w:r>
      <w:r w:rsidR="00D3471F" w:rsidRPr="003C2624">
        <w:rPr>
          <w:rFonts w:cs="Arial"/>
        </w:rPr>
        <w:t xml:space="preserve">ompetitively committed </w:t>
      </w:r>
      <w:r w:rsidR="006C7205" w:rsidRPr="003C2624">
        <w:rPr>
          <w:rFonts w:cs="Arial"/>
        </w:rPr>
        <w:t xml:space="preserve">units </w:t>
      </w:r>
      <w:r w:rsidRPr="003C2624">
        <w:rPr>
          <w:rFonts w:cs="Arial"/>
        </w:rPr>
        <w:t xml:space="preserve">cannot be </w:t>
      </w:r>
      <w:r w:rsidR="006C7205" w:rsidRPr="003C2624">
        <w:rPr>
          <w:rFonts w:cs="Arial"/>
        </w:rPr>
        <w:t>RUC</w:t>
      </w:r>
      <w:r w:rsidR="00A2749F" w:rsidRPr="003C2624">
        <w:rPr>
          <w:rFonts w:cs="Arial"/>
        </w:rPr>
        <w:t xml:space="preserve"> committe</w:t>
      </w:r>
      <w:r w:rsidR="006C7205" w:rsidRPr="003C2624">
        <w:rPr>
          <w:rFonts w:cs="Arial"/>
        </w:rPr>
        <w:t xml:space="preserve">d </w:t>
      </w:r>
      <w:r w:rsidR="00D3471F" w:rsidRPr="003C2624">
        <w:rPr>
          <w:rFonts w:cs="Arial"/>
        </w:rPr>
        <w:t>post-snapshot</w:t>
      </w:r>
      <w:r w:rsidR="00A72237" w:rsidRPr="003C2624">
        <w:rPr>
          <w:rFonts w:cs="Arial"/>
        </w:rPr>
        <w:t>;</w:t>
      </w:r>
      <w:r w:rsidR="00D3471F" w:rsidRPr="003C2624">
        <w:rPr>
          <w:rFonts w:cs="Arial"/>
        </w:rPr>
        <w:t xml:space="preserve"> </w:t>
      </w:r>
    </w:p>
    <w:p w14:paraId="4C399E21" w14:textId="4DF4AE16" w:rsidR="00FD2C4E" w:rsidRPr="003C2624" w:rsidRDefault="00FD2C4E" w:rsidP="00F748E3">
      <w:pPr>
        <w:pStyle w:val="NormalArial"/>
        <w:numPr>
          <w:ilvl w:val="1"/>
          <w:numId w:val="10"/>
        </w:numPr>
        <w:spacing w:before="120" w:after="120"/>
        <w:rPr>
          <w:rFonts w:cs="Arial"/>
        </w:rPr>
      </w:pPr>
      <w:r w:rsidRPr="003C2624">
        <w:rPr>
          <w:rFonts w:cs="Arial"/>
        </w:rPr>
        <w:t xml:space="preserve">Ensure </w:t>
      </w:r>
      <w:r w:rsidR="006C7205" w:rsidRPr="003C2624">
        <w:rPr>
          <w:rFonts w:cs="Arial"/>
        </w:rPr>
        <w:t xml:space="preserve">ERCOT </w:t>
      </w:r>
      <w:r w:rsidRPr="003C2624">
        <w:rPr>
          <w:rFonts w:cs="Arial"/>
        </w:rPr>
        <w:t xml:space="preserve">only issues RUC instructions based on the most current </w:t>
      </w:r>
      <w:r w:rsidR="00D3471F" w:rsidRPr="003C2624">
        <w:rPr>
          <w:rFonts w:cs="Arial"/>
        </w:rPr>
        <w:t>startup timing</w:t>
      </w:r>
      <w:r w:rsidR="00A72237" w:rsidRPr="003C2624">
        <w:rPr>
          <w:rFonts w:cs="Arial"/>
        </w:rPr>
        <w:t>;</w:t>
      </w:r>
      <w:r w:rsidR="003C2624" w:rsidRPr="003C2624">
        <w:rPr>
          <w:rFonts w:cs="Arial"/>
        </w:rPr>
        <w:t xml:space="preserve"> and</w:t>
      </w:r>
    </w:p>
    <w:p w14:paraId="5B886E17" w14:textId="4EDFB4FE" w:rsidR="00684A57" w:rsidRPr="003C2624" w:rsidRDefault="00A2749F" w:rsidP="003C2624">
      <w:pPr>
        <w:pStyle w:val="NormalArial"/>
        <w:numPr>
          <w:ilvl w:val="1"/>
          <w:numId w:val="10"/>
        </w:numPr>
        <w:spacing w:before="120" w:after="120"/>
        <w:rPr>
          <w:rFonts w:cs="Arial"/>
        </w:rPr>
      </w:pPr>
      <w:r w:rsidRPr="003C2624">
        <w:rPr>
          <w:rFonts w:cs="Arial"/>
        </w:rPr>
        <w:t>In lieu of an offer floor, m</w:t>
      </w:r>
      <w:r w:rsidR="00FD2C4E" w:rsidRPr="003C2624">
        <w:rPr>
          <w:rFonts w:cs="Arial"/>
        </w:rPr>
        <w:t xml:space="preserve">odify the </w:t>
      </w:r>
      <w:r w:rsidR="00D3471F" w:rsidRPr="003C2624">
        <w:rPr>
          <w:rFonts w:cs="Arial"/>
        </w:rPr>
        <w:t xml:space="preserve">RDPA </w:t>
      </w:r>
      <w:r w:rsidR="00FD2C4E" w:rsidRPr="003C2624">
        <w:rPr>
          <w:rFonts w:cs="Arial"/>
        </w:rPr>
        <w:t xml:space="preserve">to </w:t>
      </w:r>
      <w:r w:rsidR="00D3471F" w:rsidRPr="003C2624">
        <w:rPr>
          <w:rFonts w:cs="Arial"/>
        </w:rPr>
        <w:t>includ</w:t>
      </w:r>
      <w:r w:rsidR="00FD2C4E" w:rsidRPr="003C2624">
        <w:rPr>
          <w:rFonts w:cs="Arial"/>
        </w:rPr>
        <w:t>e</w:t>
      </w:r>
      <w:r w:rsidR="00D3471F" w:rsidRPr="003C2624">
        <w:rPr>
          <w:rFonts w:cs="Arial"/>
        </w:rPr>
        <w:t xml:space="preserve"> all basepoints</w:t>
      </w:r>
      <w:r w:rsidR="00FD2C4E" w:rsidRPr="003C2624">
        <w:rPr>
          <w:rFonts w:cs="Arial"/>
        </w:rPr>
        <w:t xml:space="preserve"> on RUC units (not just the </w:t>
      </w:r>
      <w:r w:rsidR="003C2624" w:rsidRPr="003C2624">
        <w:rPr>
          <w:rFonts w:cs="Arial"/>
        </w:rPr>
        <w:t>Low Sustained Limit (</w:t>
      </w:r>
      <w:r w:rsidR="00FD2C4E" w:rsidRPr="003C2624">
        <w:rPr>
          <w:rFonts w:cs="Arial"/>
        </w:rPr>
        <w:t>LSL</w:t>
      </w:r>
      <w:r w:rsidR="003C2624" w:rsidRPr="003C2624">
        <w:rPr>
          <w:rFonts w:cs="Arial"/>
        </w:rPr>
        <w:t>)</w:t>
      </w:r>
      <w:r w:rsidR="00FD2C4E" w:rsidRPr="003C2624">
        <w:rPr>
          <w:rFonts w:cs="Arial"/>
        </w:rPr>
        <w:t>)</w:t>
      </w:r>
      <w:r w:rsidR="003C2624" w:rsidRPr="003C2624">
        <w:rPr>
          <w:rFonts w:cs="Arial"/>
        </w:rPr>
        <w:t>.</w:t>
      </w:r>
    </w:p>
    <w:p w14:paraId="6E557FBE" w14:textId="3EC76785" w:rsidR="00027AE7" w:rsidRPr="003C2624" w:rsidRDefault="00C2690F" w:rsidP="00F748E3">
      <w:pPr>
        <w:pStyle w:val="NormalArial"/>
        <w:spacing w:before="120" w:after="120"/>
        <w:rPr>
          <w:rFonts w:cs="Arial"/>
        </w:rPr>
      </w:pPr>
      <w:r w:rsidRPr="003C2624">
        <w:rPr>
          <w:rFonts w:cs="Arial"/>
        </w:rPr>
        <w:t xml:space="preserve">Luminant looks forward to a constructive debate about how to properly incentivize commitment of economic power plants. </w:t>
      </w:r>
      <w:r w:rsidR="003C2624" w:rsidRPr="003C2624">
        <w:rPr>
          <w:rFonts w:cs="Arial"/>
        </w:rPr>
        <w:t xml:space="preserve"> </w:t>
      </w:r>
      <w:r w:rsidRPr="003C2624">
        <w:rPr>
          <w:rFonts w:cs="Arial"/>
        </w:rPr>
        <w:t xml:space="preserve">However, if the debate continues to focus on </w:t>
      </w:r>
      <w:r w:rsidR="007A60F9" w:rsidRPr="003C2624">
        <w:rPr>
          <w:rFonts w:cs="Arial"/>
        </w:rPr>
        <w:t>unfounded</w:t>
      </w:r>
      <w:r w:rsidRPr="003C2624">
        <w:rPr>
          <w:rFonts w:cs="Arial"/>
        </w:rPr>
        <w:t xml:space="preserve"> market power </w:t>
      </w:r>
      <w:r w:rsidR="007A60F9" w:rsidRPr="003C2624">
        <w:rPr>
          <w:rFonts w:cs="Arial"/>
        </w:rPr>
        <w:t>allegations</w:t>
      </w:r>
      <w:r w:rsidRPr="003C2624">
        <w:rPr>
          <w:rFonts w:cs="Arial"/>
        </w:rPr>
        <w:t>, or attempts to force generators to lose money, the result will be fewer power plants to RUC and a chilling effect on new investment in the ERCOT market.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7AE7" w:rsidRPr="003C2624" w14:paraId="1D76E311" w14:textId="77777777" w:rsidTr="006D7502">
        <w:trPr>
          <w:trHeight w:val="350"/>
        </w:trPr>
        <w:tc>
          <w:tcPr>
            <w:tcW w:w="5000" w:type="pct"/>
            <w:tcBorders>
              <w:bottom w:val="single" w:sz="4" w:space="0" w:color="auto"/>
            </w:tcBorders>
            <w:shd w:val="clear" w:color="auto" w:fill="FFFFFF"/>
            <w:vAlign w:val="center"/>
          </w:tcPr>
          <w:p w14:paraId="61127DF4" w14:textId="77777777" w:rsidR="00027AE7" w:rsidRPr="003C2624" w:rsidRDefault="00027AE7" w:rsidP="006D7502">
            <w:pPr>
              <w:pStyle w:val="Header"/>
              <w:jc w:val="center"/>
              <w:rPr>
                <w:rFonts w:cs="Arial"/>
              </w:rPr>
            </w:pPr>
            <w:r w:rsidRPr="003C2624">
              <w:rPr>
                <w:rFonts w:cs="Arial"/>
              </w:rPr>
              <w:t>Revised Cover Page Language</w:t>
            </w:r>
          </w:p>
        </w:tc>
      </w:tr>
    </w:tbl>
    <w:p w14:paraId="74F1CC74" w14:textId="77777777" w:rsidR="00027AE7" w:rsidRPr="003C2624" w:rsidRDefault="00027AE7" w:rsidP="00027AE7">
      <w:pPr>
        <w:pStyle w:val="BodyText"/>
        <w:rPr>
          <w:rFonts w:ascii="Arial" w:hAnsi="Arial" w:cs="Arial"/>
        </w:rPr>
      </w:pPr>
      <w:r w:rsidRPr="003C2624">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7AE7" w:rsidRPr="003C2624" w14:paraId="7F199F40" w14:textId="77777777" w:rsidTr="006D7502">
        <w:trPr>
          <w:trHeight w:val="350"/>
        </w:trPr>
        <w:tc>
          <w:tcPr>
            <w:tcW w:w="5000" w:type="pct"/>
            <w:tcBorders>
              <w:bottom w:val="single" w:sz="4" w:space="0" w:color="auto"/>
            </w:tcBorders>
            <w:shd w:val="clear" w:color="auto" w:fill="FFFFFF"/>
            <w:vAlign w:val="center"/>
          </w:tcPr>
          <w:p w14:paraId="7B3D70B4" w14:textId="77777777" w:rsidR="00027AE7" w:rsidRPr="003C2624" w:rsidRDefault="00027AE7" w:rsidP="006D7502">
            <w:pPr>
              <w:pStyle w:val="Header"/>
              <w:jc w:val="center"/>
              <w:rPr>
                <w:rFonts w:cs="Arial"/>
              </w:rPr>
            </w:pPr>
            <w:r w:rsidRPr="003C2624">
              <w:rPr>
                <w:rFonts w:cs="Arial"/>
              </w:rPr>
              <w:t>Revised Proposed Protocol Language</w:t>
            </w:r>
          </w:p>
        </w:tc>
      </w:tr>
    </w:tbl>
    <w:p w14:paraId="6D9A5959" w14:textId="7EE04E64" w:rsidR="00027AE7" w:rsidRPr="003C2624" w:rsidRDefault="00027AE7" w:rsidP="00027AE7">
      <w:pPr>
        <w:pStyle w:val="BodyText"/>
        <w:rPr>
          <w:rFonts w:ascii="Arial" w:hAnsi="Arial" w:cs="Arial"/>
        </w:rPr>
      </w:pPr>
      <w:r w:rsidRPr="003C2624">
        <w:rPr>
          <w:rFonts w:ascii="Arial" w:hAnsi="Arial" w:cs="Arial"/>
        </w:rPr>
        <w:t>Non</w:t>
      </w:r>
      <w:r w:rsidR="003C2624" w:rsidRPr="003C2624">
        <w:rPr>
          <w:rFonts w:ascii="Arial" w:hAnsi="Arial" w:cs="Arial"/>
        </w:rPr>
        <w:t>e</w:t>
      </w:r>
    </w:p>
    <w:sectPr w:rsidR="00027AE7" w:rsidRPr="003C2624"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A34" w14:textId="77777777" w:rsidR="0040082F" w:rsidRDefault="0040082F">
      <w:r>
        <w:separator/>
      </w:r>
    </w:p>
  </w:endnote>
  <w:endnote w:type="continuationSeparator" w:id="0">
    <w:p w14:paraId="17561C84" w14:textId="77777777" w:rsidR="0040082F" w:rsidRDefault="0040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F8DE" w14:textId="085184CC" w:rsidR="00EE6681" w:rsidRPr="00405997" w:rsidRDefault="00604512" w:rsidP="0074209E">
    <w:pPr>
      <w:pStyle w:val="Footer"/>
      <w:tabs>
        <w:tab w:val="clear" w:pos="4320"/>
        <w:tab w:val="clear" w:pos="8640"/>
        <w:tab w:val="right" w:pos="9360"/>
      </w:tabs>
      <w:rPr>
        <w:rFonts w:ascii="Arial" w:hAnsi="Arial"/>
        <w:sz w:val="18"/>
        <w:lang w:val="fr-FR"/>
      </w:rPr>
    </w:pPr>
    <w:r>
      <w:rPr>
        <w:rFonts w:ascii="Arial" w:hAnsi="Arial"/>
        <w:sz w:val="18"/>
      </w:rPr>
      <w:fldChar w:fldCharType="begin"/>
    </w:r>
    <w:r w:rsidRPr="00405997">
      <w:rPr>
        <w:rFonts w:ascii="Arial" w:hAnsi="Arial"/>
        <w:sz w:val="18"/>
        <w:lang w:val="fr-FR"/>
      </w:rPr>
      <w:instrText xml:space="preserve"> FILENAME   \* MERGEFORMAT </w:instrText>
    </w:r>
    <w:r>
      <w:rPr>
        <w:rFonts w:ascii="Arial" w:hAnsi="Arial"/>
        <w:sz w:val="18"/>
      </w:rPr>
      <w:fldChar w:fldCharType="separate"/>
    </w:r>
    <w:r w:rsidR="00F748E3">
      <w:rPr>
        <w:rFonts w:ascii="Arial" w:hAnsi="Arial"/>
        <w:noProof/>
        <w:sz w:val="18"/>
        <w:lang w:val="fr-FR"/>
      </w:rPr>
      <w:t>1092NPRR-26 Luminant Comments 030822</w:t>
    </w:r>
    <w:r>
      <w:rPr>
        <w:rFonts w:ascii="Arial" w:hAnsi="Arial"/>
        <w:sz w:val="18"/>
      </w:rPr>
      <w:fldChar w:fldCharType="end"/>
    </w:r>
    <w:r w:rsidR="00EE6681" w:rsidRPr="00405997">
      <w:rPr>
        <w:rFonts w:ascii="Arial" w:hAnsi="Arial"/>
        <w:sz w:val="18"/>
        <w:lang w:val="fr-FR"/>
      </w:rPr>
      <w:tab/>
      <w:t xml:space="preserve">Page </w:t>
    </w:r>
    <w:r w:rsidR="00EE6681">
      <w:rPr>
        <w:rFonts w:ascii="Arial" w:hAnsi="Arial"/>
        <w:sz w:val="18"/>
      </w:rPr>
      <w:fldChar w:fldCharType="begin"/>
    </w:r>
    <w:r w:rsidR="00EE6681" w:rsidRPr="00664E8C">
      <w:rPr>
        <w:rFonts w:ascii="Arial" w:hAnsi="Arial"/>
        <w:sz w:val="18"/>
        <w:lang w:val="fr-FR"/>
      </w:rPr>
      <w:instrText xml:space="preserve"> PAGE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r w:rsidR="00EE6681" w:rsidRPr="00405997">
      <w:rPr>
        <w:rFonts w:ascii="Arial" w:hAnsi="Arial"/>
        <w:sz w:val="18"/>
        <w:lang w:val="fr-FR"/>
      </w:rPr>
      <w:t xml:space="preserve"> of </w:t>
    </w:r>
    <w:r w:rsidR="00EE6681">
      <w:rPr>
        <w:rFonts w:ascii="Arial" w:hAnsi="Arial"/>
        <w:sz w:val="18"/>
      </w:rPr>
      <w:fldChar w:fldCharType="begin"/>
    </w:r>
    <w:r w:rsidR="00EE6681" w:rsidRPr="00664E8C">
      <w:rPr>
        <w:rFonts w:ascii="Arial" w:hAnsi="Arial"/>
        <w:sz w:val="18"/>
        <w:lang w:val="fr-FR"/>
      </w:rPr>
      <w:instrText xml:space="preserve"> NUMPAGES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p>
  <w:p w14:paraId="65F9033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8CF6" w14:textId="77777777" w:rsidR="0040082F" w:rsidRDefault="0040082F">
      <w:r>
        <w:separator/>
      </w:r>
    </w:p>
  </w:footnote>
  <w:footnote w:type="continuationSeparator" w:id="0">
    <w:p w14:paraId="20F27CEC" w14:textId="77777777" w:rsidR="0040082F" w:rsidRDefault="0040082F">
      <w:r>
        <w:continuationSeparator/>
      </w:r>
    </w:p>
  </w:footnote>
  <w:footnote w:id="1">
    <w:p w14:paraId="1C25ED75" w14:textId="77777777" w:rsidR="006C5A42" w:rsidRPr="00335E8A" w:rsidRDefault="006C5A42">
      <w:pPr>
        <w:pStyle w:val="FootnoteText"/>
        <w:rPr>
          <w:rFonts w:ascii="Arial" w:hAnsi="Arial" w:cs="Arial"/>
        </w:rPr>
      </w:pPr>
      <w:r w:rsidRPr="00335E8A">
        <w:rPr>
          <w:rStyle w:val="FootnoteReference"/>
          <w:rFonts w:ascii="Arial" w:hAnsi="Arial" w:cs="Arial"/>
        </w:rPr>
        <w:footnoteRef/>
      </w:r>
      <w:r w:rsidRPr="00335E8A">
        <w:rPr>
          <w:rFonts w:ascii="Arial" w:hAnsi="Arial" w:cs="Arial"/>
        </w:rPr>
        <w:t xml:space="preserve"> </w:t>
      </w:r>
      <w:hyperlink r:id="rId1" w:history="1">
        <w:r w:rsidRPr="00335E8A">
          <w:rPr>
            <w:rStyle w:val="Hyperlink"/>
            <w:rFonts w:ascii="Arial" w:hAnsi="Arial" w:cs="Arial"/>
          </w:rPr>
          <w:t>https://rrctx.force.com/s/case/500t000000vY1mCAAS/detail</w:t>
        </w:r>
      </w:hyperlink>
      <w:r w:rsidRPr="00335E8A">
        <w:rPr>
          <w:rFonts w:ascii="Arial" w:hAnsi="Arial" w:cs="Arial"/>
        </w:rPr>
        <w:t xml:space="preserve"> </w:t>
      </w:r>
    </w:p>
  </w:footnote>
  <w:footnote w:id="2">
    <w:p w14:paraId="761373B3" w14:textId="0CA99DDE" w:rsidR="00D4239D" w:rsidRPr="00335E8A" w:rsidRDefault="00D4239D">
      <w:pPr>
        <w:pStyle w:val="FootnoteText"/>
        <w:rPr>
          <w:rFonts w:ascii="Arial" w:hAnsi="Arial" w:cs="Arial"/>
        </w:rPr>
      </w:pPr>
      <w:r w:rsidRPr="00335E8A">
        <w:rPr>
          <w:rStyle w:val="FootnoteReference"/>
          <w:rFonts w:ascii="Arial" w:hAnsi="Arial" w:cs="Arial"/>
        </w:rPr>
        <w:footnoteRef/>
      </w:r>
      <w:r w:rsidRPr="00335E8A">
        <w:rPr>
          <w:rFonts w:ascii="Arial" w:hAnsi="Arial" w:cs="Arial"/>
        </w:rPr>
        <w:t xml:space="preserve"> Luminant does not have </w:t>
      </w:r>
      <w:r w:rsidR="001E3401">
        <w:rPr>
          <w:rFonts w:ascii="Arial" w:hAnsi="Arial" w:cs="Arial"/>
        </w:rPr>
        <w:t>R</w:t>
      </w:r>
      <w:r w:rsidRPr="00335E8A">
        <w:rPr>
          <w:rFonts w:ascii="Arial" w:hAnsi="Arial" w:cs="Arial"/>
        </w:rPr>
        <w:t xml:space="preserve">esource-specific verifiable fuel adder costs for these units since ERCOT abruptly and unilaterally just before the onset of Winter Storm Uri rescinded fuel adders previously approved for Luminant in December 2019 and rejected updated fuel adders that Luminant submitted in October 2020. </w:t>
      </w:r>
      <w:r w:rsidR="001E3401">
        <w:rPr>
          <w:rFonts w:ascii="Arial" w:hAnsi="Arial" w:cs="Arial"/>
        </w:rPr>
        <w:t xml:space="preserve"> </w:t>
      </w:r>
      <w:r w:rsidRPr="00335E8A">
        <w:rPr>
          <w:rFonts w:ascii="Arial" w:hAnsi="Arial" w:cs="Arial"/>
        </w:rPr>
        <w:t xml:space="preserve">Luminant submitted a complaint and request for emergency relief to the Public Utility Commission in March 2021 (Docket No. 51883), which is still pending a decision. </w:t>
      </w:r>
      <w:r w:rsidR="001E3401">
        <w:rPr>
          <w:rFonts w:ascii="Arial" w:hAnsi="Arial" w:cs="Arial"/>
        </w:rPr>
        <w:t xml:space="preserve"> </w:t>
      </w:r>
      <w:r w:rsidRPr="00335E8A">
        <w:rPr>
          <w:rFonts w:ascii="Arial" w:hAnsi="Arial" w:cs="Arial"/>
        </w:rPr>
        <w:t xml:space="preserve">Furthermore, even if ERCOT had not taken this action, it is unclear that Luminant could reflect these actual costs, since </w:t>
      </w:r>
      <w:r w:rsidR="001E3401">
        <w:rPr>
          <w:rFonts w:ascii="Arial" w:hAnsi="Arial" w:cs="Arial"/>
        </w:rPr>
        <w:t>paragraph (</w:t>
      </w:r>
      <w:r w:rsidRPr="00335E8A">
        <w:rPr>
          <w:rFonts w:ascii="Arial" w:hAnsi="Arial" w:cs="Arial"/>
        </w:rPr>
        <w:t>2) of Verifiable Cost Manual</w:t>
      </w:r>
      <w:r w:rsidR="001E3401">
        <w:rPr>
          <w:rFonts w:ascii="Arial" w:hAnsi="Arial" w:cs="Arial"/>
        </w:rPr>
        <w:t xml:space="preserve"> Section 3.4, </w:t>
      </w:r>
      <w:r w:rsidR="001E3401" w:rsidRPr="001E3401">
        <w:rPr>
          <w:rFonts w:ascii="Arial" w:hAnsi="Arial" w:cs="Arial"/>
        </w:rPr>
        <w:t>Additional Rules for Submitting Fuel Costs</w:t>
      </w:r>
      <w:r w:rsidR="001E3401">
        <w:rPr>
          <w:rFonts w:ascii="Arial" w:hAnsi="Arial" w:cs="Arial"/>
        </w:rPr>
        <w:t>,</w:t>
      </w:r>
      <w:r w:rsidRPr="00335E8A">
        <w:rPr>
          <w:rFonts w:ascii="Arial" w:hAnsi="Arial" w:cs="Arial"/>
        </w:rPr>
        <w:t xml:space="preserve"> specifies that an actual fuel adder must be based on historical cost “for a rolling 12-month period,” so sudden changes in actually experienced fuel costs cannot be fully incorporated into a generator’s verifiable costs until they have been in place for a full year (and then must go through the slow process of seeking and receiving ERCOT approval.</w:t>
      </w:r>
      <w:r w:rsidR="00F355BB">
        <w:rPr>
          <w:rFonts w:ascii="Arial" w:hAnsi="Arial" w:cs="Arial"/>
        </w:rPr>
        <w:t>)</w:t>
      </w:r>
    </w:p>
  </w:footnote>
  <w:footnote w:id="3">
    <w:p w14:paraId="634A7DD4" w14:textId="77777777" w:rsidR="008D522C" w:rsidRPr="00335E8A" w:rsidRDefault="008D522C">
      <w:pPr>
        <w:pStyle w:val="FootnoteText"/>
        <w:rPr>
          <w:rFonts w:ascii="Arial" w:hAnsi="Arial" w:cs="Arial"/>
        </w:rPr>
      </w:pPr>
      <w:r w:rsidRPr="00335E8A">
        <w:rPr>
          <w:rStyle w:val="FootnoteReference"/>
          <w:rFonts w:ascii="Arial" w:hAnsi="Arial" w:cs="Arial"/>
        </w:rPr>
        <w:footnoteRef/>
      </w:r>
      <w:r w:rsidRPr="00335E8A">
        <w:rPr>
          <w:rFonts w:ascii="Arial" w:hAnsi="Arial" w:cs="Arial"/>
        </w:rPr>
        <w:t xml:space="preserve"> Luminant has also received volume-based fuel price tiering that the ERCOT Protocols do not accommodate, but the verifiable cost-linked offer cap is the first order limiting condition.</w:t>
      </w:r>
    </w:p>
  </w:footnote>
  <w:footnote w:id="4">
    <w:p w14:paraId="3BCA2C1F" w14:textId="77777777" w:rsidR="00FA1FEB" w:rsidRDefault="00FA1FEB" w:rsidP="00FA1FEB">
      <w:pPr>
        <w:pStyle w:val="FootnoteText"/>
      </w:pPr>
      <w:r>
        <w:rPr>
          <w:rStyle w:val="FootnoteReference"/>
        </w:rPr>
        <w:footnoteRef/>
      </w:r>
      <w:r>
        <w:t xml:space="preserve"> As noted in both Shell’s February 16 comments and Luminant’s February 17 comments, competitive quick start offers are often several hundred dollars per MWh in order to appropriately reflect their commitment and operating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ACFF" w14:textId="4AE606D9" w:rsidR="00EE6681" w:rsidRDefault="00EE6681">
    <w:pPr>
      <w:pStyle w:val="Header"/>
      <w:jc w:val="center"/>
      <w:rPr>
        <w:sz w:val="32"/>
      </w:rPr>
    </w:pPr>
    <w:r>
      <w:rPr>
        <w:sz w:val="32"/>
      </w:rPr>
      <w:t>NPRR Comments</w:t>
    </w:r>
  </w:p>
  <w:p w14:paraId="6DD77266"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D1551"/>
    <w:multiLevelType w:val="hybridMultilevel"/>
    <w:tmpl w:val="CF30D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065EE"/>
    <w:multiLevelType w:val="hybridMultilevel"/>
    <w:tmpl w:val="7406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D2CD3"/>
    <w:multiLevelType w:val="hybridMultilevel"/>
    <w:tmpl w:val="52B4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A3E9D"/>
    <w:multiLevelType w:val="hybridMultilevel"/>
    <w:tmpl w:val="989C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423C1F"/>
    <w:multiLevelType w:val="hybridMultilevel"/>
    <w:tmpl w:val="4238A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1"/>
  </w:num>
  <w:num w:numId="6">
    <w:abstractNumId w:val="7"/>
  </w:num>
  <w:num w:numId="7">
    <w:abstractNumId w:val="9"/>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3AC8"/>
    <w:rsid w:val="00006D9F"/>
    <w:rsid w:val="00006DFF"/>
    <w:rsid w:val="000227DA"/>
    <w:rsid w:val="00027344"/>
    <w:rsid w:val="00027AE7"/>
    <w:rsid w:val="000310A7"/>
    <w:rsid w:val="00037668"/>
    <w:rsid w:val="00040689"/>
    <w:rsid w:val="00040D33"/>
    <w:rsid w:val="00041D0A"/>
    <w:rsid w:val="00064260"/>
    <w:rsid w:val="00070485"/>
    <w:rsid w:val="00075A94"/>
    <w:rsid w:val="00081DA6"/>
    <w:rsid w:val="000A501E"/>
    <w:rsid w:val="000A76DC"/>
    <w:rsid w:val="000C05EE"/>
    <w:rsid w:val="000C1869"/>
    <w:rsid w:val="000D06A3"/>
    <w:rsid w:val="000D4CF9"/>
    <w:rsid w:val="000D5B27"/>
    <w:rsid w:val="000D7B0B"/>
    <w:rsid w:val="000E1379"/>
    <w:rsid w:val="000E77CC"/>
    <w:rsid w:val="000F29F2"/>
    <w:rsid w:val="000F545A"/>
    <w:rsid w:val="000F6DE5"/>
    <w:rsid w:val="00106ABC"/>
    <w:rsid w:val="00112CAE"/>
    <w:rsid w:val="00117931"/>
    <w:rsid w:val="0012331E"/>
    <w:rsid w:val="00132855"/>
    <w:rsid w:val="0013296E"/>
    <w:rsid w:val="00141173"/>
    <w:rsid w:val="001418BC"/>
    <w:rsid w:val="00150E2B"/>
    <w:rsid w:val="00152993"/>
    <w:rsid w:val="00170297"/>
    <w:rsid w:val="001946F4"/>
    <w:rsid w:val="00197027"/>
    <w:rsid w:val="001972C1"/>
    <w:rsid w:val="001A0889"/>
    <w:rsid w:val="001A227D"/>
    <w:rsid w:val="001B5C14"/>
    <w:rsid w:val="001C25CF"/>
    <w:rsid w:val="001C6270"/>
    <w:rsid w:val="001D1100"/>
    <w:rsid w:val="001E2032"/>
    <w:rsid w:val="001E3401"/>
    <w:rsid w:val="001E5A47"/>
    <w:rsid w:val="00202693"/>
    <w:rsid w:val="00206CE7"/>
    <w:rsid w:val="00207690"/>
    <w:rsid w:val="00210332"/>
    <w:rsid w:val="00217A8D"/>
    <w:rsid w:val="002229FF"/>
    <w:rsid w:val="0022688B"/>
    <w:rsid w:val="002356E3"/>
    <w:rsid w:val="002476DD"/>
    <w:rsid w:val="00250319"/>
    <w:rsid w:val="00260EEE"/>
    <w:rsid w:val="00262711"/>
    <w:rsid w:val="002643FB"/>
    <w:rsid w:val="00283FC9"/>
    <w:rsid w:val="002870E3"/>
    <w:rsid w:val="002921EE"/>
    <w:rsid w:val="002926A2"/>
    <w:rsid w:val="002A5F4C"/>
    <w:rsid w:val="002B7B4E"/>
    <w:rsid w:val="002C3451"/>
    <w:rsid w:val="002C5E72"/>
    <w:rsid w:val="002D50DA"/>
    <w:rsid w:val="002E0327"/>
    <w:rsid w:val="002E10DC"/>
    <w:rsid w:val="003010C0"/>
    <w:rsid w:val="0031025C"/>
    <w:rsid w:val="003105A2"/>
    <w:rsid w:val="00321B37"/>
    <w:rsid w:val="00322613"/>
    <w:rsid w:val="00326C8C"/>
    <w:rsid w:val="003301FB"/>
    <w:rsid w:val="00330554"/>
    <w:rsid w:val="0033247A"/>
    <w:rsid w:val="00332A97"/>
    <w:rsid w:val="00334200"/>
    <w:rsid w:val="00335E8A"/>
    <w:rsid w:val="00337369"/>
    <w:rsid w:val="0034247E"/>
    <w:rsid w:val="00347D81"/>
    <w:rsid w:val="00350C00"/>
    <w:rsid w:val="00350C27"/>
    <w:rsid w:val="003618B7"/>
    <w:rsid w:val="00366113"/>
    <w:rsid w:val="003773EF"/>
    <w:rsid w:val="0039522F"/>
    <w:rsid w:val="003A41C2"/>
    <w:rsid w:val="003A530B"/>
    <w:rsid w:val="003A5888"/>
    <w:rsid w:val="003B051B"/>
    <w:rsid w:val="003B653B"/>
    <w:rsid w:val="003B72FC"/>
    <w:rsid w:val="003C2624"/>
    <w:rsid w:val="003C270C"/>
    <w:rsid w:val="003D0994"/>
    <w:rsid w:val="003D6586"/>
    <w:rsid w:val="003D7713"/>
    <w:rsid w:val="003D78F9"/>
    <w:rsid w:val="003E2EE9"/>
    <w:rsid w:val="003E3AB4"/>
    <w:rsid w:val="003F7564"/>
    <w:rsid w:val="0040082F"/>
    <w:rsid w:val="00402FD5"/>
    <w:rsid w:val="00405508"/>
    <w:rsid w:val="00405997"/>
    <w:rsid w:val="0040607E"/>
    <w:rsid w:val="00412F3E"/>
    <w:rsid w:val="00414BA7"/>
    <w:rsid w:val="00422CC6"/>
    <w:rsid w:val="00423824"/>
    <w:rsid w:val="00426132"/>
    <w:rsid w:val="0043073D"/>
    <w:rsid w:val="0043094F"/>
    <w:rsid w:val="0043567D"/>
    <w:rsid w:val="004372F6"/>
    <w:rsid w:val="00445660"/>
    <w:rsid w:val="004523C0"/>
    <w:rsid w:val="004550A9"/>
    <w:rsid w:val="00471C4F"/>
    <w:rsid w:val="00473D36"/>
    <w:rsid w:val="00474C21"/>
    <w:rsid w:val="004768AB"/>
    <w:rsid w:val="0048118F"/>
    <w:rsid w:val="00487F06"/>
    <w:rsid w:val="0049110B"/>
    <w:rsid w:val="00493AC9"/>
    <w:rsid w:val="004A0F36"/>
    <w:rsid w:val="004A3544"/>
    <w:rsid w:val="004B2B71"/>
    <w:rsid w:val="004B5B39"/>
    <w:rsid w:val="004B7B90"/>
    <w:rsid w:val="004C03C7"/>
    <w:rsid w:val="004C0D1E"/>
    <w:rsid w:val="004C19D6"/>
    <w:rsid w:val="004C2DAF"/>
    <w:rsid w:val="004D4015"/>
    <w:rsid w:val="004E08E3"/>
    <w:rsid w:val="004E289D"/>
    <w:rsid w:val="004E2C19"/>
    <w:rsid w:val="004E5627"/>
    <w:rsid w:val="004E5BED"/>
    <w:rsid w:val="004F2314"/>
    <w:rsid w:val="004F3FC6"/>
    <w:rsid w:val="00500AEB"/>
    <w:rsid w:val="005052DB"/>
    <w:rsid w:val="00506015"/>
    <w:rsid w:val="00510C62"/>
    <w:rsid w:val="0051293B"/>
    <w:rsid w:val="005250DB"/>
    <w:rsid w:val="005261B5"/>
    <w:rsid w:val="0053053D"/>
    <w:rsid w:val="00533C00"/>
    <w:rsid w:val="00541626"/>
    <w:rsid w:val="005545AF"/>
    <w:rsid w:val="0055485E"/>
    <w:rsid w:val="005600F4"/>
    <w:rsid w:val="00577468"/>
    <w:rsid w:val="00590CAF"/>
    <w:rsid w:val="005C42BD"/>
    <w:rsid w:val="005C5E78"/>
    <w:rsid w:val="005C5E91"/>
    <w:rsid w:val="005D284C"/>
    <w:rsid w:val="005D6561"/>
    <w:rsid w:val="005E0A92"/>
    <w:rsid w:val="005E2532"/>
    <w:rsid w:val="005F24B4"/>
    <w:rsid w:val="005F4969"/>
    <w:rsid w:val="00604512"/>
    <w:rsid w:val="00611C98"/>
    <w:rsid w:val="00612065"/>
    <w:rsid w:val="00612917"/>
    <w:rsid w:val="00633E23"/>
    <w:rsid w:val="0065646B"/>
    <w:rsid w:val="00657FBB"/>
    <w:rsid w:val="00662A6D"/>
    <w:rsid w:val="00664E8C"/>
    <w:rsid w:val="00666C18"/>
    <w:rsid w:val="00673B94"/>
    <w:rsid w:val="00677F59"/>
    <w:rsid w:val="00680AC6"/>
    <w:rsid w:val="006835D8"/>
    <w:rsid w:val="00684A57"/>
    <w:rsid w:val="00684BFA"/>
    <w:rsid w:val="00687ACF"/>
    <w:rsid w:val="00687B2B"/>
    <w:rsid w:val="00692293"/>
    <w:rsid w:val="0069698C"/>
    <w:rsid w:val="006B1A63"/>
    <w:rsid w:val="006B31C0"/>
    <w:rsid w:val="006C316E"/>
    <w:rsid w:val="006C5A42"/>
    <w:rsid w:val="006C7205"/>
    <w:rsid w:val="006D0274"/>
    <w:rsid w:val="006D0F7C"/>
    <w:rsid w:val="006D7502"/>
    <w:rsid w:val="006E22EE"/>
    <w:rsid w:val="006F78FA"/>
    <w:rsid w:val="007020DF"/>
    <w:rsid w:val="00703F64"/>
    <w:rsid w:val="007066E9"/>
    <w:rsid w:val="007100B6"/>
    <w:rsid w:val="007102F1"/>
    <w:rsid w:val="0071042A"/>
    <w:rsid w:val="00722EA2"/>
    <w:rsid w:val="00726811"/>
    <w:rsid w:val="007269C4"/>
    <w:rsid w:val="00727881"/>
    <w:rsid w:val="00732962"/>
    <w:rsid w:val="0074209E"/>
    <w:rsid w:val="00746022"/>
    <w:rsid w:val="00747901"/>
    <w:rsid w:val="0075765C"/>
    <w:rsid w:val="00765FB1"/>
    <w:rsid w:val="00766192"/>
    <w:rsid w:val="0077322B"/>
    <w:rsid w:val="00774C10"/>
    <w:rsid w:val="00776954"/>
    <w:rsid w:val="00780C0A"/>
    <w:rsid w:val="007A0E53"/>
    <w:rsid w:val="007A60F9"/>
    <w:rsid w:val="007C472E"/>
    <w:rsid w:val="007C732F"/>
    <w:rsid w:val="007D0C37"/>
    <w:rsid w:val="007D4646"/>
    <w:rsid w:val="007E5A3E"/>
    <w:rsid w:val="007E6DC2"/>
    <w:rsid w:val="007F0F1C"/>
    <w:rsid w:val="007F2CA8"/>
    <w:rsid w:val="007F4F55"/>
    <w:rsid w:val="007F7161"/>
    <w:rsid w:val="007F7661"/>
    <w:rsid w:val="00823A4A"/>
    <w:rsid w:val="00832022"/>
    <w:rsid w:val="00845B66"/>
    <w:rsid w:val="008536B7"/>
    <w:rsid w:val="0085559E"/>
    <w:rsid w:val="0085594A"/>
    <w:rsid w:val="008614E5"/>
    <w:rsid w:val="00866E89"/>
    <w:rsid w:val="00873356"/>
    <w:rsid w:val="00873D7A"/>
    <w:rsid w:val="00874A96"/>
    <w:rsid w:val="008757D7"/>
    <w:rsid w:val="00882959"/>
    <w:rsid w:val="008867DA"/>
    <w:rsid w:val="00891B56"/>
    <w:rsid w:val="008952FB"/>
    <w:rsid w:val="00896B1B"/>
    <w:rsid w:val="008978D5"/>
    <w:rsid w:val="008B6FF3"/>
    <w:rsid w:val="008D522C"/>
    <w:rsid w:val="008E37D0"/>
    <w:rsid w:val="008E559E"/>
    <w:rsid w:val="008F246E"/>
    <w:rsid w:val="00906FB0"/>
    <w:rsid w:val="009115B9"/>
    <w:rsid w:val="00916080"/>
    <w:rsid w:val="009214C3"/>
    <w:rsid w:val="00921A68"/>
    <w:rsid w:val="00921AEF"/>
    <w:rsid w:val="00923814"/>
    <w:rsid w:val="00941344"/>
    <w:rsid w:val="0094167C"/>
    <w:rsid w:val="00944688"/>
    <w:rsid w:val="00947ECE"/>
    <w:rsid w:val="00972201"/>
    <w:rsid w:val="009841A6"/>
    <w:rsid w:val="009A3A90"/>
    <w:rsid w:val="009A560A"/>
    <w:rsid w:val="009A6858"/>
    <w:rsid w:val="009B1B8A"/>
    <w:rsid w:val="009C716B"/>
    <w:rsid w:val="009D1F4B"/>
    <w:rsid w:val="009D1FDC"/>
    <w:rsid w:val="009E585C"/>
    <w:rsid w:val="009F68BF"/>
    <w:rsid w:val="00A015C4"/>
    <w:rsid w:val="00A06ECC"/>
    <w:rsid w:val="00A15172"/>
    <w:rsid w:val="00A24002"/>
    <w:rsid w:val="00A2749F"/>
    <w:rsid w:val="00A27BC8"/>
    <w:rsid w:val="00A32A09"/>
    <w:rsid w:val="00A35BA4"/>
    <w:rsid w:val="00A37C95"/>
    <w:rsid w:val="00A410A8"/>
    <w:rsid w:val="00A57BF5"/>
    <w:rsid w:val="00A613E0"/>
    <w:rsid w:val="00A630EC"/>
    <w:rsid w:val="00A656AE"/>
    <w:rsid w:val="00A71A88"/>
    <w:rsid w:val="00A72237"/>
    <w:rsid w:val="00A725F1"/>
    <w:rsid w:val="00A72926"/>
    <w:rsid w:val="00A754BA"/>
    <w:rsid w:val="00A82451"/>
    <w:rsid w:val="00A82BD2"/>
    <w:rsid w:val="00A93577"/>
    <w:rsid w:val="00AA1D39"/>
    <w:rsid w:val="00AC378D"/>
    <w:rsid w:val="00AD1BA8"/>
    <w:rsid w:val="00AE216D"/>
    <w:rsid w:val="00AE3DE8"/>
    <w:rsid w:val="00AE67A0"/>
    <w:rsid w:val="00AF0BE9"/>
    <w:rsid w:val="00AF1D22"/>
    <w:rsid w:val="00AF23F3"/>
    <w:rsid w:val="00B11D62"/>
    <w:rsid w:val="00B174AC"/>
    <w:rsid w:val="00B208B0"/>
    <w:rsid w:val="00B30DC9"/>
    <w:rsid w:val="00B36E2E"/>
    <w:rsid w:val="00B5080A"/>
    <w:rsid w:val="00B64F60"/>
    <w:rsid w:val="00B943AE"/>
    <w:rsid w:val="00BA08C4"/>
    <w:rsid w:val="00BA4F8F"/>
    <w:rsid w:val="00BD1136"/>
    <w:rsid w:val="00BD2E03"/>
    <w:rsid w:val="00BD37E7"/>
    <w:rsid w:val="00BD58D7"/>
    <w:rsid w:val="00BD5DAA"/>
    <w:rsid w:val="00BD7258"/>
    <w:rsid w:val="00BF109E"/>
    <w:rsid w:val="00BF233A"/>
    <w:rsid w:val="00C0213D"/>
    <w:rsid w:val="00C0598D"/>
    <w:rsid w:val="00C11956"/>
    <w:rsid w:val="00C1360C"/>
    <w:rsid w:val="00C20DBB"/>
    <w:rsid w:val="00C21E8C"/>
    <w:rsid w:val="00C220E3"/>
    <w:rsid w:val="00C262F3"/>
    <w:rsid w:val="00C2690F"/>
    <w:rsid w:val="00C27C1A"/>
    <w:rsid w:val="00C51D46"/>
    <w:rsid w:val="00C52134"/>
    <w:rsid w:val="00C52EB8"/>
    <w:rsid w:val="00C602E5"/>
    <w:rsid w:val="00C60C87"/>
    <w:rsid w:val="00C6498F"/>
    <w:rsid w:val="00C74357"/>
    <w:rsid w:val="00C748FD"/>
    <w:rsid w:val="00C80380"/>
    <w:rsid w:val="00C81198"/>
    <w:rsid w:val="00CA626A"/>
    <w:rsid w:val="00CB1899"/>
    <w:rsid w:val="00CB1F87"/>
    <w:rsid w:val="00CB32FF"/>
    <w:rsid w:val="00CB574E"/>
    <w:rsid w:val="00CD21D7"/>
    <w:rsid w:val="00CD23F7"/>
    <w:rsid w:val="00CF0FF8"/>
    <w:rsid w:val="00CF2551"/>
    <w:rsid w:val="00D00B2E"/>
    <w:rsid w:val="00D0266F"/>
    <w:rsid w:val="00D03B6B"/>
    <w:rsid w:val="00D051A0"/>
    <w:rsid w:val="00D2056F"/>
    <w:rsid w:val="00D21173"/>
    <w:rsid w:val="00D223AD"/>
    <w:rsid w:val="00D262BB"/>
    <w:rsid w:val="00D313BF"/>
    <w:rsid w:val="00D344EE"/>
    <w:rsid w:val="00D3471F"/>
    <w:rsid w:val="00D3608D"/>
    <w:rsid w:val="00D4046E"/>
    <w:rsid w:val="00D4239D"/>
    <w:rsid w:val="00D4362F"/>
    <w:rsid w:val="00D501D5"/>
    <w:rsid w:val="00D57B21"/>
    <w:rsid w:val="00D73BBB"/>
    <w:rsid w:val="00D83B04"/>
    <w:rsid w:val="00D86FFA"/>
    <w:rsid w:val="00DA2B0A"/>
    <w:rsid w:val="00DA5ED1"/>
    <w:rsid w:val="00DB01EE"/>
    <w:rsid w:val="00DB1963"/>
    <w:rsid w:val="00DB407B"/>
    <w:rsid w:val="00DC50A7"/>
    <w:rsid w:val="00DC7524"/>
    <w:rsid w:val="00DD24EF"/>
    <w:rsid w:val="00DD4739"/>
    <w:rsid w:val="00DE2182"/>
    <w:rsid w:val="00DE3144"/>
    <w:rsid w:val="00DE5F33"/>
    <w:rsid w:val="00DF10D3"/>
    <w:rsid w:val="00E07B54"/>
    <w:rsid w:val="00E10232"/>
    <w:rsid w:val="00E105A6"/>
    <w:rsid w:val="00E11F78"/>
    <w:rsid w:val="00E14EC3"/>
    <w:rsid w:val="00E16AB6"/>
    <w:rsid w:val="00E24DE2"/>
    <w:rsid w:val="00E52AB7"/>
    <w:rsid w:val="00E559B0"/>
    <w:rsid w:val="00E57979"/>
    <w:rsid w:val="00E60F18"/>
    <w:rsid w:val="00E621E1"/>
    <w:rsid w:val="00E77C12"/>
    <w:rsid w:val="00EA55ED"/>
    <w:rsid w:val="00EA69CF"/>
    <w:rsid w:val="00EA6F3C"/>
    <w:rsid w:val="00EB4EA3"/>
    <w:rsid w:val="00EC0D49"/>
    <w:rsid w:val="00EC43C1"/>
    <w:rsid w:val="00EC55B3"/>
    <w:rsid w:val="00EE5C6C"/>
    <w:rsid w:val="00EE6681"/>
    <w:rsid w:val="00EF50E5"/>
    <w:rsid w:val="00EF50F8"/>
    <w:rsid w:val="00F03D03"/>
    <w:rsid w:val="00F04FC4"/>
    <w:rsid w:val="00F12414"/>
    <w:rsid w:val="00F12491"/>
    <w:rsid w:val="00F35420"/>
    <w:rsid w:val="00F355BB"/>
    <w:rsid w:val="00F36539"/>
    <w:rsid w:val="00F400A1"/>
    <w:rsid w:val="00F40F46"/>
    <w:rsid w:val="00F45ECE"/>
    <w:rsid w:val="00F57219"/>
    <w:rsid w:val="00F574F8"/>
    <w:rsid w:val="00F63777"/>
    <w:rsid w:val="00F67008"/>
    <w:rsid w:val="00F6777E"/>
    <w:rsid w:val="00F748E3"/>
    <w:rsid w:val="00F77549"/>
    <w:rsid w:val="00F809DE"/>
    <w:rsid w:val="00F96FB2"/>
    <w:rsid w:val="00FA1C9D"/>
    <w:rsid w:val="00FA1FEB"/>
    <w:rsid w:val="00FA343F"/>
    <w:rsid w:val="00FA47B1"/>
    <w:rsid w:val="00FA6485"/>
    <w:rsid w:val="00FB51D8"/>
    <w:rsid w:val="00FB70FE"/>
    <w:rsid w:val="00FD08E8"/>
    <w:rsid w:val="00FD2458"/>
    <w:rsid w:val="00FD2C4E"/>
    <w:rsid w:val="00FD467F"/>
    <w:rsid w:val="00FD4B4D"/>
    <w:rsid w:val="00FD5CC3"/>
    <w:rsid w:val="00FD7E5F"/>
    <w:rsid w:val="00FE2CA3"/>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0B1D04"/>
  <w15:docId w15:val="{B9719512-2889-44AA-94DD-9E90E64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 w:type="paragraph" w:styleId="ListParagraph">
    <w:name w:val="List Paragraph"/>
    <w:basedOn w:val="Normal"/>
    <w:uiPriority w:val="34"/>
    <w:qFormat/>
    <w:rsid w:val="0069698C"/>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759450334">
      <w:bodyDiv w:val="1"/>
      <w:marLeft w:val="0"/>
      <w:marRight w:val="0"/>
      <w:marTop w:val="0"/>
      <w:marBottom w:val="0"/>
      <w:divBdr>
        <w:top w:val="none" w:sz="0" w:space="0" w:color="auto"/>
        <w:left w:val="none" w:sz="0" w:space="0" w:color="auto"/>
        <w:bottom w:val="none" w:sz="0" w:space="0" w:color="auto"/>
        <w:right w:val="none" w:sz="0" w:space="0" w:color="auto"/>
      </w:divBdr>
    </w:div>
    <w:div w:id="82667660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8744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n.Haley@VistraCorp.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rctx.force.com/s/case/500t000000vY1mCAAS/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23330</CharactersWithSpaces>
  <SharedDoc>false</SharedDoc>
  <HLinks>
    <vt:vector size="1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4653073</vt:i4>
      </vt:variant>
      <vt:variant>
        <vt:i4>0</vt:i4>
      </vt:variant>
      <vt:variant>
        <vt:i4>0</vt:i4>
      </vt:variant>
      <vt:variant>
        <vt:i4>5</vt:i4>
      </vt:variant>
      <vt:variant>
        <vt:lpwstr>https://rrctx.force.com/s/case/500t000000vY1mCAAS/detail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2022-02-07T17:36:00Z</cp:lastPrinted>
  <dcterms:created xsi:type="dcterms:W3CDTF">2022-03-08T23:55:00Z</dcterms:created>
  <dcterms:modified xsi:type="dcterms:W3CDTF">2022-03-09T00:23:00Z</dcterms:modified>
</cp:coreProperties>
</file>