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027A4AE4" w14:textId="77777777">
        <w:tc>
          <w:tcPr>
            <w:tcW w:w="1620" w:type="dxa"/>
            <w:tcBorders>
              <w:bottom w:val="single" w:sz="4" w:space="0" w:color="auto"/>
            </w:tcBorders>
            <w:shd w:val="clear" w:color="auto" w:fill="FFFFFF"/>
            <w:vAlign w:val="center"/>
          </w:tcPr>
          <w:p w14:paraId="0042CA21" w14:textId="77777777" w:rsidR="00152993" w:rsidRDefault="00EE6681" w:rsidP="002D3FCF">
            <w:pPr>
              <w:pStyle w:val="Header"/>
              <w:rPr>
                <w:rFonts w:ascii="Verdana" w:hAnsi="Verdana"/>
                <w:sz w:val="22"/>
              </w:rPr>
            </w:pPr>
            <w:r>
              <w:t>N</w:t>
            </w:r>
            <w:r w:rsidR="00152993">
              <w:t>PRR Number</w:t>
            </w:r>
          </w:p>
        </w:tc>
        <w:tc>
          <w:tcPr>
            <w:tcW w:w="1260" w:type="dxa"/>
            <w:tcBorders>
              <w:bottom w:val="single" w:sz="4" w:space="0" w:color="auto"/>
            </w:tcBorders>
            <w:vAlign w:val="center"/>
          </w:tcPr>
          <w:p w14:paraId="1D510FC9" w14:textId="77777777" w:rsidR="00152993" w:rsidRDefault="00383D7C" w:rsidP="002D3FCF">
            <w:pPr>
              <w:pStyle w:val="Header"/>
            </w:pPr>
            <w:hyperlink r:id="rId8" w:history="1">
              <w:r w:rsidR="007100B6" w:rsidRPr="00780B05">
                <w:rPr>
                  <w:rStyle w:val="Hyperlink"/>
                </w:rPr>
                <w:t>1092</w:t>
              </w:r>
            </w:hyperlink>
          </w:p>
        </w:tc>
        <w:tc>
          <w:tcPr>
            <w:tcW w:w="900" w:type="dxa"/>
            <w:tcBorders>
              <w:bottom w:val="single" w:sz="4" w:space="0" w:color="auto"/>
            </w:tcBorders>
            <w:shd w:val="clear" w:color="auto" w:fill="FFFFFF"/>
            <w:vAlign w:val="center"/>
          </w:tcPr>
          <w:p w14:paraId="49D751EC" w14:textId="77777777" w:rsidR="00152993" w:rsidRDefault="00EE6681" w:rsidP="002D3FCF">
            <w:pPr>
              <w:pStyle w:val="Header"/>
            </w:pPr>
            <w:r>
              <w:t>N</w:t>
            </w:r>
            <w:r w:rsidR="00152993">
              <w:t>PRR Title</w:t>
            </w:r>
          </w:p>
        </w:tc>
        <w:tc>
          <w:tcPr>
            <w:tcW w:w="6660" w:type="dxa"/>
            <w:tcBorders>
              <w:bottom w:val="single" w:sz="4" w:space="0" w:color="auto"/>
            </w:tcBorders>
            <w:vAlign w:val="center"/>
          </w:tcPr>
          <w:p w14:paraId="646E9C97" w14:textId="77777777" w:rsidR="00152993" w:rsidRDefault="007100B6" w:rsidP="002D3FCF">
            <w:pPr>
              <w:pStyle w:val="Header"/>
            </w:pPr>
            <w:r>
              <w:t>Reduce RUC Offer Floor and Remove RUC Opt-Out Provision</w:t>
            </w:r>
          </w:p>
        </w:tc>
      </w:tr>
      <w:tr w:rsidR="00152993" w14:paraId="467C7604" w14:textId="77777777">
        <w:trPr>
          <w:trHeight w:val="413"/>
        </w:trPr>
        <w:tc>
          <w:tcPr>
            <w:tcW w:w="2880" w:type="dxa"/>
            <w:gridSpan w:val="2"/>
            <w:tcBorders>
              <w:top w:val="nil"/>
              <w:left w:val="nil"/>
              <w:bottom w:val="single" w:sz="4" w:space="0" w:color="auto"/>
              <w:right w:val="nil"/>
            </w:tcBorders>
            <w:vAlign w:val="center"/>
          </w:tcPr>
          <w:p w14:paraId="2897ADE0" w14:textId="77777777" w:rsidR="00152993" w:rsidRDefault="00152993" w:rsidP="002D3FCF">
            <w:pPr>
              <w:pStyle w:val="NormalArial"/>
            </w:pPr>
          </w:p>
        </w:tc>
        <w:tc>
          <w:tcPr>
            <w:tcW w:w="7560" w:type="dxa"/>
            <w:gridSpan w:val="2"/>
            <w:tcBorders>
              <w:top w:val="single" w:sz="4" w:space="0" w:color="auto"/>
              <w:left w:val="nil"/>
              <w:bottom w:val="nil"/>
              <w:right w:val="nil"/>
            </w:tcBorders>
            <w:vAlign w:val="center"/>
          </w:tcPr>
          <w:p w14:paraId="5DF621D3" w14:textId="77777777" w:rsidR="00152993" w:rsidRDefault="00152993" w:rsidP="002D3FCF">
            <w:pPr>
              <w:pStyle w:val="NormalArial"/>
            </w:pPr>
          </w:p>
        </w:tc>
      </w:tr>
      <w:tr w:rsidR="00152993" w14:paraId="4856287B"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FC8538B" w14:textId="77777777" w:rsidR="00152993" w:rsidRDefault="00152993" w:rsidP="002D3FCF">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39B80A" w14:textId="1AFA008A" w:rsidR="00152993" w:rsidRDefault="006069D4" w:rsidP="002D3FCF">
            <w:pPr>
              <w:pStyle w:val="NormalArial"/>
            </w:pPr>
            <w:r>
              <w:t>March 1</w:t>
            </w:r>
            <w:r w:rsidR="007100B6">
              <w:t>, 2022</w:t>
            </w:r>
          </w:p>
        </w:tc>
      </w:tr>
      <w:tr w:rsidR="00152993" w14:paraId="7D7822A1" w14:textId="77777777">
        <w:trPr>
          <w:trHeight w:val="467"/>
        </w:trPr>
        <w:tc>
          <w:tcPr>
            <w:tcW w:w="2880" w:type="dxa"/>
            <w:gridSpan w:val="2"/>
            <w:tcBorders>
              <w:top w:val="single" w:sz="4" w:space="0" w:color="auto"/>
              <w:left w:val="nil"/>
              <w:bottom w:val="nil"/>
              <w:right w:val="nil"/>
            </w:tcBorders>
            <w:shd w:val="clear" w:color="auto" w:fill="FFFFFF"/>
            <w:vAlign w:val="center"/>
          </w:tcPr>
          <w:p w14:paraId="2C5BD026" w14:textId="77777777" w:rsidR="00152993" w:rsidRDefault="00152993" w:rsidP="002D3FCF">
            <w:pPr>
              <w:pStyle w:val="NormalArial"/>
            </w:pPr>
          </w:p>
        </w:tc>
        <w:tc>
          <w:tcPr>
            <w:tcW w:w="7560" w:type="dxa"/>
            <w:gridSpan w:val="2"/>
            <w:tcBorders>
              <w:top w:val="nil"/>
              <w:left w:val="nil"/>
              <w:bottom w:val="nil"/>
              <w:right w:val="nil"/>
            </w:tcBorders>
            <w:vAlign w:val="center"/>
          </w:tcPr>
          <w:p w14:paraId="594D16FF" w14:textId="77777777" w:rsidR="00152993" w:rsidRDefault="00152993" w:rsidP="002D3FCF">
            <w:pPr>
              <w:pStyle w:val="NormalArial"/>
            </w:pPr>
          </w:p>
        </w:tc>
      </w:tr>
      <w:tr w:rsidR="00152993" w14:paraId="0ACB4154" w14:textId="77777777">
        <w:trPr>
          <w:trHeight w:val="440"/>
        </w:trPr>
        <w:tc>
          <w:tcPr>
            <w:tcW w:w="10440" w:type="dxa"/>
            <w:gridSpan w:val="4"/>
            <w:tcBorders>
              <w:top w:val="single" w:sz="4" w:space="0" w:color="auto"/>
            </w:tcBorders>
            <w:shd w:val="clear" w:color="auto" w:fill="FFFFFF"/>
            <w:vAlign w:val="center"/>
          </w:tcPr>
          <w:p w14:paraId="04D56D35" w14:textId="77777777" w:rsidR="00152993" w:rsidRDefault="00152993" w:rsidP="002D3FCF">
            <w:pPr>
              <w:pStyle w:val="Header"/>
              <w:jc w:val="center"/>
            </w:pPr>
            <w:r>
              <w:t>Submitter’s Information</w:t>
            </w:r>
          </w:p>
        </w:tc>
      </w:tr>
      <w:tr w:rsidR="00152993" w14:paraId="17CF91FD" w14:textId="77777777">
        <w:trPr>
          <w:trHeight w:val="350"/>
        </w:trPr>
        <w:tc>
          <w:tcPr>
            <w:tcW w:w="2880" w:type="dxa"/>
            <w:gridSpan w:val="2"/>
            <w:shd w:val="clear" w:color="auto" w:fill="FFFFFF"/>
            <w:vAlign w:val="center"/>
          </w:tcPr>
          <w:p w14:paraId="3295FA66" w14:textId="77777777" w:rsidR="00152993" w:rsidRPr="00EC55B3" w:rsidRDefault="00152993" w:rsidP="002D3FCF">
            <w:pPr>
              <w:pStyle w:val="Header"/>
            </w:pPr>
            <w:r w:rsidRPr="00EC55B3">
              <w:t>Name</w:t>
            </w:r>
          </w:p>
        </w:tc>
        <w:tc>
          <w:tcPr>
            <w:tcW w:w="7560" w:type="dxa"/>
            <w:gridSpan w:val="2"/>
            <w:vAlign w:val="center"/>
          </w:tcPr>
          <w:p w14:paraId="3EB3EE73" w14:textId="5957540D" w:rsidR="00152993" w:rsidRDefault="006069D4" w:rsidP="002D3FCF">
            <w:pPr>
              <w:pStyle w:val="NormalArial"/>
            </w:pPr>
            <w:r>
              <w:t xml:space="preserve">Brooke </w:t>
            </w:r>
            <w:proofErr w:type="spellStart"/>
            <w:r>
              <w:t>Camet</w:t>
            </w:r>
            <w:proofErr w:type="spellEnd"/>
            <w:r>
              <w:t>, Katie Coleman, Mark Dreyfus, Nick Fehrenbach, Eric Goff, David Kee, Mark Smith</w:t>
            </w:r>
          </w:p>
        </w:tc>
      </w:tr>
      <w:tr w:rsidR="006069D4" w14:paraId="05DF06ED" w14:textId="77777777">
        <w:trPr>
          <w:trHeight w:val="350"/>
        </w:trPr>
        <w:tc>
          <w:tcPr>
            <w:tcW w:w="2880" w:type="dxa"/>
            <w:gridSpan w:val="2"/>
            <w:shd w:val="clear" w:color="auto" w:fill="FFFFFF"/>
            <w:vAlign w:val="center"/>
          </w:tcPr>
          <w:p w14:paraId="11205315" w14:textId="77777777" w:rsidR="006069D4" w:rsidRPr="00EC55B3" w:rsidRDefault="006069D4" w:rsidP="006069D4">
            <w:pPr>
              <w:pStyle w:val="Header"/>
            </w:pPr>
            <w:r w:rsidRPr="00EC55B3">
              <w:t>E-mail Address</w:t>
            </w:r>
          </w:p>
        </w:tc>
        <w:tc>
          <w:tcPr>
            <w:tcW w:w="7560" w:type="dxa"/>
            <w:gridSpan w:val="2"/>
            <w:vAlign w:val="center"/>
          </w:tcPr>
          <w:p w14:paraId="201FFAA3" w14:textId="7BA03722" w:rsidR="006069D4" w:rsidRDefault="006069D4" w:rsidP="006069D4">
            <w:pPr>
              <w:pStyle w:val="NormalArial"/>
            </w:pPr>
            <w:hyperlink r:id="rId9" w:history="1">
              <w:r w:rsidRPr="00FB6CF3">
                <w:rPr>
                  <w:rStyle w:val="Hyperlink"/>
                </w:rPr>
                <w:t>eric@ericwintersgoff.com</w:t>
              </w:r>
            </w:hyperlink>
          </w:p>
        </w:tc>
      </w:tr>
      <w:tr w:rsidR="006069D4" w14:paraId="6F81D7CD" w14:textId="77777777">
        <w:trPr>
          <w:trHeight w:val="350"/>
        </w:trPr>
        <w:tc>
          <w:tcPr>
            <w:tcW w:w="2880" w:type="dxa"/>
            <w:gridSpan w:val="2"/>
            <w:shd w:val="clear" w:color="auto" w:fill="FFFFFF"/>
            <w:vAlign w:val="center"/>
          </w:tcPr>
          <w:p w14:paraId="58195F0E" w14:textId="77777777" w:rsidR="006069D4" w:rsidRPr="00EC55B3" w:rsidRDefault="006069D4" w:rsidP="006069D4">
            <w:pPr>
              <w:pStyle w:val="Header"/>
            </w:pPr>
            <w:r w:rsidRPr="00EC55B3">
              <w:t>Company</w:t>
            </w:r>
          </w:p>
        </w:tc>
        <w:tc>
          <w:tcPr>
            <w:tcW w:w="7560" w:type="dxa"/>
            <w:gridSpan w:val="2"/>
            <w:vAlign w:val="center"/>
          </w:tcPr>
          <w:p w14:paraId="60607553" w14:textId="70615BBD" w:rsidR="006069D4" w:rsidRDefault="006069D4" w:rsidP="006069D4">
            <w:pPr>
              <w:pStyle w:val="NormalArial"/>
            </w:pPr>
            <w:r>
              <w:t>Office of Public Utility Counsel, Texas Industrial Energy Consumers, City of Eastland, City of Dallas, Residential Consumer, CPS Energy, ERCOT Steel Mills</w:t>
            </w:r>
            <w:r>
              <w:t xml:space="preserve"> (Joint Commenters)</w:t>
            </w:r>
          </w:p>
        </w:tc>
      </w:tr>
      <w:tr w:rsidR="006069D4" w14:paraId="55A3151B" w14:textId="77777777">
        <w:trPr>
          <w:trHeight w:val="350"/>
        </w:trPr>
        <w:tc>
          <w:tcPr>
            <w:tcW w:w="2880" w:type="dxa"/>
            <w:gridSpan w:val="2"/>
            <w:tcBorders>
              <w:bottom w:val="single" w:sz="4" w:space="0" w:color="auto"/>
            </w:tcBorders>
            <w:shd w:val="clear" w:color="auto" w:fill="FFFFFF"/>
            <w:vAlign w:val="center"/>
          </w:tcPr>
          <w:p w14:paraId="6340CDD4" w14:textId="77777777" w:rsidR="006069D4" w:rsidRPr="00EC55B3" w:rsidRDefault="006069D4" w:rsidP="006069D4">
            <w:pPr>
              <w:pStyle w:val="Header"/>
            </w:pPr>
            <w:r w:rsidRPr="00EC55B3">
              <w:t>Phone Number</w:t>
            </w:r>
          </w:p>
        </w:tc>
        <w:tc>
          <w:tcPr>
            <w:tcW w:w="7560" w:type="dxa"/>
            <w:gridSpan w:val="2"/>
            <w:tcBorders>
              <w:bottom w:val="single" w:sz="4" w:space="0" w:color="auto"/>
            </w:tcBorders>
            <w:vAlign w:val="center"/>
          </w:tcPr>
          <w:p w14:paraId="48252FAF" w14:textId="1050AF3E" w:rsidR="006069D4" w:rsidRDefault="006069D4" w:rsidP="006069D4">
            <w:pPr>
              <w:pStyle w:val="NormalArial"/>
            </w:pPr>
            <w:r w:rsidRPr="006069D4">
              <w:t>512-632-7013</w:t>
            </w:r>
            <w:r>
              <w:t xml:space="preserve"> (Eric Goff)</w:t>
            </w:r>
          </w:p>
        </w:tc>
      </w:tr>
      <w:tr w:rsidR="006069D4" w14:paraId="1FE16CFC" w14:textId="77777777">
        <w:trPr>
          <w:trHeight w:val="350"/>
        </w:trPr>
        <w:tc>
          <w:tcPr>
            <w:tcW w:w="2880" w:type="dxa"/>
            <w:gridSpan w:val="2"/>
            <w:shd w:val="clear" w:color="auto" w:fill="FFFFFF"/>
            <w:vAlign w:val="center"/>
          </w:tcPr>
          <w:p w14:paraId="6C6D800D" w14:textId="77777777" w:rsidR="006069D4" w:rsidRPr="00EC55B3" w:rsidRDefault="006069D4" w:rsidP="006069D4">
            <w:pPr>
              <w:pStyle w:val="Header"/>
            </w:pPr>
            <w:r>
              <w:t>Cell</w:t>
            </w:r>
            <w:r w:rsidRPr="00EC55B3">
              <w:t xml:space="preserve"> Number</w:t>
            </w:r>
          </w:p>
        </w:tc>
        <w:tc>
          <w:tcPr>
            <w:tcW w:w="7560" w:type="dxa"/>
            <w:gridSpan w:val="2"/>
            <w:vAlign w:val="center"/>
          </w:tcPr>
          <w:p w14:paraId="3FD66B5C" w14:textId="50ABCBC6" w:rsidR="006069D4" w:rsidRDefault="006069D4" w:rsidP="006069D4">
            <w:pPr>
              <w:pStyle w:val="NormalArial"/>
            </w:pPr>
          </w:p>
        </w:tc>
      </w:tr>
      <w:tr w:rsidR="006069D4" w14:paraId="7BE92552" w14:textId="77777777">
        <w:trPr>
          <w:trHeight w:val="350"/>
        </w:trPr>
        <w:tc>
          <w:tcPr>
            <w:tcW w:w="2880" w:type="dxa"/>
            <w:gridSpan w:val="2"/>
            <w:tcBorders>
              <w:bottom w:val="single" w:sz="4" w:space="0" w:color="auto"/>
            </w:tcBorders>
            <w:shd w:val="clear" w:color="auto" w:fill="FFFFFF"/>
            <w:vAlign w:val="center"/>
          </w:tcPr>
          <w:p w14:paraId="261EBABE" w14:textId="77777777" w:rsidR="006069D4" w:rsidRPr="00EC55B3" w:rsidDel="00075A94" w:rsidRDefault="006069D4" w:rsidP="006069D4">
            <w:pPr>
              <w:pStyle w:val="Header"/>
            </w:pPr>
            <w:r>
              <w:t>Market Segment</w:t>
            </w:r>
          </w:p>
        </w:tc>
        <w:tc>
          <w:tcPr>
            <w:tcW w:w="7560" w:type="dxa"/>
            <w:gridSpan w:val="2"/>
            <w:tcBorders>
              <w:bottom w:val="single" w:sz="4" w:space="0" w:color="auto"/>
            </w:tcBorders>
            <w:vAlign w:val="center"/>
          </w:tcPr>
          <w:p w14:paraId="03EED189" w14:textId="7535C01F" w:rsidR="006069D4" w:rsidRDefault="006069D4" w:rsidP="006069D4">
            <w:pPr>
              <w:pStyle w:val="NormalArial"/>
            </w:pPr>
            <w:r>
              <w:t>Consumer, Municipal</w:t>
            </w:r>
          </w:p>
        </w:tc>
      </w:tr>
    </w:tbl>
    <w:p w14:paraId="3A49AF9A" w14:textId="77777777" w:rsidR="00152993" w:rsidRDefault="00152993" w:rsidP="002D3FCF">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14051DA2" w14:textId="77777777" w:rsidTr="00B5080A">
        <w:trPr>
          <w:trHeight w:val="422"/>
          <w:jc w:val="center"/>
        </w:trPr>
        <w:tc>
          <w:tcPr>
            <w:tcW w:w="10440" w:type="dxa"/>
            <w:vAlign w:val="center"/>
          </w:tcPr>
          <w:p w14:paraId="087BE4CC" w14:textId="77777777" w:rsidR="00075A94" w:rsidRPr="00075A94" w:rsidRDefault="00075A94" w:rsidP="002D3FCF">
            <w:pPr>
              <w:pStyle w:val="Header"/>
              <w:jc w:val="center"/>
            </w:pPr>
            <w:r w:rsidRPr="00075A94">
              <w:t>Comments</w:t>
            </w:r>
          </w:p>
        </w:tc>
      </w:tr>
    </w:tbl>
    <w:p w14:paraId="24CB0F6D" w14:textId="2BD6DF75" w:rsidR="006069D4" w:rsidRDefault="006069D4" w:rsidP="006069D4">
      <w:pPr>
        <w:pStyle w:val="NormalArial"/>
        <w:spacing w:before="120" w:after="120"/>
        <w:jc w:val="both"/>
      </w:pPr>
      <w:r>
        <w:t xml:space="preserve">As discussed in further detail below, the Joint Consumers (and CPS Energy) have serious concerns about continuing to price </w:t>
      </w:r>
      <w:r>
        <w:t>Reliability Unit Commitment (</w:t>
      </w:r>
      <w:r>
        <w:t>RUC</w:t>
      </w:r>
      <w:r>
        <w:t>)</w:t>
      </w:r>
      <w:r>
        <w:t xml:space="preserve"> deployments at $1,500/MWh, given: (a) the </w:t>
      </w:r>
      <w:r>
        <w:t>Independent Market Monitor’s (</w:t>
      </w:r>
      <w:r>
        <w:t>IMM’s</w:t>
      </w:r>
      <w:r>
        <w:t>)</w:t>
      </w:r>
      <w:r>
        <w:t xml:space="preserve"> recommendations on this issue, (b) the increased ability for a unit owner to anticipate being </w:t>
      </w:r>
      <w:proofErr w:type="spellStart"/>
      <w:r>
        <w:t>RUC’ed</w:t>
      </w:r>
      <w:proofErr w:type="spellEnd"/>
      <w:r>
        <w:t xml:space="preserve"> under current operations, where substantial capacity is being routinely committed through RUC, (c) outdated voluntary mitigation plans (</w:t>
      </w:r>
      <w:r>
        <w:t>“</w:t>
      </w:r>
      <w:r>
        <w:t>VMPs</w:t>
      </w:r>
      <w:r>
        <w:t>”</w:t>
      </w:r>
      <w:r>
        <w:t xml:space="preserve">) that may allow unit owners to exercise market power in ways that were not intended at the time of adoption due to intervening market design changes, and, relatedly (d) more aggressive administrative pricing through the </w:t>
      </w:r>
      <w:r w:rsidRPr="006069D4">
        <w:t>Operating Reserve Demand Curve</w:t>
      </w:r>
      <w:r>
        <w:t xml:space="preserve"> (</w:t>
      </w:r>
      <w:r>
        <w:t>ORDC</w:t>
      </w:r>
      <w:r>
        <w:t>)</w:t>
      </w:r>
      <w:r>
        <w:t xml:space="preserve"> and the Reliability Deployment Price Adder</w:t>
      </w:r>
      <w:r>
        <w:t xml:space="preserve"> (“</w:t>
      </w:r>
      <w:r>
        <w:t>RDPA</w:t>
      </w:r>
      <w:r>
        <w:t>”)</w:t>
      </w:r>
      <w:r>
        <w:t xml:space="preserve"> that can be triggered by RUC.  Joint Consumers believe that under current practices, the RUC offer floor should be at a price where most units would self-commit, and not at a price that creates a penalty for the market when RUC units are deployed or unnecessarily withholds available capacity.  Joint Consumers are open to further discussion on the specific price point.  Other market design features may need to be revisited if current RUC practices continue, such as outdated VMPs and the practice of removing RUC capacity from the ORDC.    </w:t>
      </w:r>
    </w:p>
    <w:p w14:paraId="469E2698" w14:textId="77777777" w:rsidR="006069D4" w:rsidRPr="00E51971" w:rsidRDefault="006069D4" w:rsidP="006069D4">
      <w:pPr>
        <w:shd w:val="clear" w:color="auto" w:fill="FFFFFF"/>
        <w:spacing w:before="120" w:after="120"/>
        <w:rPr>
          <w:rFonts w:ascii="Arial" w:hAnsi="Arial" w:cs="Arial"/>
          <w:color w:val="222222"/>
          <w:u w:val="single"/>
        </w:rPr>
      </w:pPr>
      <w:r w:rsidRPr="00E51971">
        <w:rPr>
          <w:rFonts w:ascii="Arial" w:hAnsi="Arial" w:cs="Arial"/>
          <w:color w:val="222222"/>
          <w:u w:val="single"/>
        </w:rPr>
        <w:t>RUC Policy Background</w:t>
      </w:r>
    </w:p>
    <w:p w14:paraId="61A85D1B" w14:textId="4A7C39D3" w:rsidR="006069D4" w:rsidRPr="006069D4" w:rsidRDefault="006069D4" w:rsidP="006069D4">
      <w:pPr>
        <w:numPr>
          <w:ilvl w:val="1"/>
          <w:numId w:val="6"/>
        </w:numPr>
        <w:shd w:val="clear" w:color="auto" w:fill="FFFFFF"/>
        <w:spacing w:before="120" w:after="120"/>
        <w:ind w:left="360"/>
        <w:jc w:val="both"/>
        <w:rPr>
          <w:rFonts w:ascii="Arial" w:hAnsi="Arial" w:cs="Arial"/>
          <w:color w:val="222222"/>
        </w:rPr>
      </w:pPr>
      <w:r w:rsidRPr="000B39D3">
        <w:rPr>
          <w:rFonts w:ascii="Arial" w:hAnsi="Arial" w:cs="Arial"/>
          <w:color w:val="222222"/>
        </w:rPr>
        <w:t xml:space="preserve">Consumers and </w:t>
      </w:r>
      <w:r>
        <w:rPr>
          <w:rFonts w:ascii="Arial" w:hAnsi="Arial" w:cs="Arial"/>
          <w:color w:val="222222"/>
        </w:rPr>
        <w:t>Retail Electric Providers (</w:t>
      </w:r>
      <w:r w:rsidRPr="000B39D3">
        <w:rPr>
          <w:rFonts w:ascii="Arial" w:hAnsi="Arial" w:cs="Arial"/>
          <w:color w:val="222222"/>
        </w:rPr>
        <w:t>REPs</w:t>
      </w:r>
      <w:r>
        <w:rPr>
          <w:rFonts w:ascii="Arial" w:hAnsi="Arial" w:cs="Arial"/>
          <w:color w:val="222222"/>
        </w:rPr>
        <w:t>)</w:t>
      </w:r>
      <w:r w:rsidRPr="000B39D3">
        <w:rPr>
          <w:rFonts w:ascii="Arial" w:hAnsi="Arial" w:cs="Arial"/>
          <w:color w:val="222222"/>
        </w:rPr>
        <w:t xml:space="preserve"> worked closely on the RUC market design during </w:t>
      </w:r>
      <w:r>
        <w:rPr>
          <w:rFonts w:ascii="Arial" w:hAnsi="Arial" w:cs="Arial"/>
          <w:color w:val="222222"/>
        </w:rPr>
        <w:t>N</w:t>
      </w:r>
      <w:r>
        <w:rPr>
          <w:rFonts w:ascii="Arial" w:hAnsi="Arial" w:cs="Arial"/>
          <w:color w:val="222222"/>
        </w:rPr>
        <w:t>odal implementation to assure proper incentive alignment with market objectives</w:t>
      </w:r>
      <w:r w:rsidRPr="000B39D3">
        <w:rPr>
          <w:rFonts w:ascii="Arial" w:hAnsi="Arial" w:cs="Arial"/>
          <w:color w:val="222222"/>
        </w:rPr>
        <w:t xml:space="preserve">. </w:t>
      </w:r>
    </w:p>
    <w:p w14:paraId="1308BCE3" w14:textId="0BD5D52D" w:rsidR="006069D4" w:rsidRDefault="006069D4" w:rsidP="006069D4">
      <w:pPr>
        <w:numPr>
          <w:ilvl w:val="1"/>
          <w:numId w:val="6"/>
        </w:numPr>
        <w:shd w:val="clear" w:color="auto" w:fill="FFFFFF"/>
        <w:spacing w:before="120" w:after="120"/>
        <w:ind w:left="360"/>
        <w:jc w:val="both"/>
        <w:rPr>
          <w:rFonts w:ascii="Arial" w:hAnsi="Arial" w:cs="Arial"/>
          <w:color w:val="222222"/>
        </w:rPr>
      </w:pPr>
      <w:r>
        <w:rPr>
          <w:rFonts w:ascii="Arial" w:hAnsi="Arial" w:cs="Arial"/>
          <w:color w:val="222222"/>
        </w:rPr>
        <w:t>RUC</w:t>
      </w:r>
      <w:r w:rsidRPr="000B39D3">
        <w:rPr>
          <w:rFonts w:ascii="Arial" w:hAnsi="Arial" w:cs="Arial"/>
          <w:color w:val="222222"/>
        </w:rPr>
        <w:t xml:space="preserve"> allows ERCOT to secure </w:t>
      </w:r>
      <w:r>
        <w:rPr>
          <w:rFonts w:ascii="Arial" w:hAnsi="Arial" w:cs="Arial"/>
          <w:color w:val="222222"/>
        </w:rPr>
        <w:t>additional</w:t>
      </w:r>
      <w:r w:rsidRPr="000B39D3">
        <w:rPr>
          <w:rFonts w:ascii="Arial" w:hAnsi="Arial" w:cs="Arial"/>
          <w:color w:val="222222"/>
        </w:rPr>
        <w:t xml:space="preserve"> capacity </w:t>
      </w:r>
      <w:r>
        <w:rPr>
          <w:rFonts w:ascii="Arial" w:hAnsi="Arial" w:cs="Arial"/>
          <w:color w:val="222222"/>
        </w:rPr>
        <w:t>if Current Operating Plans</w:t>
      </w:r>
      <w:r>
        <w:rPr>
          <w:rFonts w:ascii="Arial" w:hAnsi="Arial" w:cs="Arial"/>
          <w:color w:val="222222"/>
        </w:rPr>
        <w:t xml:space="preserve"> (COPs)</w:t>
      </w:r>
      <w:r>
        <w:rPr>
          <w:rFonts w:ascii="Arial" w:hAnsi="Arial" w:cs="Arial"/>
          <w:color w:val="222222"/>
        </w:rPr>
        <w:t xml:space="preserve"> submitted by generators are insufficient.  The RUC</w:t>
      </w:r>
      <w:r w:rsidRPr="000B39D3">
        <w:rPr>
          <w:rFonts w:ascii="Arial" w:hAnsi="Arial" w:cs="Arial"/>
          <w:color w:val="222222"/>
        </w:rPr>
        <w:t xml:space="preserve"> </w:t>
      </w:r>
      <w:r>
        <w:rPr>
          <w:rFonts w:ascii="Arial" w:hAnsi="Arial" w:cs="Arial"/>
          <w:color w:val="222222"/>
        </w:rPr>
        <w:t xml:space="preserve">design </w:t>
      </w:r>
      <w:r w:rsidRPr="000B39D3">
        <w:rPr>
          <w:rFonts w:ascii="Arial" w:hAnsi="Arial" w:cs="Arial"/>
          <w:color w:val="222222"/>
        </w:rPr>
        <w:t xml:space="preserve">tries to </w:t>
      </w:r>
      <w:r>
        <w:rPr>
          <w:rFonts w:ascii="Arial" w:hAnsi="Arial" w:cs="Arial"/>
          <w:color w:val="222222"/>
        </w:rPr>
        <w:t xml:space="preserve">efficiently </w:t>
      </w:r>
      <w:r w:rsidRPr="000B39D3">
        <w:rPr>
          <w:rFonts w:ascii="Arial" w:hAnsi="Arial" w:cs="Arial"/>
          <w:color w:val="222222"/>
        </w:rPr>
        <w:lastRenderedPageBreak/>
        <w:t xml:space="preserve">minimize generator commitment </w:t>
      </w:r>
      <w:r>
        <w:rPr>
          <w:rFonts w:ascii="Arial" w:hAnsi="Arial" w:cs="Arial"/>
          <w:color w:val="222222"/>
        </w:rPr>
        <w:t xml:space="preserve">while meeting system needs.  The RUC design </w:t>
      </w:r>
      <w:r w:rsidRPr="000B39D3">
        <w:rPr>
          <w:rFonts w:ascii="Arial" w:hAnsi="Arial" w:cs="Arial"/>
          <w:color w:val="222222"/>
        </w:rPr>
        <w:t>guarantee</w:t>
      </w:r>
      <w:r>
        <w:rPr>
          <w:rFonts w:ascii="Arial" w:hAnsi="Arial" w:cs="Arial"/>
          <w:color w:val="222222"/>
        </w:rPr>
        <w:t>s</w:t>
      </w:r>
      <w:r w:rsidRPr="000B39D3">
        <w:rPr>
          <w:rFonts w:ascii="Arial" w:hAnsi="Arial" w:cs="Arial"/>
          <w:color w:val="222222"/>
        </w:rPr>
        <w:t xml:space="preserve"> that generators can recover</w:t>
      </w:r>
      <w:r>
        <w:rPr>
          <w:rFonts w:ascii="Arial" w:hAnsi="Arial" w:cs="Arial"/>
          <w:color w:val="222222"/>
        </w:rPr>
        <w:t xml:space="preserve"> their costs</w:t>
      </w:r>
      <w:r w:rsidRPr="000B39D3">
        <w:rPr>
          <w:rFonts w:ascii="Arial" w:hAnsi="Arial" w:cs="Arial"/>
          <w:color w:val="222222"/>
        </w:rPr>
        <w:t xml:space="preserve">, encourages them to participate in </w:t>
      </w:r>
      <w:r>
        <w:rPr>
          <w:rFonts w:ascii="Arial" w:hAnsi="Arial" w:cs="Arial"/>
          <w:color w:val="222222"/>
        </w:rPr>
        <w:t>D</w:t>
      </w:r>
      <w:r w:rsidRPr="000B39D3">
        <w:rPr>
          <w:rFonts w:ascii="Arial" w:hAnsi="Arial" w:cs="Arial"/>
          <w:color w:val="222222"/>
        </w:rPr>
        <w:t>ay-</w:t>
      </w:r>
      <w:r>
        <w:rPr>
          <w:rFonts w:ascii="Arial" w:hAnsi="Arial" w:cs="Arial"/>
          <w:color w:val="222222"/>
        </w:rPr>
        <w:t>A</w:t>
      </w:r>
      <w:r w:rsidRPr="000B39D3">
        <w:rPr>
          <w:rFonts w:ascii="Arial" w:hAnsi="Arial" w:cs="Arial"/>
          <w:color w:val="222222"/>
        </w:rPr>
        <w:t xml:space="preserve">head planning via </w:t>
      </w:r>
      <w:r>
        <w:rPr>
          <w:rFonts w:ascii="Arial" w:hAnsi="Arial" w:cs="Arial"/>
          <w:color w:val="222222"/>
        </w:rPr>
        <w:t>Day-Ahead Market (</w:t>
      </w:r>
      <w:r w:rsidRPr="000B39D3">
        <w:rPr>
          <w:rFonts w:ascii="Arial" w:hAnsi="Arial" w:cs="Arial"/>
          <w:color w:val="222222"/>
        </w:rPr>
        <w:t>DAM</w:t>
      </w:r>
      <w:r>
        <w:rPr>
          <w:rFonts w:ascii="Arial" w:hAnsi="Arial" w:cs="Arial"/>
          <w:color w:val="222222"/>
        </w:rPr>
        <w:t>)</w:t>
      </w:r>
      <w:r w:rsidRPr="000B39D3">
        <w:rPr>
          <w:rFonts w:ascii="Arial" w:hAnsi="Arial" w:cs="Arial"/>
          <w:color w:val="222222"/>
        </w:rPr>
        <w:t xml:space="preserve"> submissions</w:t>
      </w:r>
      <w:r>
        <w:rPr>
          <w:rFonts w:ascii="Arial" w:hAnsi="Arial" w:cs="Arial"/>
          <w:color w:val="222222"/>
        </w:rPr>
        <w:t>, and encourages them in Real</w:t>
      </w:r>
      <w:r>
        <w:rPr>
          <w:rFonts w:ascii="Arial" w:hAnsi="Arial" w:cs="Arial"/>
          <w:color w:val="222222"/>
        </w:rPr>
        <w:t>-</w:t>
      </w:r>
      <w:r>
        <w:rPr>
          <w:rFonts w:ascii="Arial" w:hAnsi="Arial" w:cs="Arial"/>
          <w:color w:val="222222"/>
        </w:rPr>
        <w:t>Time to accurately show their plans in the COP</w:t>
      </w:r>
      <w:r w:rsidRPr="000B39D3">
        <w:rPr>
          <w:rFonts w:ascii="Arial" w:hAnsi="Arial" w:cs="Arial"/>
          <w:color w:val="222222"/>
        </w:rPr>
        <w:t xml:space="preserve">. </w:t>
      </w:r>
    </w:p>
    <w:p w14:paraId="2B3FDB5F" w14:textId="0C32DB98" w:rsidR="006069D4" w:rsidRPr="006069D4" w:rsidRDefault="006069D4" w:rsidP="006069D4">
      <w:pPr>
        <w:numPr>
          <w:ilvl w:val="1"/>
          <w:numId w:val="6"/>
        </w:numPr>
        <w:shd w:val="clear" w:color="auto" w:fill="FFFFFF"/>
        <w:spacing w:before="120" w:after="120"/>
        <w:ind w:left="360"/>
        <w:jc w:val="both"/>
        <w:rPr>
          <w:rFonts w:ascii="Arial" w:hAnsi="Arial" w:cs="Arial"/>
          <w:color w:val="222222"/>
        </w:rPr>
      </w:pPr>
      <w:r>
        <w:rPr>
          <w:rFonts w:ascii="Arial" w:hAnsi="Arial" w:cs="Arial"/>
          <w:color w:val="222222"/>
        </w:rPr>
        <w:t>The RUC “</w:t>
      </w:r>
      <w:proofErr w:type="spellStart"/>
      <w:r w:rsidRPr="000B39D3">
        <w:rPr>
          <w:rFonts w:ascii="Arial" w:hAnsi="Arial" w:cs="Arial"/>
          <w:color w:val="222222"/>
        </w:rPr>
        <w:t>clawback</w:t>
      </w:r>
      <w:proofErr w:type="spellEnd"/>
      <w:r>
        <w:rPr>
          <w:rFonts w:ascii="Arial" w:hAnsi="Arial" w:cs="Arial"/>
          <w:color w:val="222222"/>
        </w:rPr>
        <w:t>”</w:t>
      </w:r>
      <w:r w:rsidRPr="000B39D3">
        <w:rPr>
          <w:rFonts w:ascii="Arial" w:hAnsi="Arial" w:cs="Arial"/>
          <w:color w:val="222222"/>
        </w:rPr>
        <w:t xml:space="preserve"> </w:t>
      </w:r>
      <w:r>
        <w:rPr>
          <w:rFonts w:ascii="Arial" w:hAnsi="Arial" w:cs="Arial"/>
          <w:color w:val="222222"/>
        </w:rPr>
        <w:t xml:space="preserve">removes some or all </w:t>
      </w:r>
      <w:r w:rsidRPr="000B39D3">
        <w:rPr>
          <w:rFonts w:ascii="Arial" w:hAnsi="Arial" w:cs="Arial"/>
          <w:color w:val="222222"/>
        </w:rPr>
        <w:t>revenue</w:t>
      </w:r>
      <w:r>
        <w:rPr>
          <w:rFonts w:ascii="Arial" w:hAnsi="Arial" w:cs="Arial"/>
          <w:color w:val="222222"/>
        </w:rPr>
        <w:t>s</w:t>
      </w:r>
      <w:r w:rsidRPr="000B39D3">
        <w:rPr>
          <w:rFonts w:ascii="Arial" w:hAnsi="Arial" w:cs="Arial"/>
          <w:color w:val="222222"/>
        </w:rPr>
        <w:t xml:space="preserve"> above </w:t>
      </w:r>
      <w:r>
        <w:rPr>
          <w:rFonts w:ascii="Arial" w:hAnsi="Arial" w:cs="Arial"/>
          <w:color w:val="222222"/>
        </w:rPr>
        <w:t>verified</w:t>
      </w:r>
      <w:r w:rsidRPr="000B39D3">
        <w:rPr>
          <w:rFonts w:ascii="Arial" w:hAnsi="Arial" w:cs="Arial"/>
          <w:color w:val="222222"/>
        </w:rPr>
        <w:t xml:space="preserve"> costs</w:t>
      </w:r>
      <w:r>
        <w:rPr>
          <w:rFonts w:ascii="Arial" w:hAnsi="Arial" w:cs="Arial"/>
          <w:color w:val="222222"/>
        </w:rPr>
        <w:t xml:space="preserve">.  This was </w:t>
      </w:r>
      <w:r w:rsidRPr="000B39D3">
        <w:rPr>
          <w:rFonts w:ascii="Arial" w:hAnsi="Arial" w:cs="Arial"/>
          <w:color w:val="222222"/>
        </w:rPr>
        <w:t xml:space="preserve">not </w:t>
      </w:r>
      <w:r>
        <w:rPr>
          <w:rFonts w:ascii="Arial" w:hAnsi="Arial" w:cs="Arial"/>
          <w:color w:val="222222"/>
        </w:rPr>
        <w:t xml:space="preserve">meant </w:t>
      </w:r>
      <w:r w:rsidRPr="000B39D3">
        <w:rPr>
          <w:rFonts w:ascii="Arial" w:hAnsi="Arial" w:cs="Arial"/>
          <w:color w:val="222222"/>
        </w:rPr>
        <w:t xml:space="preserve">as a penalty, but as an incentive </w:t>
      </w:r>
      <w:r>
        <w:rPr>
          <w:rFonts w:ascii="Arial" w:hAnsi="Arial" w:cs="Arial"/>
          <w:color w:val="222222"/>
        </w:rPr>
        <w:t xml:space="preserve">for generators </w:t>
      </w:r>
      <w:r w:rsidRPr="000B39D3">
        <w:rPr>
          <w:rFonts w:ascii="Arial" w:hAnsi="Arial" w:cs="Arial"/>
          <w:color w:val="222222"/>
        </w:rPr>
        <w:t xml:space="preserve">to self-commit </w:t>
      </w:r>
      <w:r>
        <w:rPr>
          <w:rFonts w:ascii="Arial" w:hAnsi="Arial" w:cs="Arial"/>
          <w:color w:val="222222"/>
        </w:rPr>
        <w:t>to minimize the use of RUC</w:t>
      </w:r>
      <w:r w:rsidRPr="000B39D3">
        <w:rPr>
          <w:rFonts w:ascii="Arial" w:hAnsi="Arial" w:cs="Arial"/>
          <w:color w:val="222222"/>
        </w:rPr>
        <w:t xml:space="preserve">. </w:t>
      </w:r>
      <w:r>
        <w:rPr>
          <w:rFonts w:ascii="Arial" w:hAnsi="Arial" w:cs="Arial"/>
          <w:color w:val="222222"/>
        </w:rPr>
        <w:t xml:space="preserve"> </w:t>
      </w:r>
      <w:r w:rsidRPr="000B39D3">
        <w:rPr>
          <w:rFonts w:ascii="Arial" w:hAnsi="Arial" w:cs="Arial"/>
          <w:color w:val="222222"/>
        </w:rPr>
        <w:t xml:space="preserve">Similarly, the costs of RUC are first assigned to </w:t>
      </w:r>
      <w:r>
        <w:rPr>
          <w:rFonts w:ascii="Arial" w:hAnsi="Arial" w:cs="Arial"/>
          <w:color w:val="222222"/>
        </w:rPr>
        <w:t>L</w:t>
      </w:r>
      <w:r w:rsidRPr="000B39D3">
        <w:rPr>
          <w:rFonts w:ascii="Arial" w:hAnsi="Arial" w:cs="Arial"/>
          <w:color w:val="222222"/>
        </w:rPr>
        <w:t xml:space="preserve">oads that bring </w:t>
      </w:r>
      <w:r>
        <w:rPr>
          <w:rFonts w:ascii="Arial" w:hAnsi="Arial" w:cs="Arial"/>
          <w:color w:val="222222"/>
        </w:rPr>
        <w:t xml:space="preserve">insufficient </w:t>
      </w:r>
      <w:r w:rsidRPr="000B39D3">
        <w:rPr>
          <w:rFonts w:ascii="Arial" w:hAnsi="Arial" w:cs="Arial"/>
          <w:color w:val="222222"/>
        </w:rPr>
        <w:t>capacity to the market (</w:t>
      </w:r>
      <w:r>
        <w:rPr>
          <w:rFonts w:ascii="Arial" w:hAnsi="Arial" w:cs="Arial"/>
          <w:color w:val="222222"/>
        </w:rPr>
        <w:t xml:space="preserve">called “capacity shorts,” </w:t>
      </w:r>
      <w:r w:rsidRPr="000B39D3">
        <w:rPr>
          <w:rFonts w:ascii="Arial" w:hAnsi="Arial" w:cs="Arial"/>
          <w:color w:val="222222"/>
        </w:rPr>
        <w:t xml:space="preserve">using installed capacity for dispatchable generation and wind/solar forecast for renewables) before any excess costs </w:t>
      </w:r>
      <w:r>
        <w:rPr>
          <w:rFonts w:ascii="Arial" w:hAnsi="Arial" w:cs="Arial"/>
          <w:color w:val="222222"/>
        </w:rPr>
        <w:t>are uplifted to all</w:t>
      </w:r>
      <w:r w:rsidRPr="000B39D3">
        <w:rPr>
          <w:rFonts w:ascii="Arial" w:hAnsi="Arial" w:cs="Arial"/>
          <w:color w:val="222222"/>
        </w:rPr>
        <w:t xml:space="preserve"> loads on a </w:t>
      </w:r>
      <w:r>
        <w:rPr>
          <w:rFonts w:ascii="Arial" w:hAnsi="Arial" w:cs="Arial"/>
          <w:color w:val="222222"/>
        </w:rPr>
        <w:t>L</w:t>
      </w:r>
      <w:r w:rsidRPr="000B39D3">
        <w:rPr>
          <w:rFonts w:ascii="Arial" w:hAnsi="Arial" w:cs="Arial"/>
          <w:color w:val="222222"/>
        </w:rPr>
        <w:t xml:space="preserve">oad </w:t>
      </w:r>
      <w:r>
        <w:rPr>
          <w:rFonts w:ascii="Arial" w:hAnsi="Arial" w:cs="Arial"/>
          <w:color w:val="222222"/>
        </w:rPr>
        <w:t>R</w:t>
      </w:r>
      <w:r w:rsidRPr="000B39D3">
        <w:rPr>
          <w:rFonts w:ascii="Arial" w:hAnsi="Arial" w:cs="Arial"/>
          <w:color w:val="222222"/>
        </w:rPr>
        <w:t xml:space="preserve">atio </w:t>
      </w:r>
      <w:r>
        <w:rPr>
          <w:rFonts w:ascii="Arial" w:hAnsi="Arial" w:cs="Arial"/>
          <w:color w:val="222222"/>
        </w:rPr>
        <w:t>S</w:t>
      </w:r>
      <w:r w:rsidRPr="000B39D3">
        <w:rPr>
          <w:rFonts w:ascii="Arial" w:hAnsi="Arial" w:cs="Arial"/>
          <w:color w:val="222222"/>
        </w:rPr>
        <w:t>hare</w:t>
      </w:r>
      <w:r>
        <w:rPr>
          <w:rFonts w:ascii="Arial" w:hAnsi="Arial" w:cs="Arial"/>
          <w:color w:val="222222"/>
        </w:rPr>
        <w:t xml:space="preserve"> (LRS)</w:t>
      </w:r>
      <w:r w:rsidRPr="000B39D3">
        <w:rPr>
          <w:rFonts w:ascii="Arial" w:hAnsi="Arial" w:cs="Arial"/>
          <w:color w:val="222222"/>
        </w:rPr>
        <w:t>.</w:t>
      </w:r>
      <w:r>
        <w:rPr>
          <w:rFonts w:ascii="Arial" w:hAnsi="Arial" w:cs="Arial"/>
          <w:color w:val="222222"/>
        </w:rPr>
        <w:t xml:space="preserve"> </w:t>
      </w:r>
    </w:p>
    <w:p w14:paraId="736134E8" w14:textId="49DDB895" w:rsidR="006069D4" w:rsidRPr="006069D4" w:rsidRDefault="006069D4" w:rsidP="006069D4">
      <w:pPr>
        <w:numPr>
          <w:ilvl w:val="1"/>
          <w:numId w:val="6"/>
        </w:numPr>
        <w:shd w:val="clear" w:color="auto" w:fill="FFFFFF"/>
        <w:spacing w:before="120" w:after="120"/>
        <w:ind w:left="360"/>
        <w:jc w:val="both"/>
        <w:rPr>
          <w:rFonts w:ascii="Arial" w:hAnsi="Arial" w:cs="Arial"/>
          <w:color w:val="222222"/>
        </w:rPr>
      </w:pPr>
      <w:r w:rsidRPr="00FE4C0C">
        <w:rPr>
          <w:rFonts w:ascii="Arial" w:hAnsi="Arial" w:cs="Arial"/>
          <w:color w:val="222222"/>
        </w:rPr>
        <w:t xml:space="preserve">The RUC process was originally designed to provide a strong incentive for generators to commit their Resources, thereby avoiding having a “power pool” function, defined as an avoided scenario where ERCOT would </w:t>
      </w:r>
      <w:r>
        <w:rPr>
          <w:rFonts w:ascii="Arial" w:hAnsi="Arial" w:cs="Arial"/>
          <w:color w:val="222222"/>
        </w:rPr>
        <w:t xml:space="preserve">make </w:t>
      </w:r>
      <w:r w:rsidRPr="00FE4C0C">
        <w:rPr>
          <w:rFonts w:ascii="Arial" w:hAnsi="Arial" w:cs="Arial"/>
          <w:color w:val="222222"/>
        </w:rPr>
        <w:t xml:space="preserve">commitment decisions and take on commitment risk on behalf of Consumers instead of each generator taking on commitment risk on their own.  However, the process let ERCOT have the final say if the market failed to provide sufficient capacity. </w:t>
      </w:r>
    </w:p>
    <w:p w14:paraId="362E127D" w14:textId="0F801DB0" w:rsidR="006069D4" w:rsidRPr="00383D7C" w:rsidRDefault="006069D4" w:rsidP="00383D7C">
      <w:pPr>
        <w:numPr>
          <w:ilvl w:val="1"/>
          <w:numId w:val="6"/>
        </w:numPr>
        <w:shd w:val="clear" w:color="auto" w:fill="FFFFFF"/>
        <w:spacing w:before="120" w:after="120"/>
        <w:ind w:left="360"/>
        <w:jc w:val="both"/>
        <w:rPr>
          <w:rFonts w:ascii="Arial" w:hAnsi="Arial" w:cs="Arial"/>
          <w:color w:val="222222"/>
        </w:rPr>
      </w:pPr>
      <w:r w:rsidRPr="00FE4C0C">
        <w:rPr>
          <w:rFonts w:ascii="Arial" w:hAnsi="Arial" w:cs="Arial"/>
          <w:color w:val="222222"/>
        </w:rPr>
        <w:t xml:space="preserve">Before </w:t>
      </w:r>
      <w:r>
        <w:rPr>
          <w:rFonts w:ascii="Arial" w:hAnsi="Arial" w:cs="Arial"/>
          <w:color w:val="222222"/>
        </w:rPr>
        <w:t>N</w:t>
      </w:r>
      <w:r w:rsidRPr="00FE4C0C">
        <w:rPr>
          <w:rFonts w:ascii="Arial" w:hAnsi="Arial" w:cs="Arial"/>
          <w:color w:val="222222"/>
        </w:rPr>
        <w:t>odal implementation in 2010, stakeholders and ERCOT worked on Protocol language to modify RUC commitment, resulting in NPRR207,</w:t>
      </w:r>
      <w:r w:rsidR="00383D7C" w:rsidRPr="00383D7C">
        <w:t xml:space="preserve"> </w:t>
      </w:r>
      <w:r w:rsidR="00383D7C" w:rsidRPr="00383D7C">
        <w:rPr>
          <w:rFonts w:ascii="Arial" w:hAnsi="Arial" w:cs="Arial"/>
          <w:color w:val="222222"/>
        </w:rPr>
        <w:t>Unit Deselection</w:t>
      </w:r>
      <w:r w:rsidR="00383D7C">
        <w:rPr>
          <w:rFonts w:ascii="Arial" w:hAnsi="Arial" w:cs="Arial"/>
          <w:color w:val="222222"/>
        </w:rPr>
        <w:t>,</w:t>
      </w:r>
      <w:r w:rsidRPr="00FE4C0C">
        <w:rPr>
          <w:rFonts w:ascii="Arial" w:hAnsi="Arial" w:cs="Arial"/>
          <w:color w:val="222222"/>
        </w:rPr>
        <w:t xml:space="preserve"> which encouraged ERCOT to delay RUC instructions to give generators more time to self-commit their Resources. </w:t>
      </w:r>
      <w:r w:rsidR="00383D7C">
        <w:rPr>
          <w:rFonts w:ascii="Arial" w:hAnsi="Arial" w:cs="Arial"/>
          <w:color w:val="222222"/>
        </w:rPr>
        <w:t xml:space="preserve"> </w:t>
      </w:r>
      <w:r w:rsidRPr="00FE4C0C">
        <w:rPr>
          <w:rFonts w:ascii="Arial" w:hAnsi="Arial" w:cs="Arial"/>
          <w:color w:val="222222"/>
        </w:rPr>
        <w:t xml:space="preserve">Shifting commitments earlier in the day may give ERCOT </w:t>
      </w:r>
      <w:r w:rsidR="00383D7C">
        <w:rPr>
          <w:rFonts w:ascii="Arial" w:hAnsi="Arial" w:cs="Arial"/>
          <w:color w:val="222222"/>
        </w:rPr>
        <w:t>O</w:t>
      </w:r>
      <w:r w:rsidRPr="00FE4C0C">
        <w:rPr>
          <w:rFonts w:ascii="Arial" w:hAnsi="Arial" w:cs="Arial"/>
          <w:color w:val="222222"/>
        </w:rPr>
        <w:t>perators more confidence</w:t>
      </w:r>
      <w:r>
        <w:rPr>
          <w:rFonts w:ascii="Arial" w:hAnsi="Arial" w:cs="Arial"/>
          <w:color w:val="222222"/>
        </w:rPr>
        <w:t>,</w:t>
      </w:r>
      <w:r w:rsidRPr="00FE4C0C">
        <w:rPr>
          <w:rFonts w:ascii="Arial" w:hAnsi="Arial" w:cs="Arial"/>
          <w:color w:val="222222"/>
        </w:rPr>
        <w:t xml:space="preserve"> but deferring commitment decisions based on generator startup time gives generators more time to make market-based commitment decisions based on up-to-date information.</w:t>
      </w:r>
    </w:p>
    <w:p w14:paraId="201B37D2" w14:textId="0C326DA7" w:rsidR="006069D4" w:rsidRPr="00383D7C" w:rsidRDefault="006069D4" w:rsidP="00383D7C">
      <w:pPr>
        <w:numPr>
          <w:ilvl w:val="1"/>
          <w:numId w:val="6"/>
        </w:numPr>
        <w:shd w:val="clear" w:color="auto" w:fill="FFFFFF"/>
        <w:spacing w:before="120" w:after="120"/>
        <w:ind w:left="360"/>
        <w:jc w:val="both"/>
        <w:rPr>
          <w:rFonts w:ascii="Arial" w:hAnsi="Arial" w:cs="Arial"/>
          <w:color w:val="222222"/>
        </w:rPr>
      </w:pPr>
      <w:r w:rsidRPr="000B39D3">
        <w:rPr>
          <w:rFonts w:ascii="Arial" w:hAnsi="Arial" w:cs="Arial"/>
          <w:color w:val="222222"/>
        </w:rPr>
        <w:t xml:space="preserve">In 2011 and 2012, generators </w:t>
      </w:r>
      <w:r>
        <w:rPr>
          <w:rFonts w:ascii="Arial" w:hAnsi="Arial" w:cs="Arial"/>
          <w:color w:val="222222"/>
        </w:rPr>
        <w:t>proposed</w:t>
      </w:r>
      <w:r w:rsidRPr="000B39D3">
        <w:rPr>
          <w:rFonts w:ascii="Arial" w:hAnsi="Arial" w:cs="Arial"/>
          <w:color w:val="222222"/>
        </w:rPr>
        <w:t xml:space="preserve"> to remove RUC claw</w:t>
      </w:r>
      <w:r>
        <w:rPr>
          <w:rFonts w:ascii="Arial" w:hAnsi="Arial" w:cs="Arial"/>
          <w:color w:val="222222"/>
        </w:rPr>
        <w:t xml:space="preserve"> </w:t>
      </w:r>
      <w:r w:rsidRPr="000B39D3">
        <w:rPr>
          <w:rFonts w:ascii="Arial" w:hAnsi="Arial" w:cs="Arial"/>
          <w:color w:val="222222"/>
        </w:rPr>
        <w:t xml:space="preserve">backs, which would have removed the incentive to self-commit. </w:t>
      </w:r>
      <w:r w:rsidR="00383D7C">
        <w:rPr>
          <w:rFonts w:ascii="Arial" w:hAnsi="Arial" w:cs="Arial"/>
          <w:color w:val="222222"/>
        </w:rPr>
        <w:t xml:space="preserve"> </w:t>
      </w:r>
      <w:r w:rsidRPr="000B39D3">
        <w:rPr>
          <w:rFonts w:ascii="Arial" w:hAnsi="Arial" w:cs="Arial"/>
          <w:color w:val="222222"/>
        </w:rPr>
        <w:t>After months of debate, the opt</w:t>
      </w:r>
      <w:r>
        <w:rPr>
          <w:rFonts w:ascii="Arial" w:hAnsi="Arial" w:cs="Arial"/>
          <w:color w:val="222222"/>
        </w:rPr>
        <w:t>-</w:t>
      </w:r>
      <w:r w:rsidRPr="000B39D3">
        <w:rPr>
          <w:rFonts w:ascii="Arial" w:hAnsi="Arial" w:cs="Arial"/>
          <w:color w:val="222222"/>
        </w:rPr>
        <w:t>out was introduced</w:t>
      </w:r>
      <w:r>
        <w:rPr>
          <w:rFonts w:ascii="Arial" w:hAnsi="Arial" w:cs="Arial"/>
          <w:color w:val="222222"/>
        </w:rPr>
        <w:t xml:space="preserve"> in </w:t>
      </w:r>
      <w:r w:rsidRPr="000B39D3">
        <w:rPr>
          <w:rFonts w:ascii="Arial" w:hAnsi="Arial" w:cs="Arial"/>
          <w:color w:val="222222"/>
        </w:rPr>
        <w:t>NPRR416</w:t>
      </w:r>
      <w:r w:rsidR="00383D7C">
        <w:rPr>
          <w:rFonts w:ascii="Arial" w:hAnsi="Arial" w:cs="Arial"/>
          <w:color w:val="222222"/>
        </w:rPr>
        <w:t xml:space="preserve">, </w:t>
      </w:r>
      <w:r w:rsidR="00383D7C" w:rsidRPr="00383D7C">
        <w:rPr>
          <w:rFonts w:ascii="Arial" w:hAnsi="Arial" w:cs="Arial"/>
          <w:color w:val="222222"/>
        </w:rPr>
        <w:t>Creation of the RUC Resource Buyback Provision</w:t>
      </w:r>
      <w:r w:rsidRPr="000B39D3">
        <w:rPr>
          <w:rFonts w:ascii="Arial" w:hAnsi="Arial" w:cs="Arial"/>
          <w:color w:val="222222"/>
        </w:rPr>
        <w:t>.</w:t>
      </w:r>
      <w:r>
        <w:rPr>
          <w:rFonts w:ascii="Arial" w:hAnsi="Arial" w:cs="Arial"/>
          <w:color w:val="222222"/>
        </w:rPr>
        <w:t xml:space="preserve">  This allowed unit owners to opt-out of the RUC process, foregoing make-whole payments if the units are not “in the money” but allowing the owner to retain any profits during the commitments.</w:t>
      </w:r>
      <w:r w:rsidRPr="000B39D3">
        <w:rPr>
          <w:rFonts w:ascii="Arial" w:hAnsi="Arial" w:cs="Arial"/>
          <w:color w:val="222222"/>
        </w:rPr>
        <w:t> </w:t>
      </w:r>
    </w:p>
    <w:p w14:paraId="4F39482F" w14:textId="2E849D76" w:rsidR="006069D4" w:rsidRDefault="006069D4" w:rsidP="006069D4">
      <w:pPr>
        <w:numPr>
          <w:ilvl w:val="1"/>
          <w:numId w:val="6"/>
        </w:numPr>
        <w:shd w:val="clear" w:color="auto" w:fill="FFFFFF"/>
        <w:spacing w:before="120" w:after="120"/>
        <w:ind w:left="360"/>
        <w:jc w:val="both"/>
        <w:rPr>
          <w:rFonts w:ascii="Arial" w:hAnsi="Arial" w:cs="Arial"/>
          <w:color w:val="222222"/>
        </w:rPr>
      </w:pPr>
      <w:r w:rsidRPr="000B39D3">
        <w:rPr>
          <w:rFonts w:ascii="Arial" w:hAnsi="Arial" w:cs="Arial"/>
          <w:color w:val="222222"/>
        </w:rPr>
        <w:t xml:space="preserve">In 2012, </w:t>
      </w:r>
      <w:r>
        <w:rPr>
          <w:rFonts w:ascii="Arial" w:hAnsi="Arial" w:cs="Arial"/>
          <w:color w:val="222222"/>
        </w:rPr>
        <w:t xml:space="preserve">the </w:t>
      </w:r>
      <w:r w:rsidRPr="000B39D3">
        <w:rPr>
          <w:rFonts w:ascii="Arial" w:hAnsi="Arial" w:cs="Arial"/>
          <w:color w:val="222222"/>
        </w:rPr>
        <w:t xml:space="preserve">RUC offer floor </w:t>
      </w:r>
      <w:r>
        <w:rPr>
          <w:rFonts w:ascii="Arial" w:hAnsi="Arial" w:cs="Arial"/>
          <w:color w:val="222222"/>
        </w:rPr>
        <w:t xml:space="preserve">was initially set </w:t>
      </w:r>
      <w:r w:rsidRPr="000B39D3">
        <w:rPr>
          <w:rFonts w:ascii="Arial" w:hAnsi="Arial" w:cs="Arial"/>
          <w:color w:val="222222"/>
        </w:rPr>
        <w:t xml:space="preserve">at $9,000 in </w:t>
      </w:r>
      <w:r>
        <w:rPr>
          <w:rFonts w:ascii="Arial" w:hAnsi="Arial" w:cs="Arial"/>
          <w:color w:val="222222"/>
        </w:rPr>
        <w:t>NPRR</w:t>
      </w:r>
      <w:r w:rsidRPr="000B39D3">
        <w:rPr>
          <w:rFonts w:ascii="Arial" w:hAnsi="Arial" w:cs="Arial"/>
          <w:color w:val="222222"/>
        </w:rPr>
        <w:t>435,</w:t>
      </w:r>
      <w:r w:rsidR="00383D7C" w:rsidRPr="00383D7C">
        <w:t xml:space="preserve"> </w:t>
      </w:r>
      <w:r w:rsidR="00383D7C" w:rsidRPr="00383D7C">
        <w:rPr>
          <w:rFonts w:ascii="Arial" w:hAnsi="Arial" w:cs="Arial"/>
          <w:color w:val="222222"/>
        </w:rPr>
        <w:t>Requirements for Energy Offer Curves in the Real Time SCED for Generation Resources Committed in RUC</w:t>
      </w:r>
      <w:r w:rsidR="00383D7C">
        <w:rPr>
          <w:rFonts w:ascii="Arial" w:hAnsi="Arial" w:cs="Arial"/>
          <w:color w:val="222222"/>
        </w:rPr>
        <w:t>,</w:t>
      </w:r>
      <w:r w:rsidRPr="000B39D3">
        <w:rPr>
          <w:rFonts w:ascii="Arial" w:hAnsi="Arial" w:cs="Arial"/>
          <w:color w:val="222222"/>
        </w:rPr>
        <w:t xml:space="preserve"> </w:t>
      </w:r>
      <w:r>
        <w:rPr>
          <w:rFonts w:ascii="Arial" w:hAnsi="Arial" w:cs="Arial"/>
          <w:color w:val="222222"/>
        </w:rPr>
        <w:t>although</w:t>
      </w:r>
      <w:r w:rsidRPr="000B39D3">
        <w:rPr>
          <w:rFonts w:ascii="Arial" w:hAnsi="Arial" w:cs="Arial"/>
          <w:color w:val="222222"/>
        </w:rPr>
        <w:t xml:space="preserve"> </w:t>
      </w:r>
      <w:r w:rsidR="00383D7C">
        <w:rPr>
          <w:rFonts w:ascii="Arial" w:hAnsi="Arial" w:cs="Arial"/>
          <w:color w:val="222222"/>
        </w:rPr>
        <w:t>I</w:t>
      </w:r>
      <w:r>
        <w:rPr>
          <w:rFonts w:ascii="Arial" w:hAnsi="Arial" w:cs="Arial"/>
          <w:color w:val="222222"/>
        </w:rPr>
        <w:t xml:space="preserve">ndustrial </w:t>
      </w:r>
      <w:r w:rsidR="00383D7C">
        <w:rPr>
          <w:rFonts w:ascii="Arial" w:hAnsi="Arial" w:cs="Arial"/>
          <w:color w:val="222222"/>
        </w:rPr>
        <w:t>C</w:t>
      </w:r>
      <w:r>
        <w:rPr>
          <w:rFonts w:ascii="Arial" w:hAnsi="Arial" w:cs="Arial"/>
          <w:color w:val="222222"/>
        </w:rPr>
        <w:t xml:space="preserve">onsumers argued unsuccessfully for </w:t>
      </w:r>
      <w:r w:rsidRPr="000B39D3">
        <w:rPr>
          <w:rFonts w:ascii="Arial" w:hAnsi="Arial" w:cs="Arial"/>
          <w:color w:val="222222"/>
        </w:rPr>
        <w:t xml:space="preserve">setting </w:t>
      </w:r>
      <w:r>
        <w:rPr>
          <w:rFonts w:ascii="Arial" w:hAnsi="Arial" w:cs="Arial"/>
          <w:color w:val="222222"/>
        </w:rPr>
        <w:t>the offer floor</w:t>
      </w:r>
      <w:r w:rsidRPr="000B39D3">
        <w:rPr>
          <w:rFonts w:ascii="Arial" w:hAnsi="Arial" w:cs="Arial"/>
          <w:color w:val="222222"/>
        </w:rPr>
        <w:t xml:space="preserve"> equal to the </w:t>
      </w:r>
      <w:r>
        <w:rPr>
          <w:rFonts w:ascii="Arial" w:hAnsi="Arial" w:cs="Arial"/>
          <w:color w:val="222222"/>
        </w:rPr>
        <w:t>N</w:t>
      </w:r>
      <w:r w:rsidRPr="000B39D3">
        <w:rPr>
          <w:rFonts w:ascii="Arial" w:hAnsi="Arial" w:cs="Arial"/>
          <w:color w:val="222222"/>
        </w:rPr>
        <w:t>on-</w:t>
      </w:r>
      <w:r>
        <w:rPr>
          <w:rFonts w:ascii="Arial" w:hAnsi="Arial" w:cs="Arial"/>
          <w:color w:val="222222"/>
        </w:rPr>
        <w:t>S</w:t>
      </w:r>
      <w:r w:rsidRPr="000B39D3">
        <w:rPr>
          <w:rFonts w:ascii="Arial" w:hAnsi="Arial" w:cs="Arial"/>
          <w:color w:val="222222"/>
        </w:rPr>
        <w:t>pin</w:t>
      </w:r>
      <w:r w:rsidR="00383D7C">
        <w:rPr>
          <w:rFonts w:ascii="Arial" w:hAnsi="Arial" w:cs="Arial"/>
          <w:color w:val="222222"/>
        </w:rPr>
        <w:t>ning Reserve (Non-Spin)</w:t>
      </w:r>
      <w:r w:rsidRPr="000B39D3">
        <w:rPr>
          <w:rFonts w:ascii="Arial" w:hAnsi="Arial" w:cs="Arial"/>
          <w:color w:val="222222"/>
        </w:rPr>
        <w:t xml:space="preserve"> offer floor. </w:t>
      </w:r>
      <w:r w:rsidR="00383D7C">
        <w:rPr>
          <w:rFonts w:ascii="Arial" w:hAnsi="Arial" w:cs="Arial"/>
          <w:color w:val="222222"/>
        </w:rPr>
        <w:t xml:space="preserve"> </w:t>
      </w:r>
      <w:r>
        <w:rPr>
          <w:rFonts w:ascii="Arial" w:hAnsi="Arial" w:cs="Arial"/>
          <w:color w:val="222222"/>
        </w:rPr>
        <w:t>After implementation of the ORDC and other significant market changes, Market Participants later agreed to reduce this to $1,500 at the time RDPA was implemented.  A decade later, following many material market changes that are designed to increase prices further from scarcity and encourage additional self-commitment, the NPRR626</w:t>
      </w:r>
      <w:r w:rsidR="00383D7C">
        <w:rPr>
          <w:rFonts w:ascii="Arial" w:hAnsi="Arial" w:cs="Arial"/>
          <w:color w:val="222222"/>
        </w:rPr>
        <w:t xml:space="preserve">, </w:t>
      </w:r>
      <w:r w:rsidR="00383D7C" w:rsidRPr="00383D7C">
        <w:rPr>
          <w:rFonts w:ascii="Arial" w:hAnsi="Arial" w:cs="Arial"/>
          <w:color w:val="222222"/>
        </w:rPr>
        <w:t>Reliability Deployment Price Adder</w:t>
      </w:r>
      <w:r w:rsidR="00383D7C">
        <w:rPr>
          <w:rFonts w:ascii="Arial" w:hAnsi="Arial" w:cs="Arial"/>
          <w:color w:val="222222"/>
        </w:rPr>
        <w:t>,</w:t>
      </w:r>
      <w:r w:rsidR="00383D7C" w:rsidRPr="00383D7C">
        <w:rPr>
          <w:rFonts w:ascii="Arial" w:hAnsi="Arial" w:cs="Arial"/>
          <w:color w:val="222222"/>
        </w:rPr>
        <w:t xml:space="preserve"> </w:t>
      </w:r>
      <w:r>
        <w:rPr>
          <w:rFonts w:ascii="Arial" w:hAnsi="Arial" w:cs="Arial"/>
          <w:color w:val="222222"/>
        </w:rPr>
        <w:t xml:space="preserve">compromise is now outdated.  </w:t>
      </w:r>
    </w:p>
    <w:p w14:paraId="63930532" w14:textId="77777777" w:rsidR="006069D4" w:rsidRDefault="006069D4" w:rsidP="006069D4">
      <w:pPr>
        <w:numPr>
          <w:ilvl w:val="2"/>
          <w:numId w:val="6"/>
        </w:numPr>
        <w:shd w:val="clear" w:color="auto" w:fill="FFFFFF"/>
        <w:spacing w:before="120" w:after="120"/>
        <w:ind w:left="990"/>
        <w:jc w:val="both"/>
        <w:rPr>
          <w:rFonts w:ascii="Arial" w:hAnsi="Arial" w:cs="Arial"/>
          <w:color w:val="222222"/>
        </w:rPr>
      </w:pPr>
      <w:r>
        <w:rPr>
          <w:rFonts w:ascii="Arial" w:hAnsi="Arial" w:cs="Arial"/>
          <w:color w:val="222222"/>
        </w:rPr>
        <w:t>This is shown by the dramatic impact of RDPA on prices during February 24</w:t>
      </w:r>
      <w:r w:rsidRPr="00F8537E">
        <w:rPr>
          <w:rFonts w:ascii="Arial" w:hAnsi="Arial" w:cs="Arial"/>
          <w:color w:val="222222"/>
        </w:rPr>
        <w:t xml:space="preserve">th, </w:t>
      </w:r>
      <w:r>
        <w:rPr>
          <w:rFonts w:ascii="Arial" w:hAnsi="Arial" w:cs="Arial"/>
          <w:color w:val="222222"/>
        </w:rPr>
        <w:t xml:space="preserve">2022.  ERCOT’s conservative approach to operations, when combined with </w:t>
      </w:r>
      <w:r>
        <w:rPr>
          <w:rFonts w:ascii="Arial" w:hAnsi="Arial" w:cs="Arial"/>
          <w:color w:val="222222"/>
        </w:rPr>
        <w:lastRenderedPageBreak/>
        <w:t xml:space="preserve">the administrative pricing around RUC, is causing unintended outcomes that facilitate market power and are harmful to consumers.  </w:t>
      </w:r>
    </w:p>
    <w:p w14:paraId="6B13D7DC" w14:textId="387D5372" w:rsidR="006069D4" w:rsidRPr="00383D7C" w:rsidRDefault="006069D4" w:rsidP="00383D7C">
      <w:pPr>
        <w:numPr>
          <w:ilvl w:val="2"/>
          <w:numId w:val="6"/>
        </w:numPr>
        <w:shd w:val="clear" w:color="auto" w:fill="FFFFFF"/>
        <w:spacing w:before="120" w:after="120"/>
        <w:ind w:left="990"/>
        <w:jc w:val="both"/>
        <w:rPr>
          <w:rFonts w:ascii="Arial" w:hAnsi="Arial" w:cs="Arial"/>
          <w:color w:val="222222"/>
        </w:rPr>
      </w:pPr>
      <w:r>
        <w:rPr>
          <w:rFonts w:ascii="Arial" w:hAnsi="Arial" w:cs="Arial"/>
          <w:color w:val="222222"/>
        </w:rPr>
        <w:t xml:space="preserve">This February, the RDPA calculation “assumed” that generation would not self-commit but would instead be committed by RUC instruction, removing all such capacity from the ORDC.  When combined with recent changes to make the ORDC pricing higher at higher levels of reserves, this causes unjustified price increases.  This further exacerbates the RUC commitment decision, as incentives for commitment are no longer aligned with market objectives; in other words, </w:t>
      </w:r>
      <w:r w:rsidR="00383D7C">
        <w:rPr>
          <w:rFonts w:ascii="Arial" w:hAnsi="Arial" w:cs="Arial"/>
          <w:color w:val="222222"/>
        </w:rPr>
        <w:t>M</w:t>
      </w:r>
      <w:r>
        <w:rPr>
          <w:rFonts w:ascii="Arial" w:hAnsi="Arial" w:cs="Arial"/>
          <w:color w:val="222222"/>
        </w:rPr>
        <w:t xml:space="preserve">arket </w:t>
      </w:r>
      <w:r w:rsidR="00383D7C">
        <w:rPr>
          <w:rFonts w:ascii="Arial" w:hAnsi="Arial" w:cs="Arial"/>
          <w:color w:val="222222"/>
        </w:rPr>
        <w:t>P</w:t>
      </w:r>
      <w:r>
        <w:rPr>
          <w:rFonts w:ascii="Arial" w:hAnsi="Arial" w:cs="Arial"/>
          <w:color w:val="222222"/>
        </w:rPr>
        <w:t xml:space="preserve">articipants now can gain substantial revenues by allowing ERCOT to commit some of their units through RUC, setting very high prices for other units within the same fleet.  Refraining from self-commitment can have a bigger impact on prices – a classic market power concern; when large generator companies with pivotal market power choose to withhold some capacity and revenue from that capacity to raise overall prices enough to increase revenue from all of their other generators or trading positions.  </w:t>
      </w:r>
    </w:p>
    <w:p w14:paraId="6D1D58CE" w14:textId="67B6038E" w:rsidR="006069D4" w:rsidRPr="00383D7C" w:rsidRDefault="006069D4" w:rsidP="00383D7C">
      <w:pPr>
        <w:numPr>
          <w:ilvl w:val="1"/>
          <w:numId w:val="6"/>
        </w:numPr>
        <w:shd w:val="clear" w:color="auto" w:fill="FFFFFF"/>
        <w:spacing w:before="120" w:after="120"/>
        <w:ind w:left="360"/>
        <w:jc w:val="both"/>
        <w:rPr>
          <w:rFonts w:ascii="Arial" w:hAnsi="Arial" w:cs="Arial"/>
          <w:color w:val="222222"/>
        </w:rPr>
      </w:pPr>
      <w:r>
        <w:rPr>
          <w:rFonts w:ascii="Arial" w:hAnsi="Arial" w:cs="Arial"/>
          <w:color w:val="222222"/>
        </w:rPr>
        <w:t xml:space="preserve">This issue is further exacerbated by outdated VMPs that were designed nearly ten years ago, many before the advent of the ORDC, and sanction behavior that may be used to influence prices under the current market design. </w:t>
      </w:r>
      <w:r w:rsidR="00383D7C">
        <w:rPr>
          <w:rFonts w:ascii="Arial" w:hAnsi="Arial" w:cs="Arial"/>
          <w:color w:val="222222"/>
        </w:rPr>
        <w:t xml:space="preserve"> </w:t>
      </w:r>
      <w:r>
        <w:rPr>
          <w:rFonts w:ascii="Arial" w:hAnsi="Arial" w:cs="Arial"/>
          <w:color w:val="222222"/>
        </w:rPr>
        <w:t xml:space="preserve">Many of the VMPs don’t consider the impacts of ORDC, an issue that is ripe for re-examination by the </w:t>
      </w:r>
      <w:r w:rsidR="00383D7C">
        <w:rPr>
          <w:rFonts w:ascii="Arial" w:hAnsi="Arial" w:cs="Arial"/>
          <w:color w:val="222222"/>
        </w:rPr>
        <w:t xml:space="preserve">Public Utility </w:t>
      </w:r>
      <w:r>
        <w:rPr>
          <w:rFonts w:ascii="Arial" w:hAnsi="Arial" w:cs="Arial"/>
          <w:color w:val="222222"/>
        </w:rPr>
        <w:t>Commission</w:t>
      </w:r>
      <w:r w:rsidR="00383D7C">
        <w:rPr>
          <w:rFonts w:ascii="Arial" w:hAnsi="Arial" w:cs="Arial"/>
          <w:color w:val="222222"/>
        </w:rPr>
        <w:t xml:space="preserve"> of Texas (PUCT)</w:t>
      </w:r>
      <w:r>
        <w:rPr>
          <w:rFonts w:ascii="Arial" w:hAnsi="Arial" w:cs="Arial"/>
          <w:color w:val="222222"/>
        </w:rPr>
        <w:t xml:space="preserve"> based on today’s ORDC expectations. </w:t>
      </w:r>
      <w:r w:rsidR="00383D7C">
        <w:rPr>
          <w:rFonts w:ascii="Arial" w:hAnsi="Arial" w:cs="Arial"/>
          <w:color w:val="222222"/>
        </w:rPr>
        <w:t xml:space="preserve"> </w:t>
      </w:r>
      <w:r>
        <w:rPr>
          <w:rFonts w:ascii="Arial" w:hAnsi="Arial" w:cs="Arial"/>
          <w:color w:val="222222"/>
        </w:rPr>
        <w:t xml:space="preserve">Many of the offer curves in these mitigation plans allow generators to offer to sell at very high prices for a small portion of their capacity and exercise “a little” market power to have overall prices reflect low reserves. </w:t>
      </w:r>
      <w:r w:rsidR="00383D7C">
        <w:rPr>
          <w:rFonts w:ascii="Arial" w:hAnsi="Arial" w:cs="Arial"/>
          <w:color w:val="222222"/>
        </w:rPr>
        <w:t xml:space="preserve"> </w:t>
      </w:r>
      <w:r>
        <w:rPr>
          <w:rFonts w:ascii="Arial" w:hAnsi="Arial" w:cs="Arial"/>
          <w:color w:val="222222"/>
        </w:rPr>
        <w:t>With the advent of ORDC and reserve pricing, this is probably no longer necessary.</w:t>
      </w:r>
    </w:p>
    <w:p w14:paraId="762F6505" w14:textId="67F7E297" w:rsidR="006069D4" w:rsidRPr="00383D7C" w:rsidRDefault="006069D4" w:rsidP="006069D4">
      <w:pPr>
        <w:numPr>
          <w:ilvl w:val="1"/>
          <w:numId w:val="6"/>
        </w:numPr>
        <w:shd w:val="clear" w:color="auto" w:fill="FFFFFF"/>
        <w:spacing w:before="120" w:after="120"/>
        <w:ind w:left="360"/>
        <w:jc w:val="both"/>
        <w:rPr>
          <w:rFonts w:ascii="Arial" w:hAnsi="Arial" w:cs="Arial"/>
          <w:color w:val="222222"/>
        </w:rPr>
      </w:pPr>
      <w:r>
        <w:rPr>
          <w:rFonts w:ascii="Arial" w:hAnsi="Arial" w:cs="Arial"/>
          <w:color w:val="222222"/>
        </w:rPr>
        <w:t xml:space="preserve">Finally, we hope that the ORDC curve will provide sufficient commitment incentives so that RUC is not needed as frequently. However, RUC pricing </w:t>
      </w:r>
      <w:r>
        <w:rPr>
          <w:rFonts w:ascii="Arial" w:hAnsi="Arial" w:cs="Arial"/>
          <w:i/>
          <w:iCs/>
          <w:color w:val="222222"/>
        </w:rPr>
        <w:t>should never be part of a commitment decision; it only results in outcomes inconsistent with market objectives.</w:t>
      </w:r>
    </w:p>
    <w:p w14:paraId="1E986FE0" w14:textId="2BBC9D8A" w:rsidR="006069D4" w:rsidRPr="009C59D1" w:rsidRDefault="006069D4" w:rsidP="006069D4">
      <w:pPr>
        <w:shd w:val="clear" w:color="auto" w:fill="FFFFFF"/>
        <w:spacing w:before="120" w:after="120"/>
        <w:rPr>
          <w:rFonts w:ascii="Arial" w:hAnsi="Arial" w:cs="Arial"/>
          <w:color w:val="222222"/>
          <w:u w:val="single"/>
        </w:rPr>
      </w:pPr>
      <w:r w:rsidRPr="009C59D1">
        <w:rPr>
          <w:rFonts w:ascii="Arial" w:hAnsi="Arial" w:cs="Arial"/>
          <w:color w:val="222222"/>
          <w:u w:val="single"/>
        </w:rPr>
        <w:t xml:space="preserve">Perspective on </w:t>
      </w:r>
      <w:r>
        <w:rPr>
          <w:rFonts w:ascii="Arial" w:hAnsi="Arial" w:cs="Arial"/>
          <w:color w:val="222222"/>
          <w:u w:val="single"/>
        </w:rPr>
        <w:t>NPRR</w:t>
      </w:r>
      <w:r w:rsidRPr="009C59D1">
        <w:rPr>
          <w:rFonts w:ascii="Arial" w:hAnsi="Arial" w:cs="Arial"/>
          <w:color w:val="222222"/>
          <w:u w:val="single"/>
        </w:rPr>
        <w:t>1092</w:t>
      </w:r>
    </w:p>
    <w:p w14:paraId="3E98BF9C" w14:textId="79B2AE15" w:rsidR="006069D4" w:rsidRPr="00383D7C" w:rsidRDefault="006069D4" w:rsidP="00383D7C">
      <w:pPr>
        <w:numPr>
          <w:ilvl w:val="1"/>
          <w:numId w:val="6"/>
        </w:numPr>
        <w:shd w:val="clear" w:color="auto" w:fill="FFFFFF"/>
        <w:spacing w:before="120" w:after="120"/>
        <w:ind w:left="360"/>
        <w:jc w:val="both"/>
        <w:rPr>
          <w:rFonts w:ascii="Arial" w:hAnsi="Arial" w:cs="Arial"/>
          <w:color w:val="222222"/>
        </w:rPr>
      </w:pPr>
      <w:r>
        <w:rPr>
          <w:rFonts w:ascii="Arial" w:hAnsi="Arial" w:cs="Arial"/>
          <w:color w:val="222222"/>
        </w:rPr>
        <w:t>Joint Consumers</w:t>
      </w:r>
      <w:r w:rsidRPr="009C59D1">
        <w:rPr>
          <w:rFonts w:ascii="Arial" w:hAnsi="Arial" w:cs="Arial"/>
          <w:color w:val="222222"/>
        </w:rPr>
        <w:t xml:space="preserve"> </w:t>
      </w:r>
      <w:r>
        <w:rPr>
          <w:rFonts w:ascii="Arial" w:hAnsi="Arial" w:cs="Arial"/>
          <w:color w:val="222222"/>
        </w:rPr>
        <w:t>give substantial weight to</w:t>
      </w:r>
      <w:r w:rsidRPr="009C59D1">
        <w:rPr>
          <w:rFonts w:ascii="Arial" w:hAnsi="Arial" w:cs="Arial"/>
          <w:color w:val="222222"/>
        </w:rPr>
        <w:t xml:space="preserve"> the IMM</w:t>
      </w:r>
      <w:r>
        <w:rPr>
          <w:rFonts w:ascii="Arial" w:hAnsi="Arial" w:cs="Arial"/>
          <w:color w:val="222222"/>
        </w:rPr>
        <w:t xml:space="preserve">’s opinion as it relates to potential exercises of market power.  This is the IMM’s core responsibility.  </w:t>
      </w:r>
      <w:r w:rsidRPr="009C59D1">
        <w:rPr>
          <w:rFonts w:ascii="Arial" w:hAnsi="Arial" w:cs="Arial"/>
          <w:color w:val="222222"/>
        </w:rPr>
        <w:t xml:space="preserve">As part of that role, </w:t>
      </w:r>
      <w:r>
        <w:rPr>
          <w:rFonts w:ascii="Arial" w:hAnsi="Arial" w:cs="Arial"/>
          <w:color w:val="222222"/>
        </w:rPr>
        <w:t>the IMM</w:t>
      </w:r>
      <w:r w:rsidRPr="009C59D1">
        <w:rPr>
          <w:rFonts w:ascii="Arial" w:hAnsi="Arial" w:cs="Arial"/>
          <w:color w:val="222222"/>
        </w:rPr>
        <w:t xml:space="preserve"> filed NPRR</w:t>
      </w:r>
      <w:r>
        <w:rPr>
          <w:rFonts w:ascii="Arial" w:hAnsi="Arial" w:cs="Arial"/>
          <w:color w:val="222222"/>
        </w:rPr>
        <w:t>1092</w:t>
      </w:r>
      <w:r w:rsidRPr="009C59D1">
        <w:rPr>
          <w:rFonts w:ascii="Arial" w:hAnsi="Arial" w:cs="Arial"/>
          <w:color w:val="222222"/>
        </w:rPr>
        <w:t xml:space="preserve">. </w:t>
      </w:r>
      <w:r w:rsidR="00383D7C">
        <w:rPr>
          <w:rFonts w:ascii="Arial" w:hAnsi="Arial" w:cs="Arial"/>
          <w:color w:val="222222"/>
        </w:rPr>
        <w:t xml:space="preserve"> </w:t>
      </w:r>
      <w:r>
        <w:rPr>
          <w:rFonts w:ascii="Arial" w:hAnsi="Arial" w:cs="Arial"/>
          <w:color w:val="222222"/>
        </w:rPr>
        <w:t>As the</w:t>
      </w:r>
      <w:r w:rsidRPr="009C59D1">
        <w:rPr>
          <w:rFonts w:ascii="Arial" w:hAnsi="Arial" w:cs="Arial"/>
          <w:color w:val="222222"/>
        </w:rPr>
        <w:t xml:space="preserve"> NPRR addresses existing and current market power concerns, </w:t>
      </w:r>
      <w:r>
        <w:rPr>
          <w:rFonts w:ascii="Arial" w:hAnsi="Arial" w:cs="Arial"/>
          <w:color w:val="222222"/>
        </w:rPr>
        <w:t xml:space="preserve">it should be approved and implemented </w:t>
      </w:r>
      <w:r w:rsidRPr="009C59D1">
        <w:rPr>
          <w:rFonts w:ascii="Arial" w:hAnsi="Arial" w:cs="Arial"/>
          <w:color w:val="222222"/>
        </w:rPr>
        <w:t xml:space="preserve">quickly, before </w:t>
      </w:r>
      <w:r>
        <w:rPr>
          <w:rFonts w:ascii="Arial" w:hAnsi="Arial" w:cs="Arial"/>
          <w:color w:val="222222"/>
        </w:rPr>
        <w:t>the coming</w:t>
      </w:r>
      <w:r w:rsidRPr="009C59D1">
        <w:rPr>
          <w:rFonts w:ascii="Arial" w:hAnsi="Arial" w:cs="Arial"/>
          <w:color w:val="222222"/>
        </w:rPr>
        <w:t xml:space="preserve"> summer.</w:t>
      </w:r>
    </w:p>
    <w:p w14:paraId="4554CB10" w14:textId="7CA90044" w:rsidR="006069D4" w:rsidRPr="00383D7C" w:rsidRDefault="006069D4" w:rsidP="00383D7C">
      <w:pPr>
        <w:numPr>
          <w:ilvl w:val="1"/>
          <w:numId w:val="6"/>
        </w:numPr>
        <w:shd w:val="clear" w:color="auto" w:fill="FFFFFF"/>
        <w:spacing w:before="120" w:after="120"/>
        <w:ind w:left="360"/>
        <w:jc w:val="both"/>
        <w:rPr>
          <w:rFonts w:ascii="Arial" w:hAnsi="Arial" w:cs="Arial"/>
          <w:color w:val="222222"/>
        </w:rPr>
      </w:pPr>
      <w:r>
        <w:rPr>
          <w:rFonts w:ascii="Arial" w:hAnsi="Arial" w:cs="Arial"/>
          <w:color w:val="222222"/>
        </w:rPr>
        <w:t>Joint Consumers</w:t>
      </w:r>
      <w:r w:rsidRPr="009C59D1">
        <w:rPr>
          <w:rFonts w:ascii="Arial" w:hAnsi="Arial" w:cs="Arial"/>
          <w:color w:val="222222"/>
        </w:rPr>
        <w:t xml:space="preserve"> believe effective market power</w:t>
      </w:r>
      <w:r>
        <w:rPr>
          <w:rFonts w:ascii="Arial" w:hAnsi="Arial" w:cs="Arial"/>
          <w:color w:val="222222"/>
        </w:rPr>
        <w:t xml:space="preserve"> can be exercised today by </w:t>
      </w:r>
      <w:r w:rsidR="00383D7C">
        <w:rPr>
          <w:rFonts w:ascii="Arial" w:hAnsi="Arial" w:cs="Arial"/>
          <w:color w:val="222222"/>
        </w:rPr>
        <w:t>Qualified Scheduling Entities (</w:t>
      </w:r>
      <w:r>
        <w:rPr>
          <w:rFonts w:ascii="Arial" w:hAnsi="Arial" w:cs="Arial"/>
          <w:color w:val="222222"/>
        </w:rPr>
        <w:t>QSEs</w:t>
      </w:r>
      <w:r w:rsidR="00383D7C">
        <w:rPr>
          <w:rFonts w:ascii="Arial" w:hAnsi="Arial" w:cs="Arial"/>
          <w:color w:val="222222"/>
        </w:rPr>
        <w:t>)</w:t>
      </w:r>
      <w:r w:rsidRPr="009C59D1">
        <w:rPr>
          <w:rFonts w:ascii="Arial" w:hAnsi="Arial" w:cs="Arial"/>
          <w:color w:val="222222"/>
        </w:rPr>
        <w:t xml:space="preserve"> in the RUC process </w:t>
      </w:r>
      <w:r>
        <w:rPr>
          <w:rFonts w:ascii="Arial" w:hAnsi="Arial" w:cs="Arial"/>
          <w:color w:val="222222"/>
        </w:rPr>
        <w:t>due to ERCOT’s conservative approach to operations which results in</w:t>
      </w:r>
      <w:r w:rsidRPr="009C59D1">
        <w:rPr>
          <w:rFonts w:ascii="Arial" w:hAnsi="Arial" w:cs="Arial"/>
          <w:color w:val="222222"/>
        </w:rPr>
        <w:t xml:space="preserve"> RUC </w:t>
      </w:r>
      <w:r>
        <w:rPr>
          <w:rFonts w:ascii="Arial" w:hAnsi="Arial" w:cs="Arial"/>
          <w:color w:val="222222"/>
        </w:rPr>
        <w:t>being</w:t>
      </w:r>
      <w:r w:rsidRPr="009C59D1">
        <w:rPr>
          <w:rFonts w:ascii="Arial" w:hAnsi="Arial" w:cs="Arial"/>
          <w:color w:val="222222"/>
        </w:rPr>
        <w:t xml:space="preserve"> used </w:t>
      </w:r>
      <w:r>
        <w:rPr>
          <w:rFonts w:ascii="Arial" w:hAnsi="Arial" w:cs="Arial"/>
          <w:color w:val="222222"/>
        </w:rPr>
        <w:t>more</w:t>
      </w:r>
      <w:r w:rsidRPr="009C59D1">
        <w:rPr>
          <w:rFonts w:ascii="Arial" w:hAnsi="Arial" w:cs="Arial"/>
          <w:color w:val="222222"/>
        </w:rPr>
        <w:t xml:space="preserve"> aggressively</w:t>
      </w:r>
      <w:r>
        <w:rPr>
          <w:rFonts w:ascii="Arial" w:hAnsi="Arial" w:cs="Arial"/>
          <w:color w:val="222222"/>
        </w:rPr>
        <w:t xml:space="preserve"> than when these policies were first developed</w:t>
      </w:r>
      <w:r w:rsidRPr="009C59D1">
        <w:rPr>
          <w:rFonts w:ascii="Arial" w:hAnsi="Arial" w:cs="Arial"/>
          <w:color w:val="222222"/>
        </w:rPr>
        <w:t xml:space="preserve">. </w:t>
      </w:r>
      <w:r w:rsidR="00383D7C">
        <w:rPr>
          <w:rFonts w:ascii="Arial" w:hAnsi="Arial" w:cs="Arial"/>
          <w:color w:val="222222"/>
        </w:rPr>
        <w:t xml:space="preserve"> </w:t>
      </w:r>
      <w:r w:rsidRPr="009C59D1">
        <w:rPr>
          <w:rFonts w:ascii="Arial" w:hAnsi="Arial" w:cs="Arial"/>
          <w:color w:val="222222"/>
        </w:rPr>
        <w:t xml:space="preserve">The frequency of RUCs allows a </w:t>
      </w:r>
      <w:r w:rsidR="00383D7C">
        <w:rPr>
          <w:rFonts w:ascii="Arial" w:hAnsi="Arial" w:cs="Arial"/>
          <w:color w:val="222222"/>
        </w:rPr>
        <w:t>M</w:t>
      </w:r>
      <w:r w:rsidRPr="009C59D1">
        <w:rPr>
          <w:rFonts w:ascii="Arial" w:hAnsi="Arial" w:cs="Arial"/>
          <w:color w:val="222222"/>
        </w:rPr>
        <w:t xml:space="preserve">arket </w:t>
      </w:r>
      <w:r w:rsidR="00383D7C">
        <w:rPr>
          <w:rFonts w:ascii="Arial" w:hAnsi="Arial" w:cs="Arial"/>
          <w:color w:val="222222"/>
        </w:rPr>
        <w:t>P</w:t>
      </w:r>
      <w:r w:rsidRPr="009C59D1">
        <w:rPr>
          <w:rFonts w:ascii="Arial" w:hAnsi="Arial" w:cs="Arial"/>
          <w:color w:val="222222"/>
        </w:rPr>
        <w:t xml:space="preserve">articipant to determine if there is a benefit to being </w:t>
      </w:r>
      <w:proofErr w:type="spellStart"/>
      <w:r w:rsidRPr="009C59D1">
        <w:rPr>
          <w:rFonts w:ascii="Arial" w:hAnsi="Arial" w:cs="Arial"/>
          <w:color w:val="222222"/>
        </w:rPr>
        <w:t>RUC</w:t>
      </w:r>
      <w:r>
        <w:rPr>
          <w:rFonts w:ascii="Arial" w:hAnsi="Arial" w:cs="Arial"/>
          <w:color w:val="222222"/>
        </w:rPr>
        <w:t>’</w:t>
      </w:r>
      <w:r w:rsidRPr="009C59D1">
        <w:rPr>
          <w:rFonts w:ascii="Arial" w:hAnsi="Arial" w:cs="Arial"/>
          <w:color w:val="222222"/>
        </w:rPr>
        <w:t>ed</w:t>
      </w:r>
      <w:proofErr w:type="spellEnd"/>
      <w:r w:rsidRPr="009C59D1">
        <w:rPr>
          <w:rFonts w:ascii="Arial" w:hAnsi="Arial" w:cs="Arial"/>
          <w:color w:val="222222"/>
        </w:rPr>
        <w:t xml:space="preserve"> and being </w:t>
      </w:r>
      <w:r>
        <w:rPr>
          <w:rFonts w:ascii="Arial" w:hAnsi="Arial" w:cs="Arial"/>
          <w:color w:val="222222"/>
        </w:rPr>
        <w:t>“</w:t>
      </w:r>
      <w:r w:rsidRPr="009C59D1">
        <w:rPr>
          <w:rFonts w:ascii="Arial" w:hAnsi="Arial" w:cs="Arial"/>
          <w:color w:val="222222"/>
        </w:rPr>
        <w:t>forced</w:t>
      </w:r>
      <w:r>
        <w:rPr>
          <w:rFonts w:ascii="Arial" w:hAnsi="Arial" w:cs="Arial"/>
          <w:color w:val="222222"/>
        </w:rPr>
        <w:t>”</w:t>
      </w:r>
      <w:r w:rsidRPr="009C59D1">
        <w:rPr>
          <w:rFonts w:ascii="Arial" w:hAnsi="Arial" w:cs="Arial"/>
          <w:color w:val="222222"/>
        </w:rPr>
        <w:t xml:space="preserve"> to offer at a high offer </w:t>
      </w:r>
      <w:r>
        <w:rPr>
          <w:rFonts w:ascii="Arial" w:hAnsi="Arial" w:cs="Arial"/>
          <w:color w:val="222222"/>
        </w:rPr>
        <w:t>price</w:t>
      </w:r>
      <w:r w:rsidRPr="009C59D1">
        <w:rPr>
          <w:rFonts w:ascii="Arial" w:hAnsi="Arial" w:cs="Arial"/>
          <w:color w:val="222222"/>
        </w:rPr>
        <w:t xml:space="preserve"> without violating any </w:t>
      </w:r>
      <w:r w:rsidR="00383D7C">
        <w:rPr>
          <w:rFonts w:ascii="Arial" w:hAnsi="Arial" w:cs="Arial"/>
          <w:color w:val="222222"/>
        </w:rPr>
        <w:t>VMPs</w:t>
      </w:r>
      <w:r w:rsidRPr="009C59D1">
        <w:rPr>
          <w:rFonts w:ascii="Arial" w:hAnsi="Arial" w:cs="Arial"/>
          <w:color w:val="222222"/>
        </w:rPr>
        <w:t xml:space="preserve">. </w:t>
      </w:r>
      <w:r w:rsidR="00383D7C">
        <w:rPr>
          <w:rFonts w:ascii="Arial" w:hAnsi="Arial" w:cs="Arial"/>
          <w:color w:val="222222"/>
        </w:rPr>
        <w:t xml:space="preserve"> </w:t>
      </w:r>
      <w:r w:rsidRPr="009C59D1">
        <w:rPr>
          <w:rFonts w:ascii="Arial" w:hAnsi="Arial" w:cs="Arial"/>
          <w:color w:val="222222"/>
        </w:rPr>
        <w:t xml:space="preserve">A </w:t>
      </w:r>
      <w:r w:rsidR="00383D7C">
        <w:rPr>
          <w:rFonts w:ascii="Arial" w:hAnsi="Arial" w:cs="Arial"/>
          <w:color w:val="222222"/>
        </w:rPr>
        <w:t>M</w:t>
      </w:r>
      <w:r w:rsidRPr="009C59D1">
        <w:rPr>
          <w:rFonts w:ascii="Arial" w:hAnsi="Arial" w:cs="Arial"/>
          <w:color w:val="222222"/>
        </w:rPr>
        <w:t xml:space="preserve">arket </w:t>
      </w:r>
      <w:r w:rsidR="00383D7C">
        <w:rPr>
          <w:rFonts w:ascii="Arial" w:hAnsi="Arial" w:cs="Arial"/>
          <w:color w:val="222222"/>
        </w:rPr>
        <w:t>P</w:t>
      </w:r>
      <w:r w:rsidRPr="009C59D1">
        <w:rPr>
          <w:rFonts w:ascii="Arial" w:hAnsi="Arial" w:cs="Arial"/>
          <w:color w:val="222222"/>
        </w:rPr>
        <w:t xml:space="preserve">articipant may be </w:t>
      </w:r>
      <w:r w:rsidRPr="009C59D1">
        <w:rPr>
          <w:rFonts w:ascii="Arial" w:hAnsi="Arial" w:cs="Arial"/>
          <w:color w:val="222222"/>
        </w:rPr>
        <w:lastRenderedPageBreak/>
        <w:t>able to anticipate a RUC instruction</w:t>
      </w:r>
      <w:r>
        <w:rPr>
          <w:rFonts w:ascii="Arial" w:hAnsi="Arial" w:cs="Arial"/>
          <w:color w:val="222222"/>
        </w:rPr>
        <w:t>,</w:t>
      </w:r>
      <w:r w:rsidRPr="009C59D1">
        <w:rPr>
          <w:rFonts w:ascii="Arial" w:hAnsi="Arial" w:cs="Arial"/>
          <w:color w:val="222222"/>
        </w:rPr>
        <w:t xml:space="preserve"> us</w:t>
      </w:r>
      <w:r>
        <w:rPr>
          <w:rFonts w:ascii="Arial" w:hAnsi="Arial" w:cs="Arial"/>
          <w:color w:val="222222"/>
        </w:rPr>
        <w:t>ing the expected instruction to its</w:t>
      </w:r>
      <w:r w:rsidRPr="009C59D1">
        <w:rPr>
          <w:rFonts w:ascii="Arial" w:hAnsi="Arial" w:cs="Arial"/>
          <w:color w:val="222222"/>
        </w:rPr>
        <w:t xml:space="preserve"> advantage. This </w:t>
      </w:r>
      <w:r>
        <w:rPr>
          <w:rFonts w:ascii="Arial" w:hAnsi="Arial" w:cs="Arial"/>
          <w:color w:val="222222"/>
        </w:rPr>
        <w:t xml:space="preserve">opportunity </w:t>
      </w:r>
      <w:r w:rsidRPr="009C59D1">
        <w:rPr>
          <w:rFonts w:ascii="Arial" w:hAnsi="Arial" w:cs="Arial"/>
          <w:color w:val="222222"/>
        </w:rPr>
        <w:t>is exacerbated by the RUC “opt</w:t>
      </w:r>
      <w:r>
        <w:rPr>
          <w:rFonts w:ascii="Arial" w:hAnsi="Arial" w:cs="Arial"/>
          <w:color w:val="222222"/>
        </w:rPr>
        <w:t>-</w:t>
      </w:r>
      <w:r w:rsidRPr="009C59D1">
        <w:rPr>
          <w:rFonts w:ascii="Arial" w:hAnsi="Arial" w:cs="Arial"/>
          <w:color w:val="222222"/>
        </w:rPr>
        <w:t xml:space="preserve">out” process. </w:t>
      </w:r>
    </w:p>
    <w:p w14:paraId="2FC45221" w14:textId="1F74CC98" w:rsidR="006069D4" w:rsidRPr="00383D7C" w:rsidRDefault="006069D4" w:rsidP="006069D4">
      <w:pPr>
        <w:numPr>
          <w:ilvl w:val="1"/>
          <w:numId w:val="6"/>
        </w:numPr>
        <w:shd w:val="clear" w:color="auto" w:fill="FFFFFF"/>
        <w:spacing w:before="120" w:after="120"/>
        <w:ind w:left="360"/>
        <w:jc w:val="both"/>
        <w:rPr>
          <w:rFonts w:ascii="Arial" w:hAnsi="Arial" w:cs="Arial"/>
          <w:color w:val="222222"/>
        </w:rPr>
      </w:pPr>
      <w:r>
        <w:rPr>
          <w:rFonts w:ascii="Arial" w:hAnsi="Arial" w:cs="Arial"/>
          <w:color w:val="222222"/>
        </w:rPr>
        <w:t>Joint Consumers</w:t>
      </w:r>
      <w:r w:rsidRPr="009C59D1">
        <w:rPr>
          <w:rFonts w:ascii="Arial" w:hAnsi="Arial" w:cs="Arial"/>
          <w:color w:val="222222"/>
        </w:rPr>
        <w:t xml:space="preserve"> recognize generator concerns about </w:t>
      </w:r>
      <w:r>
        <w:rPr>
          <w:rFonts w:ascii="Arial" w:hAnsi="Arial" w:cs="Arial"/>
          <w:color w:val="222222"/>
        </w:rPr>
        <w:t xml:space="preserve">RUC units </w:t>
      </w:r>
      <w:r w:rsidRPr="009C59D1">
        <w:rPr>
          <w:rFonts w:ascii="Arial" w:hAnsi="Arial" w:cs="Arial"/>
          <w:color w:val="222222"/>
        </w:rPr>
        <w:t xml:space="preserve">undercutting </w:t>
      </w:r>
      <w:r>
        <w:rPr>
          <w:rFonts w:ascii="Arial" w:hAnsi="Arial" w:cs="Arial"/>
          <w:color w:val="222222"/>
        </w:rPr>
        <w:t xml:space="preserve">competitive </w:t>
      </w:r>
      <w:r w:rsidRPr="009C59D1">
        <w:rPr>
          <w:rFonts w:ascii="Arial" w:hAnsi="Arial" w:cs="Arial"/>
          <w:color w:val="222222"/>
        </w:rPr>
        <w:t xml:space="preserve">offers. </w:t>
      </w:r>
      <w:r w:rsidR="00383D7C">
        <w:rPr>
          <w:rFonts w:ascii="Arial" w:hAnsi="Arial" w:cs="Arial"/>
          <w:color w:val="222222"/>
        </w:rPr>
        <w:t xml:space="preserve"> </w:t>
      </w:r>
      <w:r>
        <w:rPr>
          <w:rFonts w:ascii="Arial" w:hAnsi="Arial" w:cs="Arial"/>
          <w:color w:val="222222"/>
        </w:rPr>
        <w:t>However,</w:t>
      </w:r>
      <w:r w:rsidRPr="009C59D1">
        <w:rPr>
          <w:rFonts w:ascii="Arial" w:hAnsi="Arial" w:cs="Arial"/>
          <w:color w:val="222222"/>
        </w:rPr>
        <w:t xml:space="preserve"> if </w:t>
      </w:r>
      <w:r>
        <w:rPr>
          <w:rFonts w:ascii="Arial" w:hAnsi="Arial" w:cs="Arial"/>
          <w:color w:val="222222"/>
        </w:rPr>
        <w:t>generators</w:t>
      </w:r>
      <w:r w:rsidRPr="009C59D1">
        <w:rPr>
          <w:rFonts w:ascii="Arial" w:hAnsi="Arial" w:cs="Arial"/>
          <w:color w:val="222222"/>
        </w:rPr>
        <w:t xml:space="preserve"> self-commit sufficient capacity to serve the forecasted </w:t>
      </w:r>
      <w:r w:rsidR="00383D7C">
        <w:rPr>
          <w:rFonts w:ascii="Arial" w:hAnsi="Arial" w:cs="Arial"/>
          <w:color w:val="222222"/>
        </w:rPr>
        <w:t>L</w:t>
      </w:r>
      <w:r w:rsidRPr="009C59D1">
        <w:rPr>
          <w:rFonts w:ascii="Arial" w:hAnsi="Arial" w:cs="Arial"/>
          <w:color w:val="222222"/>
        </w:rPr>
        <w:t>oad</w:t>
      </w:r>
      <w:r>
        <w:rPr>
          <w:rFonts w:ascii="Arial" w:hAnsi="Arial" w:cs="Arial"/>
          <w:color w:val="222222"/>
        </w:rPr>
        <w:t>,</w:t>
      </w:r>
      <w:r w:rsidRPr="009C59D1">
        <w:rPr>
          <w:rFonts w:ascii="Arial" w:hAnsi="Arial" w:cs="Arial"/>
          <w:color w:val="222222"/>
        </w:rPr>
        <w:t xml:space="preserve"> no undercutting </w:t>
      </w:r>
      <w:r>
        <w:rPr>
          <w:rFonts w:ascii="Arial" w:hAnsi="Arial" w:cs="Arial"/>
          <w:color w:val="222222"/>
        </w:rPr>
        <w:t>should occur</w:t>
      </w:r>
      <w:r w:rsidRPr="009C59D1">
        <w:rPr>
          <w:rFonts w:ascii="Arial" w:hAnsi="Arial" w:cs="Arial"/>
          <w:color w:val="222222"/>
        </w:rPr>
        <w:t xml:space="preserve">.  There is a long history of compromise over RUC. </w:t>
      </w:r>
      <w:r w:rsidR="00383D7C">
        <w:rPr>
          <w:rFonts w:ascii="Arial" w:hAnsi="Arial" w:cs="Arial"/>
          <w:color w:val="222222"/>
        </w:rPr>
        <w:t xml:space="preserve"> </w:t>
      </w:r>
      <w:r w:rsidRPr="009C59D1">
        <w:rPr>
          <w:rFonts w:ascii="Arial" w:hAnsi="Arial" w:cs="Arial"/>
          <w:color w:val="222222"/>
        </w:rPr>
        <w:t xml:space="preserve">However, as long as RUC continues to be used the way it currently is by ERCOT, </w:t>
      </w:r>
      <w:r>
        <w:rPr>
          <w:rFonts w:ascii="Arial" w:hAnsi="Arial" w:cs="Arial"/>
          <w:color w:val="222222"/>
        </w:rPr>
        <w:t>the current policy will not create sufficient incentive for</w:t>
      </w:r>
      <w:r w:rsidRPr="009C59D1">
        <w:rPr>
          <w:rFonts w:ascii="Arial" w:hAnsi="Arial" w:cs="Arial"/>
          <w:color w:val="222222"/>
        </w:rPr>
        <w:t xml:space="preserve"> self-commitment</w:t>
      </w:r>
      <w:r>
        <w:rPr>
          <w:rFonts w:ascii="Arial" w:hAnsi="Arial" w:cs="Arial"/>
          <w:color w:val="222222"/>
        </w:rPr>
        <w:t>,</w:t>
      </w:r>
      <w:r w:rsidRPr="009C59D1">
        <w:rPr>
          <w:rFonts w:ascii="Arial" w:hAnsi="Arial" w:cs="Arial"/>
          <w:color w:val="222222"/>
        </w:rPr>
        <w:t xml:space="preserve"> result</w:t>
      </w:r>
      <w:r>
        <w:rPr>
          <w:rFonts w:ascii="Arial" w:hAnsi="Arial" w:cs="Arial"/>
          <w:color w:val="222222"/>
        </w:rPr>
        <w:t>ing</w:t>
      </w:r>
      <w:r w:rsidRPr="009C59D1">
        <w:rPr>
          <w:rFonts w:ascii="Arial" w:hAnsi="Arial" w:cs="Arial"/>
          <w:color w:val="222222"/>
        </w:rPr>
        <w:t xml:space="preserve"> in opportunities for generators to cause </w:t>
      </w:r>
      <w:r>
        <w:rPr>
          <w:rFonts w:ascii="Arial" w:hAnsi="Arial" w:cs="Arial"/>
          <w:color w:val="222222"/>
        </w:rPr>
        <w:t>adverse</w:t>
      </w:r>
      <w:r w:rsidRPr="009C59D1">
        <w:rPr>
          <w:rFonts w:ascii="Arial" w:hAnsi="Arial" w:cs="Arial"/>
          <w:color w:val="222222"/>
        </w:rPr>
        <w:t xml:space="preserve"> pricing outcomes.</w:t>
      </w:r>
    </w:p>
    <w:p w14:paraId="198F7FBA" w14:textId="3FC410BF" w:rsidR="006069D4" w:rsidRDefault="006069D4" w:rsidP="006069D4">
      <w:pPr>
        <w:numPr>
          <w:ilvl w:val="1"/>
          <w:numId w:val="6"/>
        </w:numPr>
        <w:shd w:val="clear" w:color="auto" w:fill="FFFFFF"/>
        <w:spacing w:before="120" w:after="120"/>
        <w:ind w:left="360"/>
        <w:jc w:val="both"/>
        <w:rPr>
          <w:rFonts w:ascii="Arial" w:hAnsi="Arial" w:cs="Arial"/>
          <w:color w:val="222222"/>
        </w:rPr>
      </w:pPr>
      <w:r>
        <w:rPr>
          <w:rFonts w:ascii="Arial" w:hAnsi="Arial" w:cs="Arial"/>
          <w:color w:val="222222"/>
        </w:rPr>
        <w:t>Joint Consumers</w:t>
      </w:r>
      <w:r w:rsidRPr="009C59D1">
        <w:rPr>
          <w:rFonts w:ascii="Arial" w:hAnsi="Arial" w:cs="Arial"/>
          <w:color w:val="222222"/>
        </w:rPr>
        <w:t xml:space="preserve"> also recognize that different generators use RUC “opt</w:t>
      </w:r>
      <w:r>
        <w:rPr>
          <w:rFonts w:ascii="Arial" w:hAnsi="Arial" w:cs="Arial"/>
          <w:color w:val="222222"/>
        </w:rPr>
        <w:t>-</w:t>
      </w:r>
      <w:r w:rsidRPr="009C59D1">
        <w:rPr>
          <w:rFonts w:ascii="Arial" w:hAnsi="Arial" w:cs="Arial"/>
          <w:color w:val="222222"/>
        </w:rPr>
        <w:t xml:space="preserve">outs” in different ways. </w:t>
      </w:r>
      <w:r w:rsidR="00383D7C">
        <w:rPr>
          <w:rFonts w:ascii="Arial" w:hAnsi="Arial" w:cs="Arial"/>
          <w:color w:val="222222"/>
        </w:rPr>
        <w:t xml:space="preserve"> </w:t>
      </w:r>
      <w:r w:rsidRPr="009C59D1">
        <w:rPr>
          <w:rFonts w:ascii="Arial" w:hAnsi="Arial" w:cs="Arial"/>
          <w:color w:val="222222"/>
        </w:rPr>
        <w:t>While some generators use this to avoid having to make commitment decisions themselves and instead wait for ERCOT studies to do so</w:t>
      </w:r>
      <w:r>
        <w:rPr>
          <w:rFonts w:ascii="Arial" w:hAnsi="Arial" w:cs="Arial"/>
          <w:color w:val="222222"/>
        </w:rPr>
        <w:t>,</w:t>
      </w:r>
      <w:r w:rsidRPr="009C59D1">
        <w:rPr>
          <w:rFonts w:ascii="Arial" w:hAnsi="Arial" w:cs="Arial"/>
          <w:color w:val="222222"/>
        </w:rPr>
        <w:t xml:space="preserve"> like </w:t>
      </w:r>
      <w:r>
        <w:rPr>
          <w:rFonts w:ascii="Arial" w:hAnsi="Arial" w:cs="Arial"/>
          <w:color w:val="222222"/>
        </w:rPr>
        <w:t xml:space="preserve">in </w:t>
      </w:r>
      <w:r w:rsidRPr="009C59D1">
        <w:rPr>
          <w:rFonts w:ascii="Arial" w:hAnsi="Arial" w:cs="Arial"/>
          <w:color w:val="222222"/>
        </w:rPr>
        <w:t xml:space="preserve">a </w:t>
      </w:r>
      <w:r>
        <w:rPr>
          <w:rFonts w:ascii="Arial" w:hAnsi="Arial" w:cs="Arial"/>
          <w:color w:val="222222"/>
        </w:rPr>
        <w:t xml:space="preserve">centrally dispatched </w:t>
      </w:r>
      <w:r w:rsidR="00383D7C">
        <w:rPr>
          <w:rFonts w:ascii="Arial" w:hAnsi="Arial" w:cs="Arial"/>
          <w:color w:val="222222"/>
        </w:rPr>
        <w:t>p</w:t>
      </w:r>
      <w:r w:rsidRPr="009C59D1">
        <w:rPr>
          <w:rFonts w:ascii="Arial" w:hAnsi="Arial" w:cs="Arial"/>
          <w:color w:val="222222"/>
        </w:rPr>
        <w:t xml:space="preserve">ower </w:t>
      </w:r>
      <w:r w:rsidR="00383D7C">
        <w:rPr>
          <w:rFonts w:ascii="Arial" w:hAnsi="Arial" w:cs="Arial"/>
          <w:color w:val="222222"/>
        </w:rPr>
        <w:t>p</w:t>
      </w:r>
      <w:r w:rsidRPr="009C59D1">
        <w:rPr>
          <w:rFonts w:ascii="Arial" w:hAnsi="Arial" w:cs="Arial"/>
          <w:color w:val="222222"/>
        </w:rPr>
        <w:t xml:space="preserve">ool, others use it for swing risk. </w:t>
      </w:r>
      <w:r w:rsidR="00383D7C">
        <w:rPr>
          <w:rFonts w:ascii="Arial" w:hAnsi="Arial" w:cs="Arial"/>
          <w:color w:val="222222"/>
        </w:rPr>
        <w:t xml:space="preserve"> </w:t>
      </w:r>
      <w:r w:rsidRPr="009C59D1">
        <w:rPr>
          <w:rFonts w:ascii="Arial" w:hAnsi="Arial" w:cs="Arial"/>
          <w:color w:val="222222"/>
        </w:rPr>
        <w:t>When ERCOT sends RUC instructions too soon</w:t>
      </w:r>
      <w:r>
        <w:rPr>
          <w:rFonts w:ascii="Arial" w:hAnsi="Arial" w:cs="Arial"/>
          <w:color w:val="222222"/>
        </w:rPr>
        <w:t>, it</w:t>
      </w:r>
      <w:r w:rsidRPr="009C59D1">
        <w:rPr>
          <w:rFonts w:ascii="Arial" w:hAnsi="Arial" w:cs="Arial"/>
          <w:color w:val="222222"/>
        </w:rPr>
        <w:t xml:space="preserve"> increases the difficulty of generators </w:t>
      </w:r>
      <w:r>
        <w:rPr>
          <w:rFonts w:ascii="Arial" w:hAnsi="Arial" w:cs="Arial"/>
          <w:color w:val="222222"/>
        </w:rPr>
        <w:t xml:space="preserve">in </w:t>
      </w:r>
      <w:r w:rsidRPr="009C59D1">
        <w:rPr>
          <w:rFonts w:ascii="Arial" w:hAnsi="Arial" w:cs="Arial"/>
          <w:color w:val="222222"/>
        </w:rPr>
        <w:t xml:space="preserve">making self-commitment decisions. RUC should be delayed as long as possible to encourage self-commitments, while still maintaining reliability. </w:t>
      </w:r>
      <w:r w:rsidR="00383D7C">
        <w:rPr>
          <w:rFonts w:ascii="Arial" w:hAnsi="Arial" w:cs="Arial"/>
          <w:color w:val="222222"/>
        </w:rPr>
        <w:t xml:space="preserve"> </w:t>
      </w:r>
      <w:r w:rsidRPr="009C59D1">
        <w:rPr>
          <w:rFonts w:ascii="Arial" w:hAnsi="Arial" w:cs="Arial"/>
          <w:color w:val="222222"/>
        </w:rPr>
        <w:t xml:space="preserve">The 2019 </w:t>
      </w:r>
      <w:r>
        <w:rPr>
          <w:rFonts w:ascii="Arial" w:hAnsi="Arial" w:cs="Arial"/>
          <w:color w:val="222222"/>
        </w:rPr>
        <w:t>S</w:t>
      </w:r>
      <w:r w:rsidRPr="009C59D1">
        <w:rPr>
          <w:rFonts w:ascii="Arial" w:hAnsi="Arial" w:cs="Arial"/>
          <w:color w:val="222222"/>
        </w:rPr>
        <w:t xml:space="preserve">tate of the </w:t>
      </w:r>
      <w:r>
        <w:rPr>
          <w:rFonts w:ascii="Arial" w:hAnsi="Arial" w:cs="Arial"/>
          <w:color w:val="222222"/>
        </w:rPr>
        <w:t>M</w:t>
      </w:r>
      <w:r w:rsidRPr="009C59D1">
        <w:rPr>
          <w:rFonts w:ascii="Arial" w:hAnsi="Arial" w:cs="Arial"/>
          <w:color w:val="222222"/>
        </w:rPr>
        <w:t xml:space="preserve">arket </w:t>
      </w:r>
      <w:r>
        <w:rPr>
          <w:rFonts w:ascii="Arial" w:hAnsi="Arial" w:cs="Arial"/>
          <w:color w:val="222222"/>
        </w:rPr>
        <w:t>R</w:t>
      </w:r>
      <w:r w:rsidRPr="009C59D1">
        <w:rPr>
          <w:rFonts w:ascii="Arial" w:hAnsi="Arial" w:cs="Arial"/>
          <w:color w:val="222222"/>
        </w:rPr>
        <w:t>eport recommends removing opt-out</w:t>
      </w:r>
      <w:r>
        <w:rPr>
          <w:rFonts w:ascii="Arial" w:hAnsi="Arial" w:cs="Arial"/>
          <w:color w:val="222222"/>
        </w:rPr>
        <w:t xml:space="preserve">.  </w:t>
      </w:r>
    </w:p>
    <w:p w14:paraId="4336AE95" w14:textId="3C4AE0C1" w:rsidR="006069D4" w:rsidRPr="00383D7C" w:rsidRDefault="006069D4" w:rsidP="006069D4">
      <w:pPr>
        <w:numPr>
          <w:ilvl w:val="2"/>
          <w:numId w:val="6"/>
        </w:numPr>
        <w:shd w:val="clear" w:color="auto" w:fill="FFFFFF"/>
        <w:spacing w:before="120" w:after="120"/>
        <w:ind w:left="1080"/>
        <w:jc w:val="both"/>
        <w:rPr>
          <w:rFonts w:ascii="Arial" w:hAnsi="Arial" w:cs="Arial"/>
          <w:color w:val="222222"/>
        </w:rPr>
      </w:pPr>
      <w:r>
        <w:rPr>
          <w:rFonts w:ascii="Arial" w:hAnsi="Arial" w:cs="Arial"/>
          <w:color w:val="222222"/>
        </w:rPr>
        <w:t xml:space="preserve">Joint Consumers support the IMM’s recommendation. </w:t>
      </w:r>
      <w:r w:rsidRPr="009C59D1">
        <w:rPr>
          <w:rFonts w:ascii="Arial" w:hAnsi="Arial" w:cs="Arial"/>
          <w:color w:val="222222"/>
        </w:rPr>
        <w:t xml:space="preserve"> However, there should be a way to buy back/opt</w:t>
      </w:r>
      <w:r>
        <w:rPr>
          <w:rFonts w:ascii="Arial" w:hAnsi="Arial" w:cs="Arial"/>
          <w:color w:val="222222"/>
        </w:rPr>
        <w:t>-</w:t>
      </w:r>
      <w:r w:rsidRPr="009C59D1">
        <w:rPr>
          <w:rFonts w:ascii="Arial" w:hAnsi="Arial" w:cs="Arial"/>
          <w:color w:val="222222"/>
        </w:rPr>
        <w:t xml:space="preserve">out if ERCOT commits the RUC generator far in advance of its start-up time instead of deselecting it. Ultimately, deselection should occur more frequently and be required by </w:t>
      </w:r>
      <w:r w:rsidRPr="009C59D1">
        <w:rPr>
          <w:rFonts w:ascii="Arial" w:hAnsi="Arial" w:cs="Arial"/>
          <w:b/>
          <w:bCs/>
          <w:color w:val="222222"/>
        </w:rPr>
        <w:t xml:space="preserve">amending </w:t>
      </w:r>
      <w:r w:rsidR="00383D7C">
        <w:rPr>
          <w:rFonts w:ascii="Arial" w:hAnsi="Arial" w:cs="Arial"/>
          <w:b/>
          <w:bCs/>
          <w:color w:val="222222"/>
        </w:rPr>
        <w:t xml:space="preserve">paragraph (3) of Section </w:t>
      </w:r>
      <w:r w:rsidRPr="009C59D1">
        <w:rPr>
          <w:rFonts w:ascii="Arial" w:hAnsi="Arial" w:cs="Arial"/>
          <w:b/>
          <w:bCs/>
          <w:color w:val="222222"/>
        </w:rPr>
        <w:t>5.5.2</w:t>
      </w:r>
      <w:r>
        <w:rPr>
          <w:rFonts w:ascii="Arial" w:hAnsi="Arial" w:cs="Arial"/>
          <w:b/>
          <w:bCs/>
          <w:color w:val="222222"/>
        </w:rPr>
        <w:t xml:space="preserve">, </w:t>
      </w:r>
      <w:r w:rsidRPr="009C59D1">
        <w:rPr>
          <w:rFonts w:ascii="Arial" w:hAnsi="Arial" w:cs="Arial"/>
          <w:b/>
          <w:bCs/>
          <w:i/>
          <w:iCs/>
          <w:color w:val="222222"/>
        </w:rPr>
        <w:t>Reliability Unit Commitment (RUC) Process</w:t>
      </w:r>
      <w:r>
        <w:rPr>
          <w:rFonts w:ascii="Arial" w:hAnsi="Arial" w:cs="Arial"/>
          <w:b/>
          <w:bCs/>
          <w:color w:val="222222"/>
        </w:rPr>
        <w:t>,</w:t>
      </w:r>
      <w:r w:rsidRPr="009C59D1">
        <w:rPr>
          <w:rFonts w:ascii="Arial" w:hAnsi="Arial" w:cs="Arial"/>
          <w:color w:val="222222"/>
        </w:rPr>
        <w:t xml:space="preserve"> to tighten </w:t>
      </w:r>
      <w:r>
        <w:rPr>
          <w:rFonts w:ascii="Arial" w:hAnsi="Arial" w:cs="Arial"/>
          <w:color w:val="222222"/>
        </w:rPr>
        <w:t xml:space="preserve">the requirements allowing </w:t>
      </w:r>
      <w:r w:rsidRPr="009C59D1">
        <w:rPr>
          <w:rFonts w:ascii="Arial" w:hAnsi="Arial" w:cs="Arial"/>
          <w:color w:val="222222"/>
        </w:rPr>
        <w:t xml:space="preserve">ERCOT </w:t>
      </w:r>
      <w:r>
        <w:rPr>
          <w:rFonts w:ascii="Arial" w:hAnsi="Arial" w:cs="Arial"/>
          <w:color w:val="222222"/>
        </w:rPr>
        <w:t>to</w:t>
      </w:r>
      <w:r w:rsidRPr="009C59D1">
        <w:rPr>
          <w:rFonts w:ascii="Arial" w:hAnsi="Arial" w:cs="Arial"/>
          <w:color w:val="222222"/>
        </w:rPr>
        <w:t xml:space="preserve"> deselect </w:t>
      </w:r>
      <w:r>
        <w:rPr>
          <w:rFonts w:ascii="Arial" w:hAnsi="Arial" w:cs="Arial"/>
          <w:color w:val="222222"/>
        </w:rPr>
        <w:t xml:space="preserve">a unit and </w:t>
      </w:r>
      <w:r>
        <w:rPr>
          <w:rFonts w:ascii="Arial" w:hAnsi="Arial" w:cs="Arial"/>
          <w:b/>
          <w:bCs/>
          <w:color w:val="222222"/>
        </w:rPr>
        <w:t>retaining portions of</w:t>
      </w:r>
      <w:r w:rsidR="00383D7C">
        <w:rPr>
          <w:rFonts w:ascii="Arial" w:hAnsi="Arial" w:cs="Arial"/>
          <w:b/>
          <w:bCs/>
          <w:color w:val="222222"/>
        </w:rPr>
        <w:t xml:space="preserve"> paragraph (14) of</w:t>
      </w:r>
      <w:r>
        <w:rPr>
          <w:rFonts w:ascii="Arial" w:hAnsi="Arial" w:cs="Arial"/>
          <w:b/>
          <w:bCs/>
          <w:color w:val="222222"/>
        </w:rPr>
        <w:t xml:space="preserve"> 5.5.2 </w:t>
      </w:r>
      <w:r>
        <w:rPr>
          <w:rFonts w:ascii="Arial" w:hAnsi="Arial" w:cs="Arial"/>
          <w:color w:val="222222"/>
        </w:rPr>
        <w:t>to allow opt-out under much more limited circumstances</w:t>
      </w:r>
      <w:r w:rsidRPr="009C59D1">
        <w:rPr>
          <w:rFonts w:ascii="Arial" w:hAnsi="Arial" w:cs="Arial"/>
          <w:color w:val="222222"/>
        </w:rPr>
        <w:t xml:space="preserve">.  </w:t>
      </w:r>
    </w:p>
    <w:p w14:paraId="23D45CED" w14:textId="3E7FB2C9" w:rsidR="006069D4" w:rsidRDefault="006069D4" w:rsidP="006069D4">
      <w:pPr>
        <w:numPr>
          <w:ilvl w:val="0"/>
          <w:numId w:val="7"/>
        </w:numPr>
        <w:spacing w:before="120" w:after="120"/>
        <w:jc w:val="both"/>
        <w:rPr>
          <w:rFonts w:ascii="Arial" w:hAnsi="Arial" w:cs="Arial"/>
          <w:color w:val="222222"/>
        </w:rPr>
      </w:pPr>
      <w:r w:rsidRPr="009C59D1">
        <w:rPr>
          <w:rFonts w:ascii="Arial" w:hAnsi="Arial" w:cs="Arial"/>
          <w:color w:val="222222"/>
        </w:rPr>
        <w:t xml:space="preserve">There is also a perverse incentive here that </w:t>
      </w:r>
      <w:r>
        <w:rPr>
          <w:rFonts w:ascii="Arial" w:hAnsi="Arial" w:cs="Arial"/>
          <w:color w:val="222222"/>
        </w:rPr>
        <w:t>merits further consideration outside this NPRR</w:t>
      </w:r>
      <w:r w:rsidRPr="009C59D1">
        <w:rPr>
          <w:rFonts w:ascii="Arial" w:hAnsi="Arial" w:cs="Arial"/>
          <w:color w:val="222222"/>
        </w:rPr>
        <w:t xml:space="preserve">.  If a generator holds back on its self-commitment in favor of seeing many RUCs or by not giving ERCOT good information in their COP submittals, any </w:t>
      </w:r>
      <w:proofErr w:type="spellStart"/>
      <w:r w:rsidRPr="009C59D1">
        <w:rPr>
          <w:rFonts w:ascii="Arial" w:hAnsi="Arial" w:cs="Arial"/>
          <w:color w:val="222222"/>
        </w:rPr>
        <w:t>RUC</w:t>
      </w:r>
      <w:r>
        <w:rPr>
          <w:rFonts w:ascii="Arial" w:hAnsi="Arial" w:cs="Arial"/>
          <w:color w:val="222222"/>
        </w:rPr>
        <w:t>’</w:t>
      </w:r>
      <w:r w:rsidRPr="009C59D1">
        <w:rPr>
          <w:rFonts w:ascii="Arial" w:hAnsi="Arial" w:cs="Arial"/>
          <w:color w:val="222222"/>
        </w:rPr>
        <w:t>ed</w:t>
      </w:r>
      <w:proofErr w:type="spellEnd"/>
      <w:r w:rsidRPr="009C59D1">
        <w:rPr>
          <w:rFonts w:ascii="Arial" w:hAnsi="Arial" w:cs="Arial"/>
          <w:color w:val="222222"/>
        </w:rPr>
        <w:t xml:space="preserve"> generators are also removed from the ORDC calculation and added to the RDPA total</w:t>
      </w:r>
      <w:r>
        <w:rPr>
          <w:rFonts w:ascii="Arial" w:hAnsi="Arial" w:cs="Arial"/>
          <w:color w:val="222222"/>
        </w:rPr>
        <w:t>.</w:t>
      </w:r>
      <w:r w:rsidRPr="009C59D1">
        <w:rPr>
          <w:rFonts w:ascii="Arial" w:hAnsi="Arial" w:cs="Arial"/>
          <w:color w:val="222222"/>
        </w:rPr>
        <w:t xml:space="preserve"> </w:t>
      </w:r>
      <w:r w:rsidR="00383D7C">
        <w:rPr>
          <w:rFonts w:ascii="Arial" w:hAnsi="Arial" w:cs="Arial"/>
          <w:color w:val="222222"/>
        </w:rPr>
        <w:t xml:space="preserve"> </w:t>
      </w:r>
      <w:r>
        <w:rPr>
          <w:rFonts w:ascii="Arial" w:hAnsi="Arial" w:cs="Arial"/>
          <w:color w:val="222222"/>
        </w:rPr>
        <w:t>This process creates an</w:t>
      </w:r>
      <w:r w:rsidRPr="009C59D1">
        <w:rPr>
          <w:rFonts w:ascii="Arial" w:hAnsi="Arial" w:cs="Arial"/>
          <w:color w:val="222222"/>
        </w:rPr>
        <w:t xml:space="preserve"> incentive for that </w:t>
      </w:r>
      <w:r>
        <w:rPr>
          <w:rFonts w:ascii="Arial" w:hAnsi="Arial" w:cs="Arial"/>
          <w:color w:val="222222"/>
        </w:rPr>
        <w:t>generator</w:t>
      </w:r>
      <w:r w:rsidRPr="009C59D1">
        <w:rPr>
          <w:rFonts w:ascii="Arial" w:hAnsi="Arial" w:cs="Arial"/>
          <w:color w:val="222222"/>
        </w:rPr>
        <w:t xml:space="preserve"> to </w:t>
      </w:r>
      <w:r>
        <w:rPr>
          <w:rFonts w:ascii="Arial" w:hAnsi="Arial" w:cs="Arial"/>
          <w:color w:val="222222"/>
        </w:rPr>
        <w:t>pursue</w:t>
      </w:r>
      <w:r w:rsidRPr="009C59D1">
        <w:rPr>
          <w:rFonts w:ascii="Arial" w:hAnsi="Arial" w:cs="Arial"/>
          <w:color w:val="222222"/>
        </w:rPr>
        <w:t xml:space="preserve"> a windfall on higher ORDC/RDPA prices for its other plants that may be in service even when large amounts of reserve are actually </w:t>
      </w:r>
      <w:r w:rsidR="00383D7C">
        <w:rPr>
          <w:rFonts w:ascii="Arial" w:hAnsi="Arial" w:cs="Arial"/>
          <w:color w:val="222222"/>
        </w:rPr>
        <w:t>O</w:t>
      </w:r>
      <w:r w:rsidRPr="009C59D1">
        <w:rPr>
          <w:rFonts w:ascii="Arial" w:hAnsi="Arial" w:cs="Arial"/>
          <w:color w:val="222222"/>
        </w:rPr>
        <w:t>n</w:t>
      </w:r>
      <w:r w:rsidR="00383D7C">
        <w:rPr>
          <w:rFonts w:ascii="Arial" w:hAnsi="Arial" w:cs="Arial"/>
          <w:color w:val="222222"/>
        </w:rPr>
        <w:t>-L</w:t>
      </w:r>
      <w:r w:rsidRPr="009C59D1">
        <w:rPr>
          <w:rFonts w:ascii="Arial" w:hAnsi="Arial" w:cs="Arial"/>
          <w:color w:val="222222"/>
        </w:rPr>
        <w:t xml:space="preserve">ine and available for dispatch.  </w:t>
      </w:r>
    </w:p>
    <w:p w14:paraId="24FDBEED" w14:textId="77777777" w:rsidR="006069D4" w:rsidRDefault="006069D4" w:rsidP="006069D4">
      <w:pPr>
        <w:numPr>
          <w:ilvl w:val="1"/>
          <w:numId w:val="8"/>
        </w:numPr>
        <w:spacing w:before="120" w:after="120"/>
        <w:ind w:left="1170"/>
        <w:jc w:val="both"/>
        <w:rPr>
          <w:rFonts w:ascii="Arial" w:hAnsi="Arial" w:cs="Arial"/>
          <w:color w:val="222222"/>
        </w:rPr>
      </w:pPr>
      <w:r w:rsidRPr="009C59D1">
        <w:rPr>
          <w:rFonts w:ascii="Arial" w:hAnsi="Arial" w:cs="Arial"/>
          <w:color w:val="222222"/>
        </w:rPr>
        <w:t>The accuracy of submittals to the ERCOT COP has long been a major problem for ERCOT studies</w:t>
      </w:r>
      <w:r>
        <w:rPr>
          <w:rFonts w:ascii="Arial" w:hAnsi="Arial" w:cs="Arial"/>
          <w:color w:val="222222"/>
        </w:rPr>
        <w:t>.  COP accuracy is</w:t>
      </w:r>
      <w:r w:rsidRPr="009C59D1">
        <w:rPr>
          <w:rFonts w:ascii="Arial" w:hAnsi="Arial" w:cs="Arial"/>
          <w:color w:val="222222"/>
        </w:rPr>
        <w:t xml:space="preserve"> potentially </w:t>
      </w:r>
      <w:r>
        <w:rPr>
          <w:rFonts w:ascii="Arial" w:hAnsi="Arial" w:cs="Arial"/>
          <w:color w:val="222222"/>
        </w:rPr>
        <w:t>a</w:t>
      </w:r>
      <w:r w:rsidRPr="009C59D1">
        <w:rPr>
          <w:rFonts w:ascii="Arial" w:hAnsi="Arial" w:cs="Arial"/>
          <w:color w:val="222222"/>
        </w:rPr>
        <w:t xml:space="preserve"> root cause </w:t>
      </w:r>
      <w:r>
        <w:rPr>
          <w:rFonts w:ascii="Arial" w:hAnsi="Arial" w:cs="Arial"/>
          <w:color w:val="222222"/>
        </w:rPr>
        <w:t xml:space="preserve">of this windfall opportunity.  </w:t>
      </w:r>
    </w:p>
    <w:p w14:paraId="46CF7C62" w14:textId="632DF894" w:rsidR="006069D4" w:rsidRPr="00383D7C" w:rsidRDefault="006069D4" w:rsidP="00383D7C">
      <w:pPr>
        <w:numPr>
          <w:ilvl w:val="1"/>
          <w:numId w:val="8"/>
        </w:numPr>
        <w:spacing w:before="120" w:after="120"/>
        <w:ind w:left="1170"/>
        <w:jc w:val="both"/>
        <w:rPr>
          <w:rFonts w:ascii="Arial" w:hAnsi="Arial" w:cs="Arial"/>
          <w:color w:val="222222"/>
        </w:rPr>
      </w:pPr>
      <w:r w:rsidRPr="009C59D1">
        <w:rPr>
          <w:rFonts w:ascii="Arial" w:hAnsi="Arial" w:cs="Arial"/>
          <w:color w:val="222222"/>
        </w:rPr>
        <w:t xml:space="preserve">This same incentive </w:t>
      </w:r>
      <w:r>
        <w:rPr>
          <w:rFonts w:ascii="Arial" w:hAnsi="Arial" w:cs="Arial"/>
          <w:color w:val="222222"/>
        </w:rPr>
        <w:t xml:space="preserve">structure </w:t>
      </w:r>
      <w:r w:rsidRPr="009C59D1">
        <w:rPr>
          <w:rFonts w:ascii="Arial" w:hAnsi="Arial" w:cs="Arial"/>
          <w:color w:val="222222"/>
        </w:rPr>
        <w:t xml:space="preserve">promotes generation companies to obviate their </w:t>
      </w:r>
      <w:r w:rsidR="00383D7C">
        <w:rPr>
          <w:rFonts w:ascii="Arial" w:hAnsi="Arial" w:cs="Arial"/>
          <w:color w:val="222222"/>
        </w:rPr>
        <w:t>VMPs</w:t>
      </w:r>
      <w:r w:rsidRPr="009C59D1">
        <w:rPr>
          <w:rFonts w:ascii="Arial" w:hAnsi="Arial" w:cs="Arial"/>
          <w:color w:val="222222"/>
        </w:rPr>
        <w:t xml:space="preserve"> for generation plants that have market power.</w:t>
      </w:r>
      <w:r w:rsidR="00383D7C">
        <w:rPr>
          <w:rFonts w:ascii="Arial" w:hAnsi="Arial" w:cs="Arial"/>
          <w:color w:val="222222"/>
        </w:rPr>
        <w:t xml:space="preserve"> </w:t>
      </w:r>
      <w:r w:rsidRPr="009C59D1">
        <w:rPr>
          <w:rFonts w:ascii="Arial" w:hAnsi="Arial" w:cs="Arial"/>
          <w:color w:val="222222"/>
        </w:rPr>
        <w:t xml:space="preserve"> </w:t>
      </w:r>
      <w:r w:rsidRPr="00F8537E">
        <w:rPr>
          <w:rFonts w:ascii="Arial" w:hAnsi="Arial" w:cs="Arial"/>
          <w:color w:val="222222"/>
        </w:rPr>
        <w:t>Resolving these incentives are a longer-term</w:t>
      </w:r>
      <w:r>
        <w:rPr>
          <w:rFonts w:ascii="Arial" w:hAnsi="Arial" w:cs="Arial"/>
          <w:color w:val="222222"/>
        </w:rPr>
        <w:t xml:space="preserve"> challenge, which</w:t>
      </w:r>
      <w:r w:rsidRPr="009C59D1">
        <w:rPr>
          <w:rFonts w:ascii="Arial" w:hAnsi="Arial" w:cs="Arial"/>
          <w:color w:val="222222"/>
        </w:rPr>
        <w:t xml:space="preserve"> could result </w:t>
      </w:r>
      <w:r>
        <w:rPr>
          <w:rFonts w:ascii="Arial" w:hAnsi="Arial" w:cs="Arial"/>
          <w:color w:val="222222"/>
        </w:rPr>
        <w:t xml:space="preserve">down the road </w:t>
      </w:r>
      <w:r w:rsidRPr="009C59D1">
        <w:rPr>
          <w:rFonts w:ascii="Arial" w:hAnsi="Arial" w:cs="Arial"/>
          <w:color w:val="222222"/>
        </w:rPr>
        <w:t xml:space="preserve">in </w:t>
      </w:r>
      <w:r w:rsidRPr="00F8537E">
        <w:rPr>
          <w:rFonts w:ascii="Arial" w:hAnsi="Arial" w:cs="Arial"/>
          <w:color w:val="222222"/>
        </w:rPr>
        <w:t xml:space="preserve">OBD amendments </w:t>
      </w:r>
      <w:r w:rsidRPr="009C59D1">
        <w:rPr>
          <w:rFonts w:ascii="Arial" w:hAnsi="Arial" w:cs="Arial"/>
          <w:color w:val="222222"/>
        </w:rPr>
        <w:t xml:space="preserve">to the Methodology for Implementing Operating Reserve Demand Curve (ORDC) to Calculate Real-Time Reserve Price Adder when the PUCT reconsiders ORDC following the approach discussed in the Phase </w:t>
      </w:r>
      <w:r w:rsidRPr="009C59D1">
        <w:rPr>
          <w:rFonts w:ascii="Arial" w:hAnsi="Arial" w:cs="Arial"/>
          <w:color w:val="222222"/>
        </w:rPr>
        <w:lastRenderedPageBreak/>
        <w:t xml:space="preserve">1 ERCOT memo and amendments to </w:t>
      </w:r>
      <w:r w:rsidRPr="00F8537E">
        <w:rPr>
          <w:rFonts w:ascii="Arial" w:hAnsi="Arial" w:cs="Arial"/>
          <w:color w:val="222222"/>
        </w:rPr>
        <w:t>6.5.7.3.1, Determination of Real-Time On-Line Reliability Deployment Price Adder.</w:t>
      </w:r>
    </w:p>
    <w:p w14:paraId="20E39F7C" w14:textId="77777777" w:rsidR="006069D4" w:rsidRDefault="006069D4" w:rsidP="006069D4">
      <w:pPr>
        <w:numPr>
          <w:ilvl w:val="0"/>
          <w:numId w:val="7"/>
        </w:numPr>
        <w:shd w:val="clear" w:color="auto" w:fill="FFFFFF"/>
        <w:spacing w:before="120" w:after="120"/>
        <w:jc w:val="both"/>
        <w:rPr>
          <w:rFonts w:ascii="Arial" w:hAnsi="Arial" w:cs="Arial"/>
          <w:color w:val="222222"/>
        </w:rPr>
      </w:pPr>
      <w:r w:rsidRPr="009C59D1">
        <w:rPr>
          <w:rFonts w:ascii="Arial" w:hAnsi="Arial" w:cs="Arial"/>
          <w:color w:val="222222"/>
        </w:rPr>
        <w:t xml:space="preserve">While </w:t>
      </w:r>
      <w:r>
        <w:rPr>
          <w:rFonts w:ascii="Arial" w:hAnsi="Arial" w:cs="Arial"/>
          <w:color w:val="222222"/>
        </w:rPr>
        <w:t>Joint Consumers</w:t>
      </w:r>
      <w:r w:rsidRPr="009C59D1">
        <w:rPr>
          <w:rFonts w:ascii="Arial" w:hAnsi="Arial" w:cs="Arial"/>
          <w:color w:val="222222"/>
        </w:rPr>
        <w:t xml:space="preserve"> are reluctant to raise the proposed offer floor of $75 due to ongoing market power concerns, </w:t>
      </w:r>
      <w:r>
        <w:rPr>
          <w:rFonts w:ascii="Arial" w:hAnsi="Arial" w:cs="Arial"/>
          <w:color w:val="222222"/>
        </w:rPr>
        <w:t>Joint Consumers</w:t>
      </w:r>
      <w:r w:rsidRPr="009C59D1">
        <w:rPr>
          <w:rFonts w:ascii="Arial" w:hAnsi="Arial" w:cs="Arial"/>
          <w:color w:val="222222"/>
        </w:rPr>
        <w:t xml:space="preserve"> </w:t>
      </w:r>
      <w:r>
        <w:rPr>
          <w:rFonts w:ascii="Arial" w:hAnsi="Arial" w:cs="Arial"/>
          <w:color w:val="222222"/>
        </w:rPr>
        <w:t>could be</w:t>
      </w:r>
      <w:r w:rsidRPr="009C59D1">
        <w:rPr>
          <w:rFonts w:ascii="Arial" w:hAnsi="Arial" w:cs="Arial"/>
          <w:color w:val="222222"/>
        </w:rPr>
        <w:t xml:space="preserve"> comfortable with slightly higher numbers</w:t>
      </w:r>
      <w:r>
        <w:rPr>
          <w:rFonts w:ascii="Arial" w:hAnsi="Arial" w:cs="Arial"/>
          <w:color w:val="222222"/>
        </w:rPr>
        <w:t xml:space="preserve"> designed to replicate the prices where a RUC unit would otherwise self-commit</w:t>
      </w:r>
      <w:r w:rsidRPr="009C59D1">
        <w:rPr>
          <w:rFonts w:ascii="Arial" w:hAnsi="Arial" w:cs="Arial"/>
          <w:color w:val="222222"/>
        </w:rPr>
        <w:t xml:space="preserve">. </w:t>
      </w:r>
    </w:p>
    <w:p w14:paraId="576A1064" w14:textId="59DC49C6" w:rsidR="006069D4" w:rsidRDefault="006069D4" w:rsidP="006069D4">
      <w:pPr>
        <w:numPr>
          <w:ilvl w:val="1"/>
          <w:numId w:val="9"/>
        </w:numPr>
        <w:shd w:val="clear" w:color="auto" w:fill="FFFFFF"/>
        <w:spacing w:before="120" w:after="120"/>
        <w:ind w:left="1170"/>
        <w:jc w:val="both"/>
        <w:rPr>
          <w:rFonts w:ascii="Arial" w:hAnsi="Arial" w:cs="Arial"/>
          <w:color w:val="222222"/>
        </w:rPr>
      </w:pPr>
      <w:r>
        <w:rPr>
          <w:rFonts w:ascii="Arial" w:hAnsi="Arial" w:cs="Arial"/>
          <w:color w:val="222222"/>
        </w:rPr>
        <w:t>Joint Consumers are also open to the</w:t>
      </w:r>
      <w:r w:rsidRPr="009C59D1">
        <w:rPr>
          <w:rFonts w:ascii="Arial" w:hAnsi="Arial" w:cs="Arial"/>
          <w:color w:val="222222"/>
        </w:rPr>
        <w:t xml:space="preserve"> suggest</w:t>
      </w:r>
      <w:r>
        <w:rPr>
          <w:rFonts w:ascii="Arial" w:hAnsi="Arial" w:cs="Arial"/>
          <w:color w:val="222222"/>
        </w:rPr>
        <w:t>ion</w:t>
      </w:r>
      <w:r w:rsidRPr="009C59D1">
        <w:rPr>
          <w:rFonts w:ascii="Arial" w:hAnsi="Arial" w:cs="Arial"/>
          <w:color w:val="222222"/>
        </w:rPr>
        <w:t xml:space="preserve"> that an energy offer floor be indexed to the price of </w:t>
      </w:r>
      <w:r w:rsidR="00383D7C">
        <w:rPr>
          <w:rFonts w:ascii="Arial" w:hAnsi="Arial" w:cs="Arial"/>
          <w:color w:val="222222"/>
        </w:rPr>
        <w:t>n</w:t>
      </w:r>
      <w:r w:rsidRPr="009C59D1">
        <w:rPr>
          <w:rFonts w:ascii="Arial" w:hAnsi="Arial" w:cs="Arial"/>
          <w:color w:val="222222"/>
        </w:rPr>
        <w:t xml:space="preserve">atural </w:t>
      </w:r>
      <w:r w:rsidR="00383D7C">
        <w:rPr>
          <w:rFonts w:ascii="Arial" w:hAnsi="Arial" w:cs="Arial"/>
          <w:color w:val="222222"/>
        </w:rPr>
        <w:t>g</w:t>
      </w:r>
      <w:r w:rsidRPr="009C59D1">
        <w:rPr>
          <w:rFonts w:ascii="Arial" w:hAnsi="Arial" w:cs="Arial"/>
          <w:color w:val="222222"/>
        </w:rPr>
        <w:t>as multiplied by a heat rate factor between 15 and 20</w:t>
      </w:r>
      <w:r>
        <w:rPr>
          <w:rFonts w:ascii="Arial" w:hAnsi="Arial" w:cs="Arial"/>
          <w:color w:val="222222"/>
        </w:rPr>
        <w:t xml:space="preserve"> --</w:t>
      </w:r>
      <w:r w:rsidRPr="009C59D1">
        <w:rPr>
          <w:rFonts w:ascii="Arial" w:hAnsi="Arial" w:cs="Arial"/>
          <w:color w:val="222222"/>
        </w:rPr>
        <w:t xml:space="preserve"> well over the heat rates of any likely generation units to be </w:t>
      </w:r>
      <w:proofErr w:type="spellStart"/>
      <w:r w:rsidRPr="009C59D1">
        <w:rPr>
          <w:rFonts w:ascii="Arial" w:hAnsi="Arial" w:cs="Arial"/>
          <w:color w:val="222222"/>
        </w:rPr>
        <w:t>RUC</w:t>
      </w:r>
      <w:r>
        <w:rPr>
          <w:rFonts w:ascii="Arial" w:hAnsi="Arial" w:cs="Arial"/>
          <w:color w:val="222222"/>
        </w:rPr>
        <w:t>’</w:t>
      </w:r>
      <w:r w:rsidRPr="009C59D1">
        <w:rPr>
          <w:rFonts w:ascii="Arial" w:hAnsi="Arial" w:cs="Arial"/>
          <w:color w:val="222222"/>
        </w:rPr>
        <w:t>ed</w:t>
      </w:r>
      <w:proofErr w:type="spellEnd"/>
      <w:r w:rsidRPr="009C59D1">
        <w:rPr>
          <w:rFonts w:ascii="Arial" w:hAnsi="Arial" w:cs="Arial"/>
          <w:color w:val="222222"/>
        </w:rPr>
        <w:t xml:space="preserve">. </w:t>
      </w:r>
    </w:p>
    <w:p w14:paraId="797469FA" w14:textId="0711912E" w:rsidR="006069D4" w:rsidRPr="00383D7C" w:rsidRDefault="006069D4" w:rsidP="006069D4">
      <w:pPr>
        <w:numPr>
          <w:ilvl w:val="1"/>
          <w:numId w:val="9"/>
        </w:numPr>
        <w:shd w:val="clear" w:color="auto" w:fill="FFFFFF"/>
        <w:spacing w:before="120" w:after="120"/>
        <w:ind w:left="1170"/>
        <w:jc w:val="both"/>
        <w:rPr>
          <w:rFonts w:ascii="Arial" w:hAnsi="Arial" w:cs="Arial"/>
          <w:color w:val="222222"/>
        </w:rPr>
      </w:pPr>
      <w:r w:rsidRPr="009C59D1">
        <w:rPr>
          <w:rFonts w:ascii="Arial" w:hAnsi="Arial" w:cs="Arial"/>
          <w:color w:val="222222"/>
        </w:rPr>
        <w:t xml:space="preserve">To avoid gas market concerns raised by Commissioners, the gas price in this calculation could be a two-month rolling average. These proposals would result in </w:t>
      </w:r>
      <w:r w:rsidRPr="00F8537E">
        <w:rPr>
          <w:rFonts w:ascii="Arial" w:hAnsi="Arial" w:cs="Arial"/>
          <w:color w:val="222222"/>
        </w:rPr>
        <w:t xml:space="preserve">amendments to </w:t>
      </w:r>
      <w:r w:rsidR="00383D7C">
        <w:rPr>
          <w:rFonts w:ascii="Arial" w:hAnsi="Arial" w:cs="Arial"/>
          <w:color w:val="222222"/>
        </w:rPr>
        <w:t xml:space="preserve">paragraph </w:t>
      </w:r>
      <w:r w:rsidR="00383D7C" w:rsidRPr="00F8537E">
        <w:rPr>
          <w:rFonts w:ascii="Arial" w:hAnsi="Arial" w:cs="Arial"/>
          <w:color w:val="222222"/>
        </w:rPr>
        <w:t>(4)(e)</w:t>
      </w:r>
      <w:r w:rsidR="00383D7C">
        <w:rPr>
          <w:rFonts w:ascii="Arial" w:hAnsi="Arial" w:cs="Arial"/>
          <w:color w:val="222222"/>
        </w:rPr>
        <w:t xml:space="preserve"> of Section </w:t>
      </w:r>
      <w:r w:rsidRPr="00F8537E">
        <w:rPr>
          <w:rFonts w:ascii="Arial" w:hAnsi="Arial" w:cs="Arial"/>
          <w:color w:val="222222"/>
        </w:rPr>
        <w:t>6.5.7.3, Security Constrained Economic Dispatch.</w:t>
      </w:r>
    </w:p>
    <w:p w14:paraId="1B215029" w14:textId="41095779" w:rsidR="006069D4" w:rsidRPr="00383D7C" w:rsidRDefault="006069D4" w:rsidP="006069D4">
      <w:pPr>
        <w:numPr>
          <w:ilvl w:val="0"/>
          <w:numId w:val="7"/>
        </w:numPr>
        <w:shd w:val="clear" w:color="auto" w:fill="FFFFFF"/>
        <w:spacing w:before="120" w:after="120"/>
        <w:jc w:val="both"/>
        <w:rPr>
          <w:rFonts w:ascii="Arial" w:hAnsi="Arial" w:cs="Arial"/>
          <w:color w:val="222222"/>
        </w:rPr>
      </w:pPr>
      <w:r>
        <w:rPr>
          <w:rFonts w:ascii="Arial" w:hAnsi="Arial" w:cs="Arial"/>
          <w:color w:val="222222"/>
        </w:rPr>
        <w:t>Joint Consumers are open to considering</w:t>
      </w:r>
      <w:r w:rsidRPr="009C59D1">
        <w:rPr>
          <w:rFonts w:ascii="Arial" w:hAnsi="Arial" w:cs="Arial"/>
          <w:color w:val="222222"/>
        </w:rPr>
        <w:t xml:space="preserve"> returning to</w:t>
      </w:r>
      <w:r>
        <w:rPr>
          <w:rFonts w:ascii="Arial" w:hAnsi="Arial" w:cs="Arial"/>
          <w:color w:val="222222"/>
        </w:rPr>
        <w:t xml:space="preserve"> a </w:t>
      </w:r>
      <w:r w:rsidRPr="009C59D1">
        <w:rPr>
          <w:rFonts w:ascii="Arial" w:hAnsi="Arial" w:cs="Arial"/>
          <w:color w:val="222222"/>
        </w:rPr>
        <w:t xml:space="preserve">$1,500/MWh </w:t>
      </w:r>
      <w:r>
        <w:rPr>
          <w:rFonts w:ascii="Arial" w:hAnsi="Arial" w:cs="Arial"/>
          <w:color w:val="222222"/>
        </w:rPr>
        <w:t xml:space="preserve">offer floor </w:t>
      </w:r>
      <w:r w:rsidRPr="009C59D1">
        <w:rPr>
          <w:rFonts w:ascii="Arial" w:hAnsi="Arial" w:cs="Arial"/>
          <w:color w:val="222222"/>
        </w:rPr>
        <w:t xml:space="preserve">in the future if </w:t>
      </w:r>
      <w:r>
        <w:rPr>
          <w:rFonts w:ascii="Arial" w:hAnsi="Arial" w:cs="Arial"/>
          <w:color w:val="222222"/>
        </w:rPr>
        <w:t xml:space="preserve">ERCOT were to restore its prior </w:t>
      </w:r>
      <w:r w:rsidRPr="009C59D1">
        <w:rPr>
          <w:rFonts w:ascii="Arial" w:hAnsi="Arial" w:cs="Arial"/>
          <w:color w:val="222222"/>
        </w:rPr>
        <w:t xml:space="preserve">RUC </w:t>
      </w:r>
      <w:r>
        <w:rPr>
          <w:rFonts w:ascii="Arial" w:hAnsi="Arial" w:cs="Arial"/>
          <w:color w:val="222222"/>
        </w:rPr>
        <w:t>approach, where RUCs are</w:t>
      </w:r>
      <w:r w:rsidRPr="009C59D1">
        <w:rPr>
          <w:rFonts w:ascii="Arial" w:hAnsi="Arial" w:cs="Arial"/>
          <w:color w:val="222222"/>
        </w:rPr>
        <w:t xml:space="preserve"> rare and </w:t>
      </w:r>
      <w:r>
        <w:rPr>
          <w:rFonts w:ascii="Arial" w:hAnsi="Arial" w:cs="Arial"/>
          <w:color w:val="222222"/>
        </w:rPr>
        <w:t>do not contribute to</w:t>
      </w:r>
      <w:r w:rsidRPr="009C59D1">
        <w:rPr>
          <w:rFonts w:ascii="Arial" w:hAnsi="Arial" w:cs="Arial"/>
          <w:color w:val="222222"/>
        </w:rPr>
        <w:t xml:space="preserve"> inappropriately raising the price adders even when reserves are sufficient. </w:t>
      </w:r>
      <w:r w:rsidR="00383D7C">
        <w:rPr>
          <w:rFonts w:ascii="Arial" w:hAnsi="Arial" w:cs="Arial"/>
          <w:color w:val="222222"/>
        </w:rPr>
        <w:t xml:space="preserve"> </w:t>
      </w:r>
      <w:r w:rsidRPr="009C59D1">
        <w:rPr>
          <w:rFonts w:ascii="Arial" w:hAnsi="Arial" w:cs="Arial"/>
          <w:color w:val="222222"/>
        </w:rPr>
        <w:t xml:space="preserve">Therefore, </w:t>
      </w:r>
      <w:r>
        <w:rPr>
          <w:rFonts w:ascii="Arial" w:hAnsi="Arial" w:cs="Arial"/>
          <w:color w:val="222222"/>
        </w:rPr>
        <w:t>Consumers would</w:t>
      </w:r>
      <w:r w:rsidRPr="009C59D1">
        <w:rPr>
          <w:rFonts w:ascii="Arial" w:hAnsi="Arial" w:cs="Arial"/>
          <w:color w:val="222222"/>
        </w:rPr>
        <w:t xml:space="preserve"> support creating an annual metric by </w:t>
      </w:r>
      <w:r w:rsidRPr="00F8537E">
        <w:rPr>
          <w:rFonts w:ascii="Arial" w:hAnsi="Arial" w:cs="Arial"/>
          <w:color w:val="222222"/>
        </w:rPr>
        <w:t>amending Section 5.8, Annual RUC Reporting Requirement,</w:t>
      </w:r>
      <w:r w:rsidRPr="009C59D1">
        <w:rPr>
          <w:rFonts w:ascii="Arial" w:hAnsi="Arial" w:cs="Arial"/>
          <w:color w:val="222222"/>
        </w:rPr>
        <w:t xml:space="preserve"> to score ERCOT's RUC instructions for use in future market design decisions about the offer curve. </w:t>
      </w:r>
      <w:r w:rsidR="00383D7C">
        <w:rPr>
          <w:rFonts w:ascii="Arial" w:hAnsi="Arial" w:cs="Arial"/>
          <w:color w:val="222222"/>
        </w:rPr>
        <w:t xml:space="preserve"> </w:t>
      </w:r>
      <w:r w:rsidRPr="009C59D1">
        <w:rPr>
          <w:rFonts w:ascii="Arial" w:hAnsi="Arial" w:cs="Arial"/>
          <w:color w:val="222222"/>
        </w:rPr>
        <w:t xml:space="preserve">For the market to function, </w:t>
      </w:r>
      <w:r>
        <w:rPr>
          <w:rFonts w:ascii="Arial" w:hAnsi="Arial" w:cs="Arial"/>
          <w:color w:val="222222"/>
        </w:rPr>
        <w:t xml:space="preserve">Joint Consumers believe that </w:t>
      </w:r>
      <w:r w:rsidRPr="009C59D1">
        <w:rPr>
          <w:rFonts w:ascii="Arial" w:hAnsi="Arial" w:cs="Arial"/>
          <w:color w:val="222222"/>
        </w:rPr>
        <w:t xml:space="preserve">RUCs must </w:t>
      </w:r>
      <w:r>
        <w:rPr>
          <w:rFonts w:ascii="Arial" w:hAnsi="Arial" w:cs="Arial"/>
          <w:color w:val="222222"/>
        </w:rPr>
        <w:t xml:space="preserve">ultimately be </w:t>
      </w:r>
      <w:r w:rsidRPr="009C59D1">
        <w:rPr>
          <w:rFonts w:ascii="Arial" w:hAnsi="Arial" w:cs="Arial"/>
          <w:color w:val="222222"/>
        </w:rPr>
        <w:t>reduced</w:t>
      </w:r>
      <w:r>
        <w:rPr>
          <w:rFonts w:ascii="Arial" w:hAnsi="Arial" w:cs="Arial"/>
          <w:color w:val="222222"/>
        </w:rPr>
        <w:t xml:space="preserve">.  The current ORDC changes were designed to ensure sufficient self-commitment, but instead substantial capacity is still being </w:t>
      </w:r>
      <w:proofErr w:type="spellStart"/>
      <w:r>
        <w:rPr>
          <w:rFonts w:ascii="Arial" w:hAnsi="Arial" w:cs="Arial"/>
          <w:color w:val="222222"/>
        </w:rPr>
        <w:t>RUC’ed</w:t>
      </w:r>
      <w:proofErr w:type="spellEnd"/>
      <w:r>
        <w:rPr>
          <w:rFonts w:ascii="Arial" w:hAnsi="Arial" w:cs="Arial"/>
          <w:color w:val="222222"/>
        </w:rPr>
        <w:t xml:space="preserve">.  Joint Consumers are unclear as to whether this is a timing or informational issue, but the combination of the ORDC price increases with ERCOT’s current RUC practices are causing substantial unintended consequences.  </w:t>
      </w:r>
      <w:r w:rsidRPr="009C59D1">
        <w:rPr>
          <w:rFonts w:ascii="Arial" w:hAnsi="Arial" w:cs="Arial"/>
          <w:color w:val="222222"/>
        </w:rPr>
        <w:t> </w:t>
      </w:r>
    </w:p>
    <w:p w14:paraId="2E0421B0" w14:textId="32FCB2F8" w:rsidR="00834492" w:rsidRPr="006069D4" w:rsidRDefault="006069D4" w:rsidP="006069D4">
      <w:pPr>
        <w:spacing w:before="120" w:after="120"/>
        <w:jc w:val="both"/>
        <w:rPr>
          <w:rFonts w:ascii="Arial" w:hAnsi="Arial" w:cs="Arial"/>
          <w:color w:val="222222"/>
        </w:rPr>
      </w:pPr>
      <w:r w:rsidRPr="009C59D1">
        <w:rPr>
          <w:rFonts w:ascii="Arial" w:hAnsi="Arial" w:cs="Arial"/>
          <w:color w:val="222222"/>
        </w:rPr>
        <w:t xml:space="preserve">If these ideas gain traction at the workshop, </w:t>
      </w:r>
      <w:r w:rsidR="00383D7C">
        <w:rPr>
          <w:rFonts w:ascii="Arial" w:hAnsi="Arial" w:cs="Arial"/>
          <w:color w:val="222222"/>
        </w:rPr>
        <w:t xml:space="preserve">Joint </w:t>
      </w:r>
      <w:r>
        <w:rPr>
          <w:rFonts w:ascii="Arial" w:hAnsi="Arial" w:cs="Arial"/>
          <w:color w:val="222222"/>
        </w:rPr>
        <w:t>Consumers</w:t>
      </w:r>
      <w:r w:rsidRPr="009C59D1">
        <w:rPr>
          <w:rFonts w:ascii="Arial" w:hAnsi="Arial" w:cs="Arial"/>
          <w:color w:val="222222"/>
        </w:rPr>
        <w:t xml:space="preserve"> will file amended NPRR language in subsequent comments.</w:t>
      </w:r>
    </w:p>
    <w:tbl>
      <w:tblPr>
        <w:tblW w:w="5452"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2"/>
      </w:tblGrid>
      <w:tr w:rsidR="0049058A" w14:paraId="7CF54C53" w14:textId="77777777" w:rsidTr="006069D4">
        <w:trPr>
          <w:trHeight w:val="350"/>
        </w:trPr>
        <w:tc>
          <w:tcPr>
            <w:tcW w:w="5000" w:type="pct"/>
            <w:tcBorders>
              <w:bottom w:val="single" w:sz="4" w:space="0" w:color="auto"/>
            </w:tcBorders>
            <w:shd w:val="clear" w:color="auto" w:fill="FFFFFF"/>
            <w:vAlign w:val="center"/>
          </w:tcPr>
          <w:p w14:paraId="39513F47" w14:textId="77777777" w:rsidR="0049058A" w:rsidRDefault="0049058A" w:rsidP="00E22095">
            <w:pPr>
              <w:pStyle w:val="Header"/>
              <w:jc w:val="center"/>
            </w:pPr>
            <w:r>
              <w:t>Revised Cover Page Language</w:t>
            </w:r>
          </w:p>
        </w:tc>
      </w:tr>
    </w:tbl>
    <w:p w14:paraId="697DFB92" w14:textId="77777777" w:rsidR="0049058A" w:rsidRPr="001C71F5" w:rsidRDefault="0049058A" w:rsidP="0049058A">
      <w:pPr>
        <w:pStyle w:val="BodyText"/>
        <w:rPr>
          <w:rFonts w:ascii="Arial" w:hAnsi="Arial" w:cs="Arial"/>
        </w:rPr>
      </w:pPr>
      <w:r w:rsidRPr="001C71F5">
        <w:rPr>
          <w:rFonts w:ascii="Arial" w:hAnsi="Arial" w:cs="Arial"/>
        </w:rPr>
        <w:t>None</w:t>
      </w:r>
    </w:p>
    <w:tbl>
      <w:tblPr>
        <w:tblW w:w="5451"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49058A" w14:paraId="3A36A7B0" w14:textId="77777777" w:rsidTr="006069D4">
        <w:trPr>
          <w:trHeight w:val="350"/>
        </w:trPr>
        <w:tc>
          <w:tcPr>
            <w:tcW w:w="5000" w:type="pct"/>
            <w:tcBorders>
              <w:bottom w:val="single" w:sz="4" w:space="0" w:color="auto"/>
            </w:tcBorders>
            <w:shd w:val="clear" w:color="auto" w:fill="FFFFFF"/>
            <w:vAlign w:val="center"/>
          </w:tcPr>
          <w:p w14:paraId="2128EDC7" w14:textId="77777777" w:rsidR="0049058A" w:rsidRDefault="0049058A" w:rsidP="00E22095">
            <w:pPr>
              <w:pStyle w:val="Header"/>
              <w:jc w:val="center"/>
            </w:pPr>
            <w:r>
              <w:t>Revised Proposed Protocol Language</w:t>
            </w:r>
          </w:p>
        </w:tc>
      </w:tr>
    </w:tbl>
    <w:p w14:paraId="5DCBCDD9" w14:textId="77777777" w:rsidR="0049058A" w:rsidRPr="001C71F5" w:rsidRDefault="0049058A" w:rsidP="0049058A">
      <w:pPr>
        <w:pStyle w:val="BodyText"/>
        <w:rPr>
          <w:rFonts w:ascii="Arial" w:hAnsi="Arial" w:cs="Arial"/>
        </w:rPr>
      </w:pPr>
      <w:r w:rsidRPr="001C71F5">
        <w:rPr>
          <w:rFonts w:ascii="Arial" w:hAnsi="Arial" w:cs="Arial"/>
        </w:rPr>
        <w:t>None</w:t>
      </w:r>
    </w:p>
    <w:sectPr w:rsidR="0049058A" w:rsidRPr="001C71F5"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9439" w14:textId="77777777" w:rsidR="000B071E" w:rsidRDefault="000B071E">
      <w:r>
        <w:separator/>
      </w:r>
    </w:p>
  </w:endnote>
  <w:endnote w:type="continuationSeparator" w:id="0">
    <w:p w14:paraId="1CA02B09" w14:textId="77777777" w:rsidR="000B071E" w:rsidRDefault="000B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11EE" w14:textId="686DDA52" w:rsidR="00EE6681" w:rsidRPr="00283FC9"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sidRPr="00283FC9">
      <w:rPr>
        <w:rFonts w:ascii="Arial" w:hAnsi="Arial"/>
        <w:sz w:val="18"/>
      </w:rPr>
      <w:instrText xml:space="preserve"> FILENAME   \* MERGEFORMAT </w:instrText>
    </w:r>
    <w:r>
      <w:rPr>
        <w:rFonts w:ascii="Arial" w:hAnsi="Arial"/>
        <w:sz w:val="18"/>
      </w:rPr>
      <w:fldChar w:fldCharType="separate"/>
    </w:r>
    <w:r w:rsidR="006069D4">
      <w:rPr>
        <w:rFonts w:ascii="Arial" w:hAnsi="Arial"/>
        <w:noProof/>
        <w:sz w:val="18"/>
      </w:rPr>
      <w:t>1092NPRR-24 Joint Commenters Comments 030122</w:t>
    </w:r>
    <w:r>
      <w:rPr>
        <w:rFonts w:ascii="Arial" w:hAnsi="Arial"/>
        <w:sz w:val="18"/>
      </w:rPr>
      <w:fldChar w:fldCharType="end"/>
    </w:r>
    <w:r w:rsidR="00EE6681" w:rsidRPr="00283FC9">
      <w:rPr>
        <w:rFonts w:ascii="Arial" w:hAnsi="Arial"/>
        <w:sz w:val="18"/>
      </w:rPr>
      <w:tab/>
      <w:t xml:space="preserve">Page </w:t>
    </w:r>
    <w:r w:rsidR="00EE6681">
      <w:rPr>
        <w:rFonts w:ascii="Arial" w:hAnsi="Arial"/>
        <w:sz w:val="18"/>
      </w:rPr>
      <w:fldChar w:fldCharType="begin"/>
    </w:r>
    <w:r w:rsidR="00EE6681" w:rsidRPr="00664E8C">
      <w:rPr>
        <w:rFonts w:ascii="Arial" w:hAnsi="Arial"/>
        <w:sz w:val="18"/>
        <w:lang w:val="fr-FR"/>
      </w:rPr>
      <w:instrText xml:space="preserve"> PAGE </w:instrText>
    </w:r>
    <w:r w:rsidR="00EE6681">
      <w:rPr>
        <w:rFonts w:ascii="Arial" w:hAnsi="Arial"/>
        <w:sz w:val="18"/>
      </w:rPr>
      <w:fldChar w:fldCharType="separate"/>
    </w:r>
    <w:r w:rsidRPr="00664E8C">
      <w:rPr>
        <w:rFonts w:ascii="Arial" w:hAnsi="Arial"/>
        <w:noProof/>
        <w:sz w:val="18"/>
        <w:lang w:val="fr-FR"/>
      </w:rPr>
      <w:t>1</w:t>
    </w:r>
    <w:r w:rsidR="00EE6681">
      <w:rPr>
        <w:rFonts w:ascii="Arial" w:hAnsi="Arial"/>
        <w:sz w:val="18"/>
      </w:rPr>
      <w:fldChar w:fldCharType="end"/>
    </w:r>
    <w:r w:rsidR="00EE6681" w:rsidRPr="00283FC9">
      <w:rPr>
        <w:rFonts w:ascii="Arial" w:hAnsi="Arial"/>
        <w:sz w:val="18"/>
      </w:rPr>
      <w:t xml:space="preserve"> of </w:t>
    </w:r>
    <w:r w:rsidR="00EE6681">
      <w:rPr>
        <w:rFonts w:ascii="Arial" w:hAnsi="Arial"/>
        <w:sz w:val="18"/>
      </w:rPr>
      <w:fldChar w:fldCharType="begin"/>
    </w:r>
    <w:r w:rsidR="00EE6681" w:rsidRPr="00664E8C">
      <w:rPr>
        <w:rFonts w:ascii="Arial" w:hAnsi="Arial"/>
        <w:sz w:val="18"/>
        <w:lang w:val="fr-FR"/>
      </w:rPr>
      <w:instrText xml:space="preserve"> NUMPAGES </w:instrText>
    </w:r>
    <w:r w:rsidR="00EE6681">
      <w:rPr>
        <w:rFonts w:ascii="Arial" w:hAnsi="Arial"/>
        <w:sz w:val="18"/>
      </w:rPr>
      <w:fldChar w:fldCharType="separate"/>
    </w:r>
    <w:r w:rsidRPr="00664E8C">
      <w:rPr>
        <w:rFonts w:ascii="Arial" w:hAnsi="Arial"/>
        <w:noProof/>
        <w:sz w:val="18"/>
        <w:lang w:val="fr-FR"/>
      </w:rPr>
      <w:t>1</w:t>
    </w:r>
    <w:r w:rsidR="00EE6681">
      <w:rPr>
        <w:rFonts w:ascii="Arial" w:hAnsi="Arial"/>
        <w:sz w:val="18"/>
      </w:rPr>
      <w:fldChar w:fldCharType="end"/>
    </w:r>
  </w:p>
  <w:p w14:paraId="190DC5AF"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46E4" w14:textId="77777777" w:rsidR="000B071E" w:rsidRDefault="000B071E">
      <w:r>
        <w:separator/>
      </w:r>
    </w:p>
  </w:footnote>
  <w:footnote w:type="continuationSeparator" w:id="0">
    <w:p w14:paraId="1CC9054B" w14:textId="77777777" w:rsidR="000B071E" w:rsidRDefault="000B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BFD4" w14:textId="46D487DB" w:rsidR="00EE6681" w:rsidRPr="00135096" w:rsidRDefault="00EE6681" w:rsidP="00135096">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E0537E"/>
    <w:multiLevelType w:val="hybridMultilevel"/>
    <w:tmpl w:val="FCD051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F43CB"/>
    <w:multiLevelType w:val="hybridMultilevel"/>
    <w:tmpl w:val="0D1C2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16EC8"/>
    <w:multiLevelType w:val="hybridMultilevel"/>
    <w:tmpl w:val="574A0640"/>
    <w:lvl w:ilvl="0" w:tplc="FFFFFFFF">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DB5056"/>
    <w:multiLevelType w:val="hybridMultilevel"/>
    <w:tmpl w:val="771878A2"/>
    <w:lvl w:ilvl="0" w:tplc="369A331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F156D"/>
    <w:multiLevelType w:val="hybridMultilevel"/>
    <w:tmpl w:val="75084F6A"/>
    <w:lvl w:ilvl="0" w:tplc="FFFFFFFF">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9A46945"/>
    <w:multiLevelType w:val="hybridMultilevel"/>
    <w:tmpl w:val="1D62BA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9991B6F"/>
    <w:multiLevelType w:val="hybridMultilevel"/>
    <w:tmpl w:val="3D6256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1"/>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8193"/>
  </w:hdrShapeDefaults>
  <w:footnotePr>
    <w:footnote w:id="-1"/>
    <w:footnote w:id="0"/>
  </w:footnotePr>
  <w:endnotePr>
    <w:endnote w:id="-1"/>
    <w:endnote w:id="0"/>
  </w:endnotePr>
  <w:compat>
    <w:forgetLastTabAlignment/>
    <w:doNotUseHTMLParagraphAutoSpacing/>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031DF"/>
    <w:rsid w:val="00003AC8"/>
    <w:rsid w:val="00006DFF"/>
    <w:rsid w:val="000227DA"/>
    <w:rsid w:val="00027344"/>
    <w:rsid w:val="00027AE7"/>
    <w:rsid w:val="000310A7"/>
    <w:rsid w:val="0003410C"/>
    <w:rsid w:val="00037668"/>
    <w:rsid w:val="00040D33"/>
    <w:rsid w:val="00064260"/>
    <w:rsid w:val="00070C41"/>
    <w:rsid w:val="00075A94"/>
    <w:rsid w:val="000A5CDD"/>
    <w:rsid w:val="000A76DC"/>
    <w:rsid w:val="000B071E"/>
    <w:rsid w:val="000C05EE"/>
    <w:rsid w:val="000C730C"/>
    <w:rsid w:val="000D06A3"/>
    <w:rsid w:val="000D0C57"/>
    <w:rsid w:val="000D5B27"/>
    <w:rsid w:val="000D7B0B"/>
    <w:rsid w:val="000E77CC"/>
    <w:rsid w:val="000F523B"/>
    <w:rsid w:val="000F545A"/>
    <w:rsid w:val="000F6DE5"/>
    <w:rsid w:val="000F7476"/>
    <w:rsid w:val="00100DE9"/>
    <w:rsid w:val="00106ABC"/>
    <w:rsid w:val="00112CAE"/>
    <w:rsid w:val="00113870"/>
    <w:rsid w:val="0012331E"/>
    <w:rsid w:val="00123705"/>
    <w:rsid w:val="001261D5"/>
    <w:rsid w:val="00132855"/>
    <w:rsid w:val="0013296E"/>
    <w:rsid w:val="00135096"/>
    <w:rsid w:val="001358C8"/>
    <w:rsid w:val="00141173"/>
    <w:rsid w:val="001418BC"/>
    <w:rsid w:val="00145E06"/>
    <w:rsid w:val="00150E2B"/>
    <w:rsid w:val="00152993"/>
    <w:rsid w:val="00170297"/>
    <w:rsid w:val="0018444C"/>
    <w:rsid w:val="00185DC9"/>
    <w:rsid w:val="00191F75"/>
    <w:rsid w:val="00197027"/>
    <w:rsid w:val="001972C1"/>
    <w:rsid w:val="001A0889"/>
    <w:rsid w:val="001A227D"/>
    <w:rsid w:val="001B375B"/>
    <w:rsid w:val="001B5464"/>
    <w:rsid w:val="001D1100"/>
    <w:rsid w:val="001E2032"/>
    <w:rsid w:val="001E5A47"/>
    <w:rsid w:val="001F4EFC"/>
    <w:rsid w:val="001F69A0"/>
    <w:rsid w:val="00202693"/>
    <w:rsid w:val="00204E98"/>
    <w:rsid w:val="00206862"/>
    <w:rsid w:val="00207917"/>
    <w:rsid w:val="00210332"/>
    <w:rsid w:val="00217A8D"/>
    <w:rsid w:val="00221674"/>
    <w:rsid w:val="002333F9"/>
    <w:rsid w:val="002356E3"/>
    <w:rsid w:val="00235778"/>
    <w:rsid w:val="002476DD"/>
    <w:rsid w:val="00247CE8"/>
    <w:rsid w:val="00260EEE"/>
    <w:rsid w:val="00262711"/>
    <w:rsid w:val="00275099"/>
    <w:rsid w:val="00276181"/>
    <w:rsid w:val="00283FC9"/>
    <w:rsid w:val="002870E3"/>
    <w:rsid w:val="002879E4"/>
    <w:rsid w:val="002B7B4E"/>
    <w:rsid w:val="002C0E97"/>
    <w:rsid w:val="002C5E72"/>
    <w:rsid w:val="002D3CE0"/>
    <w:rsid w:val="002D3FCF"/>
    <w:rsid w:val="002D50DA"/>
    <w:rsid w:val="002E0327"/>
    <w:rsid w:val="002E10DC"/>
    <w:rsid w:val="002F4C47"/>
    <w:rsid w:val="003010C0"/>
    <w:rsid w:val="00306907"/>
    <w:rsid w:val="0031025C"/>
    <w:rsid w:val="00312058"/>
    <w:rsid w:val="00322613"/>
    <w:rsid w:val="00326C8C"/>
    <w:rsid w:val="003301FB"/>
    <w:rsid w:val="00330554"/>
    <w:rsid w:val="00332A97"/>
    <w:rsid w:val="00334200"/>
    <w:rsid w:val="00335944"/>
    <w:rsid w:val="0034247E"/>
    <w:rsid w:val="00347D81"/>
    <w:rsid w:val="00350C00"/>
    <w:rsid w:val="00350C27"/>
    <w:rsid w:val="00366113"/>
    <w:rsid w:val="00375A6F"/>
    <w:rsid w:val="003773EF"/>
    <w:rsid w:val="00383D7C"/>
    <w:rsid w:val="00391575"/>
    <w:rsid w:val="0039522F"/>
    <w:rsid w:val="003A41C2"/>
    <w:rsid w:val="003A530B"/>
    <w:rsid w:val="003A5888"/>
    <w:rsid w:val="003B051B"/>
    <w:rsid w:val="003B2262"/>
    <w:rsid w:val="003B653B"/>
    <w:rsid w:val="003C270C"/>
    <w:rsid w:val="003D0994"/>
    <w:rsid w:val="003D6586"/>
    <w:rsid w:val="003D7713"/>
    <w:rsid w:val="003D78F9"/>
    <w:rsid w:val="003F5E83"/>
    <w:rsid w:val="004007B7"/>
    <w:rsid w:val="00402FD5"/>
    <w:rsid w:val="0040607E"/>
    <w:rsid w:val="00412F3E"/>
    <w:rsid w:val="0041382E"/>
    <w:rsid w:val="00414BA7"/>
    <w:rsid w:val="00422CC6"/>
    <w:rsid w:val="00423824"/>
    <w:rsid w:val="00426132"/>
    <w:rsid w:val="0043073D"/>
    <w:rsid w:val="0043567D"/>
    <w:rsid w:val="004372F6"/>
    <w:rsid w:val="004550A9"/>
    <w:rsid w:val="00467A84"/>
    <w:rsid w:val="00471C4F"/>
    <w:rsid w:val="00473D36"/>
    <w:rsid w:val="00474C21"/>
    <w:rsid w:val="0049058A"/>
    <w:rsid w:val="0049110B"/>
    <w:rsid w:val="004A0F36"/>
    <w:rsid w:val="004A3544"/>
    <w:rsid w:val="004B269F"/>
    <w:rsid w:val="004B5B39"/>
    <w:rsid w:val="004B7B90"/>
    <w:rsid w:val="004C0D1E"/>
    <w:rsid w:val="004C19D6"/>
    <w:rsid w:val="004C2523"/>
    <w:rsid w:val="004D4015"/>
    <w:rsid w:val="004D7E39"/>
    <w:rsid w:val="004E289D"/>
    <w:rsid w:val="004E2C19"/>
    <w:rsid w:val="004F2314"/>
    <w:rsid w:val="004F3FC6"/>
    <w:rsid w:val="005014F7"/>
    <w:rsid w:val="00502F0A"/>
    <w:rsid w:val="0051293B"/>
    <w:rsid w:val="0051364D"/>
    <w:rsid w:val="005261B5"/>
    <w:rsid w:val="0053053D"/>
    <w:rsid w:val="00537EA6"/>
    <w:rsid w:val="00541626"/>
    <w:rsid w:val="005600F4"/>
    <w:rsid w:val="00577468"/>
    <w:rsid w:val="0058201F"/>
    <w:rsid w:val="00590CAF"/>
    <w:rsid w:val="00591738"/>
    <w:rsid w:val="005C42BD"/>
    <w:rsid w:val="005C5E78"/>
    <w:rsid w:val="005C5E91"/>
    <w:rsid w:val="005D284C"/>
    <w:rsid w:val="005D562A"/>
    <w:rsid w:val="005D6561"/>
    <w:rsid w:val="005E0A92"/>
    <w:rsid w:val="005E2532"/>
    <w:rsid w:val="005F4969"/>
    <w:rsid w:val="005F6F92"/>
    <w:rsid w:val="00604512"/>
    <w:rsid w:val="006069D4"/>
    <w:rsid w:val="00611C98"/>
    <w:rsid w:val="00612917"/>
    <w:rsid w:val="006217D0"/>
    <w:rsid w:val="00633E23"/>
    <w:rsid w:val="0065646B"/>
    <w:rsid w:val="00662A6D"/>
    <w:rsid w:val="00664E8C"/>
    <w:rsid w:val="00670D84"/>
    <w:rsid w:val="0067373B"/>
    <w:rsid w:val="00673B94"/>
    <w:rsid w:val="00680AC6"/>
    <w:rsid w:val="006835D8"/>
    <w:rsid w:val="00684BFA"/>
    <w:rsid w:val="00687ACF"/>
    <w:rsid w:val="00692293"/>
    <w:rsid w:val="0069777F"/>
    <w:rsid w:val="006A6BFF"/>
    <w:rsid w:val="006B1A63"/>
    <w:rsid w:val="006B75DB"/>
    <w:rsid w:val="006C2CE8"/>
    <w:rsid w:val="006C316E"/>
    <w:rsid w:val="006D0274"/>
    <w:rsid w:val="006D0F7C"/>
    <w:rsid w:val="006D69CC"/>
    <w:rsid w:val="006D7502"/>
    <w:rsid w:val="006F78FA"/>
    <w:rsid w:val="007020DF"/>
    <w:rsid w:val="00703F64"/>
    <w:rsid w:val="00706051"/>
    <w:rsid w:val="007066E9"/>
    <w:rsid w:val="007100B6"/>
    <w:rsid w:val="007102F1"/>
    <w:rsid w:val="007153C7"/>
    <w:rsid w:val="00722EA2"/>
    <w:rsid w:val="00726811"/>
    <w:rsid w:val="007269C4"/>
    <w:rsid w:val="00727881"/>
    <w:rsid w:val="0074209E"/>
    <w:rsid w:val="00747901"/>
    <w:rsid w:val="00755E13"/>
    <w:rsid w:val="0075765C"/>
    <w:rsid w:val="00757DE3"/>
    <w:rsid w:val="00765FB1"/>
    <w:rsid w:val="00776954"/>
    <w:rsid w:val="00780C0A"/>
    <w:rsid w:val="007C34E8"/>
    <w:rsid w:val="007C732F"/>
    <w:rsid w:val="007D35A9"/>
    <w:rsid w:val="007D4646"/>
    <w:rsid w:val="007D4B1D"/>
    <w:rsid w:val="007E5A3E"/>
    <w:rsid w:val="007E5E23"/>
    <w:rsid w:val="007F0F1C"/>
    <w:rsid w:val="007F2CA8"/>
    <w:rsid w:val="007F4F55"/>
    <w:rsid w:val="007F7161"/>
    <w:rsid w:val="007F7661"/>
    <w:rsid w:val="008018FE"/>
    <w:rsid w:val="00834492"/>
    <w:rsid w:val="00840EDD"/>
    <w:rsid w:val="008428B1"/>
    <w:rsid w:val="0085559E"/>
    <w:rsid w:val="0085594A"/>
    <w:rsid w:val="008605D8"/>
    <w:rsid w:val="00866E89"/>
    <w:rsid w:val="008735F9"/>
    <w:rsid w:val="00873C21"/>
    <w:rsid w:val="00873D7A"/>
    <w:rsid w:val="00874A96"/>
    <w:rsid w:val="008757D7"/>
    <w:rsid w:val="00877FF2"/>
    <w:rsid w:val="00882959"/>
    <w:rsid w:val="00884C05"/>
    <w:rsid w:val="00891B56"/>
    <w:rsid w:val="008952FB"/>
    <w:rsid w:val="00896B1B"/>
    <w:rsid w:val="008B0872"/>
    <w:rsid w:val="008B5559"/>
    <w:rsid w:val="008E37D0"/>
    <w:rsid w:val="008E4B6F"/>
    <w:rsid w:val="008E559E"/>
    <w:rsid w:val="008F246E"/>
    <w:rsid w:val="00906FB0"/>
    <w:rsid w:val="009115B9"/>
    <w:rsid w:val="00913AC6"/>
    <w:rsid w:val="00916080"/>
    <w:rsid w:val="009214C3"/>
    <w:rsid w:val="00921A68"/>
    <w:rsid w:val="00921AEF"/>
    <w:rsid w:val="00923814"/>
    <w:rsid w:val="00924D05"/>
    <w:rsid w:val="00935C4F"/>
    <w:rsid w:val="00941344"/>
    <w:rsid w:val="00943ED5"/>
    <w:rsid w:val="00944688"/>
    <w:rsid w:val="00947ECE"/>
    <w:rsid w:val="00956FCF"/>
    <w:rsid w:val="00972201"/>
    <w:rsid w:val="009841A6"/>
    <w:rsid w:val="0099310C"/>
    <w:rsid w:val="009A1354"/>
    <w:rsid w:val="009A3A90"/>
    <w:rsid w:val="009A560A"/>
    <w:rsid w:val="009A6858"/>
    <w:rsid w:val="009B1B8A"/>
    <w:rsid w:val="009C0617"/>
    <w:rsid w:val="009C716B"/>
    <w:rsid w:val="009E585C"/>
    <w:rsid w:val="009F68BF"/>
    <w:rsid w:val="00A015C4"/>
    <w:rsid w:val="00A15172"/>
    <w:rsid w:val="00A24002"/>
    <w:rsid w:val="00A27BC8"/>
    <w:rsid w:val="00A32A09"/>
    <w:rsid w:val="00A35BA4"/>
    <w:rsid w:val="00A37C95"/>
    <w:rsid w:val="00A5161F"/>
    <w:rsid w:val="00A57BF5"/>
    <w:rsid w:val="00A630EC"/>
    <w:rsid w:val="00A71278"/>
    <w:rsid w:val="00A71A88"/>
    <w:rsid w:val="00A72926"/>
    <w:rsid w:val="00A76CAA"/>
    <w:rsid w:val="00A7761E"/>
    <w:rsid w:val="00A82BD2"/>
    <w:rsid w:val="00A93577"/>
    <w:rsid w:val="00A97801"/>
    <w:rsid w:val="00AA1D39"/>
    <w:rsid w:val="00AA7E82"/>
    <w:rsid w:val="00AB7374"/>
    <w:rsid w:val="00AC378D"/>
    <w:rsid w:val="00AD1BA8"/>
    <w:rsid w:val="00AE216D"/>
    <w:rsid w:val="00AF0BE9"/>
    <w:rsid w:val="00AF1D22"/>
    <w:rsid w:val="00B06AF2"/>
    <w:rsid w:val="00B174AC"/>
    <w:rsid w:val="00B30DC9"/>
    <w:rsid w:val="00B47117"/>
    <w:rsid w:val="00B5080A"/>
    <w:rsid w:val="00B5734D"/>
    <w:rsid w:val="00B81451"/>
    <w:rsid w:val="00B943AE"/>
    <w:rsid w:val="00B95034"/>
    <w:rsid w:val="00B950D5"/>
    <w:rsid w:val="00BA4F8F"/>
    <w:rsid w:val="00BC3E5C"/>
    <w:rsid w:val="00BD58D7"/>
    <w:rsid w:val="00BD5DAA"/>
    <w:rsid w:val="00BD7258"/>
    <w:rsid w:val="00BE3185"/>
    <w:rsid w:val="00BF109E"/>
    <w:rsid w:val="00BF233A"/>
    <w:rsid w:val="00C0598D"/>
    <w:rsid w:val="00C11956"/>
    <w:rsid w:val="00C220E3"/>
    <w:rsid w:val="00C262F3"/>
    <w:rsid w:val="00C27C1A"/>
    <w:rsid w:val="00C504D1"/>
    <w:rsid w:val="00C52134"/>
    <w:rsid w:val="00C52EB8"/>
    <w:rsid w:val="00C602E5"/>
    <w:rsid w:val="00C748FD"/>
    <w:rsid w:val="00C7495C"/>
    <w:rsid w:val="00C81198"/>
    <w:rsid w:val="00C81FFE"/>
    <w:rsid w:val="00C83EEC"/>
    <w:rsid w:val="00C86856"/>
    <w:rsid w:val="00CA626A"/>
    <w:rsid w:val="00CB1B3F"/>
    <w:rsid w:val="00CB1F87"/>
    <w:rsid w:val="00CB574E"/>
    <w:rsid w:val="00CE2F20"/>
    <w:rsid w:val="00CF0FF8"/>
    <w:rsid w:val="00CF2551"/>
    <w:rsid w:val="00D0266F"/>
    <w:rsid w:val="00D03B6B"/>
    <w:rsid w:val="00D051A0"/>
    <w:rsid w:val="00D15E74"/>
    <w:rsid w:val="00D20076"/>
    <w:rsid w:val="00D2056F"/>
    <w:rsid w:val="00D223AD"/>
    <w:rsid w:val="00D262BB"/>
    <w:rsid w:val="00D2702D"/>
    <w:rsid w:val="00D34745"/>
    <w:rsid w:val="00D4046E"/>
    <w:rsid w:val="00D4362F"/>
    <w:rsid w:val="00D57B21"/>
    <w:rsid w:val="00D73BBB"/>
    <w:rsid w:val="00D83B04"/>
    <w:rsid w:val="00D86FFA"/>
    <w:rsid w:val="00DA0F57"/>
    <w:rsid w:val="00DA2B0A"/>
    <w:rsid w:val="00DA5ED1"/>
    <w:rsid w:val="00DB01EE"/>
    <w:rsid w:val="00DB1963"/>
    <w:rsid w:val="00DB407B"/>
    <w:rsid w:val="00DC50A7"/>
    <w:rsid w:val="00DC7524"/>
    <w:rsid w:val="00DD24EF"/>
    <w:rsid w:val="00DD4739"/>
    <w:rsid w:val="00DE33BA"/>
    <w:rsid w:val="00DE46BE"/>
    <w:rsid w:val="00DE5F33"/>
    <w:rsid w:val="00DF10D3"/>
    <w:rsid w:val="00E07B54"/>
    <w:rsid w:val="00E105A6"/>
    <w:rsid w:val="00E11F78"/>
    <w:rsid w:val="00E14EC3"/>
    <w:rsid w:val="00E16AB6"/>
    <w:rsid w:val="00E24DE2"/>
    <w:rsid w:val="00E314B0"/>
    <w:rsid w:val="00E33FF3"/>
    <w:rsid w:val="00E52AB7"/>
    <w:rsid w:val="00E53169"/>
    <w:rsid w:val="00E559B0"/>
    <w:rsid w:val="00E577C2"/>
    <w:rsid w:val="00E57979"/>
    <w:rsid w:val="00E621E1"/>
    <w:rsid w:val="00E72A92"/>
    <w:rsid w:val="00E766E9"/>
    <w:rsid w:val="00E77C12"/>
    <w:rsid w:val="00E77D76"/>
    <w:rsid w:val="00EA55ED"/>
    <w:rsid w:val="00EA69CF"/>
    <w:rsid w:val="00EA6F3C"/>
    <w:rsid w:val="00EB7523"/>
    <w:rsid w:val="00EC0D49"/>
    <w:rsid w:val="00EC55B3"/>
    <w:rsid w:val="00EE5C6C"/>
    <w:rsid w:val="00EE6681"/>
    <w:rsid w:val="00EF50F8"/>
    <w:rsid w:val="00F0222F"/>
    <w:rsid w:val="00F0281B"/>
    <w:rsid w:val="00F04FC4"/>
    <w:rsid w:val="00F1039B"/>
    <w:rsid w:val="00F26C44"/>
    <w:rsid w:val="00F5505A"/>
    <w:rsid w:val="00F574F8"/>
    <w:rsid w:val="00F63777"/>
    <w:rsid w:val="00F67008"/>
    <w:rsid w:val="00F6777E"/>
    <w:rsid w:val="00F77549"/>
    <w:rsid w:val="00F8065D"/>
    <w:rsid w:val="00F809DE"/>
    <w:rsid w:val="00F84305"/>
    <w:rsid w:val="00F96FB2"/>
    <w:rsid w:val="00FA1C9D"/>
    <w:rsid w:val="00FA47B1"/>
    <w:rsid w:val="00FA6485"/>
    <w:rsid w:val="00FA65BF"/>
    <w:rsid w:val="00FB0AC2"/>
    <w:rsid w:val="00FB51D8"/>
    <w:rsid w:val="00FB70FE"/>
    <w:rsid w:val="00FB7EC9"/>
    <w:rsid w:val="00FD08E8"/>
    <w:rsid w:val="00FD2458"/>
    <w:rsid w:val="00FD467F"/>
    <w:rsid w:val="00FE41B7"/>
    <w:rsid w:val="00FF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65FBB6"/>
  <w15:docId w15:val="{D05E7D2B-2B85-40A5-8C4E-89010C57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FootnoteText">
    <w:name w:val="footnote text"/>
    <w:basedOn w:val="Normal"/>
    <w:link w:val="FootnoteTextChar"/>
    <w:rsid w:val="0051293B"/>
    <w:rPr>
      <w:sz w:val="20"/>
      <w:szCs w:val="20"/>
    </w:rPr>
  </w:style>
  <w:style w:type="character" w:customStyle="1" w:styleId="FootnoteTextChar">
    <w:name w:val="Footnote Text Char"/>
    <w:basedOn w:val="DefaultParagraphFont"/>
    <w:link w:val="FootnoteText"/>
    <w:rsid w:val="0051293B"/>
  </w:style>
  <w:style w:type="character" w:styleId="FootnoteReference">
    <w:name w:val="footnote reference"/>
    <w:rsid w:val="0051293B"/>
    <w:rPr>
      <w:vertAlign w:val="superscript"/>
    </w:rPr>
  </w:style>
  <w:style w:type="character" w:styleId="UnresolvedMention">
    <w:name w:val="Unresolved Mention"/>
    <w:uiPriority w:val="99"/>
    <w:semiHidden/>
    <w:unhideWhenUsed/>
    <w:rsid w:val="0051293B"/>
    <w:rPr>
      <w:color w:val="605E5C"/>
      <w:shd w:val="clear" w:color="auto" w:fill="E1DFDD"/>
    </w:rPr>
  </w:style>
  <w:style w:type="paragraph" w:styleId="Revision">
    <w:name w:val="Revision"/>
    <w:hidden/>
    <w:uiPriority w:val="99"/>
    <w:semiHidden/>
    <w:rsid w:val="00217A8D"/>
    <w:rPr>
      <w:sz w:val="24"/>
      <w:szCs w:val="24"/>
    </w:rPr>
  </w:style>
  <w:style w:type="character" w:styleId="FollowedHyperlink">
    <w:name w:val="FollowedHyperlink"/>
    <w:rsid w:val="0065646B"/>
    <w:rPr>
      <w:color w:val="954F72"/>
      <w:u w:val="single"/>
    </w:rPr>
  </w:style>
  <w:style w:type="character" w:customStyle="1" w:styleId="NormalArialChar">
    <w:name w:val="Normal+Arial Char"/>
    <w:link w:val="NormalArial"/>
    <w:rsid w:val="00027AE7"/>
    <w:rPr>
      <w:rFonts w:ascii="Arial" w:hAnsi="Arial"/>
      <w:sz w:val="24"/>
      <w:szCs w:val="24"/>
    </w:rPr>
  </w:style>
  <w:style w:type="character" w:customStyle="1" w:styleId="HeaderChar">
    <w:name w:val="Header Char"/>
    <w:link w:val="Header"/>
    <w:rsid w:val="00027AE7"/>
    <w:rPr>
      <w:rFonts w:ascii="Arial" w:hAnsi="Arial"/>
      <w:b/>
      <w:bCs/>
      <w:sz w:val="24"/>
      <w:szCs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027AE7"/>
    <w:rPr>
      <w:sz w:val="24"/>
      <w:szCs w:val="24"/>
    </w:rPr>
  </w:style>
  <w:style w:type="paragraph" w:customStyle="1" w:styleId="xmsonormal">
    <w:name w:val="x_msonormal"/>
    <w:basedOn w:val="Normal"/>
    <w:rsid w:val="00027AE7"/>
    <w:rPr>
      <w:rFonts w:ascii="Calibri" w:eastAsia="Calibri" w:hAnsi="Calibri" w:cs="Calibri"/>
      <w:sz w:val="22"/>
      <w:szCs w:val="22"/>
    </w:rPr>
  </w:style>
  <w:style w:type="paragraph" w:styleId="ListParagraph">
    <w:name w:val="List Paragraph"/>
    <w:basedOn w:val="Normal"/>
    <w:uiPriority w:val="34"/>
    <w:qFormat/>
    <w:rsid w:val="006069D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24977">
      <w:bodyDiv w:val="1"/>
      <w:marLeft w:val="0"/>
      <w:marRight w:val="0"/>
      <w:marTop w:val="0"/>
      <w:marBottom w:val="0"/>
      <w:divBdr>
        <w:top w:val="none" w:sz="0" w:space="0" w:color="auto"/>
        <w:left w:val="none" w:sz="0" w:space="0" w:color="auto"/>
        <w:bottom w:val="none" w:sz="0" w:space="0" w:color="auto"/>
        <w:right w:val="none" w:sz="0" w:space="0" w:color="auto"/>
      </w:divBdr>
    </w:div>
    <w:div w:id="836924710">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ic@ericwintersgof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0426C-55BA-43F0-B7A4-8F4A0D91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1975</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13209</CharactersWithSpaces>
  <SharedDoc>false</SharedDoc>
  <HLinks>
    <vt:vector size="48" baseType="variant">
      <vt:variant>
        <vt:i4>4128833</vt:i4>
      </vt:variant>
      <vt:variant>
        <vt:i4>3</vt:i4>
      </vt:variant>
      <vt:variant>
        <vt:i4>0</vt:i4>
      </vt:variant>
      <vt:variant>
        <vt:i4>5</vt:i4>
      </vt:variant>
      <vt:variant>
        <vt:lpwstr>mailto:Ian.Haley@VistraCorp.com</vt:lpwstr>
      </vt:variant>
      <vt:variant>
        <vt:lpwstr/>
      </vt:variant>
      <vt:variant>
        <vt:i4>1048647</vt:i4>
      </vt:variant>
      <vt:variant>
        <vt:i4>0</vt:i4>
      </vt:variant>
      <vt:variant>
        <vt:i4>0</vt:i4>
      </vt:variant>
      <vt:variant>
        <vt:i4>5</vt:i4>
      </vt:variant>
      <vt:variant>
        <vt:lpwstr>http://www.ercot.com/mktrules/issues/NPRR1092</vt:lpwstr>
      </vt:variant>
      <vt:variant>
        <vt:lpwstr/>
      </vt:variant>
      <vt:variant>
        <vt:i4>3801193</vt:i4>
      </vt:variant>
      <vt:variant>
        <vt:i4>15</vt:i4>
      </vt:variant>
      <vt:variant>
        <vt:i4>0</vt:i4>
      </vt:variant>
      <vt:variant>
        <vt:i4>5</vt:i4>
      </vt:variant>
      <vt:variant>
        <vt:lpwstr>https://www.ercot.com/files/docs/2012/07/18/416nprr_34_board_report_071712.doc</vt:lpwstr>
      </vt:variant>
      <vt:variant>
        <vt:lpwstr/>
      </vt:variant>
      <vt:variant>
        <vt:i4>851981</vt:i4>
      </vt:variant>
      <vt:variant>
        <vt:i4>12</vt:i4>
      </vt:variant>
      <vt:variant>
        <vt:i4>0</vt:i4>
      </vt:variant>
      <vt:variant>
        <vt:i4>5</vt:i4>
      </vt:variant>
      <vt:variant>
        <vt:lpwstr>https://interchange.puc.texas.gov/Documents/52373_246_1165964.PDF</vt:lpwstr>
      </vt:variant>
      <vt:variant>
        <vt:lpwstr/>
      </vt:variant>
      <vt:variant>
        <vt:i4>1376296</vt:i4>
      </vt:variant>
      <vt:variant>
        <vt:i4>9</vt:i4>
      </vt:variant>
      <vt:variant>
        <vt:i4>0</vt:i4>
      </vt:variant>
      <vt:variant>
        <vt:i4>5</vt:i4>
      </vt:variant>
      <vt:variant>
        <vt:lpwstr>https://gov.texas.gov/uploads/files/press/SCAN_20210706130409.pdf</vt:lpwstr>
      </vt:variant>
      <vt:variant>
        <vt:lpwstr/>
      </vt:variant>
      <vt:variant>
        <vt:i4>1507413</vt:i4>
      </vt:variant>
      <vt:variant>
        <vt:i4>6</vt:i4>
      </vt:variant>
      <vt:variant>
        <vt:i4>0</vt:i4>
      </vt:variant>
      <vt:variant>
        <vt:i4>5</vt:i4>
      </vt:variant>
      <vt:variant>
        <vt:lpwstr>https://www.ercot.com/files/docs/2022/01/31/15. ERCOT Reports.zip</vt:lpwstr>
      </vt:variant>
      <vt:variant>
        <vt:lpwstr/>
      </vt:variant>
      <vt:variant>
        <vt:i4>6684784</vt:i4>
      </vt:variant>
      <vt:variant>
        <vt:i4>3</vt:i4>
      </vt:variant>
      <vt:variant>
        <vt:i4>0</vt:i4>
      </vt:variant>
      <vt:variant>
        <vt:i4>5</vt:i4>
      </vt:variant>
      <vt:variant>
        <vt:lpwstr>https://www.ercot.com/news/release?id=76fc832e-5306-3d59-9a58-abaa6fa1a4e2</vt:lpwstr>
      </vt:variant>
      <vt:variant>
        <vt:lpwstr/>
      </vt:variant>
      <vt:variant>
        <vt:i4>8060978</vt:i4>
      </vt:variant>
      <vt:variant>
        <vt:i4>0</vt:i4>
      </vt:variant>
      <vt:variant>
        <vt:i4>0</vt:i4>
      </vt:variant>
      <vt:variant>
        <vt:i4>5</vt:i4>
      </vt:variant>
      <vt:variant>
        <vt:lpwstr>https://www.ercot.com/files/docs/2016/10/12/5_-_Overview_of_the_RUC_Process_for_QMWG_-_Final.pptx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3</cp:revision>
  <cp:lastPrinted>2022-02-07T17:36:00Z</cp:lastPrinted>
  <dcterms:created xsi:type="dcterms:W3CDTF">2022-03-01T18:43:00Z</dcterms:created>
  <dcterms:modified xsi:type="dcterms:W3CDTF">2022-03-01T19:04:00Z</dcterms:modified>
</cp:coreProperties>
</file>