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20A7CF14" w:rsidR="008E6E0E" w:rsidRDefault="00256832" w:rsidP="008E6E0E">
      <w:pPr>
        <w:spacing w:after="0" w:line="240" w:lineRule="auto"/>
        <w:jc w:val="center"/>
        <w:rPr>
          <w:rFonts w:ascii="Calibri" w:hAnsi="Calibri"/>
          <w:u w:val="single"/>
        </w:rPr>
      </w:pPr>
      <w:r>
        <w:rPr>
          <w:rFonts w:ascii="Calibri" w:hAnsi="Calibri"/>
          <w:u w:val="single"/>
        </w:rPr>
        <w:t>Voltage Support Service</w:t>
      </w:r>
      <w:r w:rsidR="00A0107D">
        <w:rPr>
          <w:rFonts w:ascii="Calibri" w:hAnsi="Calibri"/>
          <w:u w:val="single"/>
        </w:rPr>
        <w:t xml:space="preserve"> (Directive </w:t>
      </w:r>
      <w:r>
        <w:rPr>
          <w:rFonts w:ascii="Calibri" w:hAnsi="Calibri"/>
          <w:u w:val="single"/>
        </w:rPr>
        <w:t>8</w:t>
      </w:r>
      <w:r w:rsidR="008E6E0E" w:rsidRPr="00F16A93">
        <w:rPr>
          <w:rFonts w:ascii="Calibri" w:hAnsi="Calibri"/>
          <w:u w:val="single"/>
        </w:rPr>
        <w:t>)</w:t>
      </w:r>
    </w:p>
    <w:p w14:paraId="55F4202E" w14:textId="77777777" w:rsidR="008E6E0E" w:rsidRDefault="008E6E0E">
      <w:pPr>
        <w:rPr>
          <w:u w:val="single"/>
        </w:rPr>
      </w:pPr>
    </w:p>
    <w:p w14:paraId="4ACA1DAB" w14:textId="30B4DFBD" w:rsidR="00230A62" w:rsidRPr="003C5735" w:rsidRDefault="00230A62">
      <w:r w:rsidRPr="00034255">
        <w:rPr>
          <w:u w:val="single"/>
        </w:rPr>
        <w:t>Date</w:t>
      </w:r>
      <w:r w:rsidR="00A0107D" w:rsidRPr="00034255">
        <w:t xml:space="preserve">:  </w:t>
      </w:r>
      <w:r w:rsidR="00256832" w:rsidRPr="00034255">
        <w:t>0</w:t>
      </w:r>
      <w:r w:rsidR="001F2780" w:rsidRPr="00034255">
        <w:t>2</w:t>
      </w:r>
      <w:r w:rsidR="00256832" w:rsidRPr="00034255">
        <w:t>/1</w:t>
      </w:r>
      <w:r w:rsidR="001F2780" w:rsidRPr="00034255">
        <w:t>7</w:t>
      </w:r>
      <w:r w:rsidR="00005EFA" w:rsidRPr="00034255">
        <w:t>/</w:t>
      </w:r>
      <w:r w:rsidR="00E9283E" w:rsidRPr="00034255">
        <w:t>202</w:t>
      </w:r>
      <w:r w:rsidR="00256832" w:rsidRPr="00034255">
        <w:t>2</w:t>
      </w:r>
    </w:p>
    <w:p w14:paraId="4304747A" w14:textId="397CA902" w:rsidR="00EB1C87" w:rsidRDefault="00230A62" w:rsidP="00EB1C87">
      <w:r w:rsidRPr="003C5735">
        <w:rPr>
          <w:u w:val="single"/>
        </w:rPr>
        <w:t>Market stakeholder input</w:t>
      </w:r>
      <w:r w:rsidR="00F3035C" w:rsidRPr="003C5735">
        <w:t xml:space="preserve">: </w:t>
      </w:r>
      <w:r w:rsidR="00C502DA" w:rsidRPr="003C5735">
        <w:t>RPG 04/24/2018, RPG 11/27/2018, RPG 01/22/2019, RPG 02/19/2019, RPG 03/12/2019, ROS 05/02/2019, ROS 12/03/2020, TAC 01/20/2021</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256832">
        <w:trPr>
          <w:trHeight w:val="1867"/>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64728B6E" w:rsidR="009C4E17" w:rsidRPr="009C4E17" w:rsidRDefault="009C4E17" w:rsidP="0001152C">
            <w:r w:rsidRPr="009C4E17">
              <w:rPr>
                <w:b/>
                <w:bCs/>
              </w:rPr>
              <w:t>Directive #</w:t>
            </w:r>
            <w:r w:rsidR="00256832">
              <w:rPr>
                <w:b/>
                <w:bCs/>
              </w:rPr>
              <w:t>8</w:t>
            </w:r>
            <w:r w:rsidRPr="009C4E17">
              <w:rPr>
                <w:b/>
                <w:bCs/>
              </w:rPr>
              <w:t xml:space="preserve"> </w:t>
            </w:r>
            <w:r w:rsidR="00F3035C">
              <w:rPr>
                <w:b/>
                <w:bCs/>
              </w:rPr>
              <w:t>–</w:t>
            </w:r>
            <w:r w:rsidRPr="009C4E17">
              <w:rPr>
                <w:b/>
                <w:bCs/>
              </w:rPr>
              <w:t xml:space="preserve"> </w:t>
            </w:r>
            <w:r w:rsidR="0025705E" w:rsidRPr="009C4E17">
              <w:rPr>
                <w:b/>
                <w:bCs/>
              </w:rPr>
              <w:t>Frequency response and voltage support</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49A90CC3" w:rsidR="009C4E17" w:rsidRPr="009C4E17" w:rsidRDefault="00256832" w:rsidP="00A0107D">
            <w: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14:paraId="2A8FE8DF" w14:textId="77777777" w:rsidR="00CB15E3" w:rsidRPr="00723164" w:rsidRDefault="00CB15E3" w:rsidP="00723164">
      <w:pPr>
        <w:spacing w:after="0"/>
        <w:rPr>
          <w:i/>
          <w:color w:val="FF0000"/>
        </w:rPr>
      </w:pPr>
    </w:p>
    <w:p w14:paraId="11714809" w14:textId="60FF5F2C" w:rsidR="0025705E" w:rsidRPr="0025705E" w:rsidRDefault="0025705E" w:rsidP="00854AB7">
      <w:pPr>
        <w:jc w:val="both"/>
        <w:rPr>
          <w:rFonts w:cs="Arial"/>
        </w:rPr>
      </w:pPr>
      <w:r w:rsidRPr="0025705E">
        <w:rPr>
          <w:rFonts w:cs="Arial"/>
        </w:rPr>
        <w:t>Note: This determination concerns only the voltage support service portion of Directive 8. Directive 8 Primary Frequency Response (PFR) was addressed by ERCOT Board on 08/07/2018.</w:t>
      </w:r>
    </w:p>
    <w:p w14:paraId="247A8DEF" w14:textId="524BDA13" w:rsidR="003C5735" w:rsidRPr="00F02A8E" w:rsidRDefault="0077476B" w:rsidP="00F02A8E">
      <w:pPr>
        <w:jc w:val="both"/>
        <w:rPr>
          <w:b/>
          <w:i/>
          <w:color w:val="FF0000"/>
        </w:rPr>
      </w:pPr>
      <w:r w:rsidRPr="003C5735">
        <w:rPr>
          <w:b/>
          <w:i/>
          <w:color w:val="FF0000"/>
        </w:rPr>
        <w:t xml:space="preserve">Determination: </w:t>
      </w:r>
      <w:r w:rsidR="00854AB7">
        <w:rPr>
          <w:rFonts w:cstheme="minorHAnsi"/>
          <w:b/>
          <w:i/>
          <w:color w:val="FF0000"/>
          <w:szCs w:val="24"/>
        </w:rPr>
        <w:t>T</w:t>
      </w:r>
      <w:r w:rsidR="00C502DA" w:rsidRPr="003C5735">
        <w:rPr>
          <w:rFonts w:cstheme="minorHAnsi"/>
          <w:b/>
          <w:i/>
          <w:color w:val="FF0000"/>
          <w:szCs w:val="24"/>
        </w:rPr>
        <w:t>o accommodate the Southern Cross DC Tie, a</w:t>
      </w:r>
      <w:r w:rsidR="008533BA" w:rsidRPr="008533BA">
        <w:rPr>
          <w:b/>
          <w:i/>
          <w:color w:val="FF0000"/>
        </w:rPr>
        <w:t xml:space="preserve">ny DC Tie facility that has an initial energization date after January 1, 2021, and any DC Tie facility that is replaced after that </w:t>
      </w:r>
      <w:proofErr w:type="gramStart"/>
      <w:r w:rsidR="008533BA" w:rsidRPr="008533BA">
        <w:rPr>
          <w:b/>
          <w:i/>
          <w:color w:val="FF0000"/>
        </w:rPr>
        <w:t xml:space="preserve">date,  </w:t>
      </w:r>
      <w:r w:rsidR="008345CD">
        <w:rPr>
          <w:b/>
          <w:i/>
          <w:color w:val="FF0000"/>
        </w:rPr>
        <w:t>should</w:t>
      </w:r>
      <w:proofErr w:type="gramEnd"/>
      <w:r w:rsidR="008345CD">
        <w:rPr>
          <w:b/>
          <w:i/>
          <w:color w:val="FF0000"/>
        </w:rPr>
        <w:t xml:space="preserve"> be required to </w:t>
      </w:r>
      <w:r w:rsidR="008533BA" w:rsidRPr="008533BA">
        <w:rPr>
          <w:b/>
          <w:i/>
          <w:color w:val="FF0000"/>
        </w:rPr>
        <w:t>have at least 0.95 power factor leading/lagging reactive power capability.  </w:t>
      </w:r>
      <w:r w:rsidR="00C502DA" w:rsidRPr="00F02A8E">
        <w:rPr>
          <w:b/>
          <w:i/>
          <w:color w:val="FF0000"/>
        </w:rPr>
        <w:t xml:space="preserve">NPRR1098, </w:t>
      </w:r>
      <w:r w:rsidR="003C5735" w:rsidRPr="00F02A8E">
        <w:rPr>
          <w:b/>
          <w:i/>
          <w:color w:val="FF0000"/>
        </w:rPr>
        <w:t>Direct Current Tie (DC Tie) Reactive Power Capability Requirements</w:t>
      </w:r>
      <w:r w:rsidR="00C502DA" w:rsidRPr="00F02A8E">
        <w:rPr>
          <w:b/>
          <w:i/>
          <w:color w:val="FF0000"/>
        </w:rPr>
        <w:t xml:space="preserve"> </w:t>
      </w:r>
      <w:r w:rsidR="003C5735" w:rsidRPr="00F02A8E">
        <w:rPr>
          <w:b/>
          <w:i/>
          <w:color w:val="FF0000"/>
        </w:rPr>
        <w:t>and NOGRR234, Related to NPRR1098, Direct Current Tie (DC Tie) Reactive Power Capability Requirements</w:t>
      </w:r>
      <w:r w:rsidR="008345CD" w:rsidRPr="00F02A8E">
        <w:rPr>
          <w:b/>
          <w:i/>
          <w:color w:val="FF0000"/>
        </w:rPr>
        <w:t>, which were</w:t>
      </w:r>
      <w:r w:rsidR="00FD106C" w:rsidRPr="00F02A8E">
        <w:rPr>
          <w:b/>
          <w:i/>
          <w:color w:val="FF0000"/>
        </w:rPr>
        <w:t xml:space="preserve"> </w:t>
      </w:r>
      <w:r w:rsidR="008B1786" w:rsidRPr="00F02A8E">
        <w:rPr>
          <w:b/>
          <w:i/>
          <w:color w:val="FF0000"/>
        </w:rPr>
        <w:t xml:space="preserve">approved by </w:t>
      </w:r>
      <w:r w:rsidR="008345CD" w:rsidRPr="00F02A8E">
        <w:rPr>
          <w:b/>
          <w:i/>
          <w:color w:val="FF0000"/>
        </w:rPr>
        <w:t xml:space="preserve">the </w:t>
      </w:r>
      <w:r w:rsidR="001A12E7" w:rsidRPr="00F02A8E">
        <w:rPr>
          <w:b/>
          <w:i/>
          <w:color w:val="FF0000"/>
        </w:rPr>
        <w:t xml:space="preserve">Public Utility Commission on </w:t>
      </w:r>
      <w:r w:rsidR="001A12E7" w:rsidRPr="00F02A8E">
        <w:rPr>
          <w:b/>
          <w:i/>
          <w:color w:val="FF0000"/>
          <w:highlight w:val="yellow"/>
        </w:rPr>
        <w:t>XXXXX</w:t>
      </w:r>
      <w:r w:rsidR="008345CD" w:rsidRPr="00F02A8E">
        <w:rPr>
          <w:b/>
          <w:i/>
          <w:color w:val="FF0000"/>
        </w:rPr>
        <w:t>,</w:t>
      </w:r>
      <w:r w:rsidR="00F42515" w:rsidRPr="00F02A8E">
        <w:rPr>
          <w:b/>
          <w:i/>
          <w:color w:val="FF0000"/>
        </w:rPr>
        <w:t xml:space="preserve"> </w:t>
      </w:r>
      <w:r w:rsidR="003C5735" w:rsidRPr="00F02A8E">
        <w:rPr>
          <w:b/>
          <w:i/>
          <w:color w:val="FF0000"/>
        </w:rPr>
        <w:t xml:space="preserve">revised the Protocols and </w:t>
      </w:r>
      <w:r w:rsidR="008345CD" w:rsidRPr="00F02A8E">
        <w:rPr>
          <w:b/>
          <w:i/>
          <w:color w:val="FF0000"/>
        </w:rPr>
        <w:t xml:space="preserve">Operating </w:t>
      </w:r>
      <w:r w:rsidR="003C5735" w:rsidRPr="00F02A8E">
        <w:rPr>
          <w:b/>
          <w:i/>
          <w:color w:val="FF0000"/>
        </w:rPr>
        <w:t xml:space="preserve">Guide to </w:t>
      </w:r>
      <w:r w:rsidR="008345CD" w:rsidRPr="00F02A8E">
        <w:rPr>
          <w:b/>
          <w:i/>
          <w:color w:val="FF0000"/>
        </w:rPr>
        <w:t>require</w:t>
      </w:r>
      <w:r w:rsidR="003C5735" w:rsidRPr="00F02A8E">
        <w:rPr>
          <w:b/>
          <w:i/>
          <w:color w:val="FF0000"/>
        </w:rPr>
        <w:t xml:space="preserve"> that new or replaced DC Tie facilities shall have at least 0.95 power factor leading/lagging reactive power capability.</w:t>
      </w:r>
    </w:p>
    <w:p w14:paraId="0176BB14" w14:textId="77777777" w:rsidR="003C5735" w:rsidRDefault="003C5735" w:rsidP="00F02A8E">
      <w:pPr>
        <w:pStyle w:val="TableParagraph"/>
        <w:spacing w:line="272" w:lineRule="exact"/>
        <w:jc w:val="both"/>
        <w:rPr>
          <w:rFonts w:asciiTheme="minorHAnsi" w:hAnsiTheme="minorHAnsi" w:cstheme="minorHAnsi"/>
        </w:rPr>
      </w:pPr>
    </w:p>
    <w:p w14:paraId="4F549BF8" w14:textId="5B9A0564" w:rsidR="008533BA" w:rsidRPr="005B02E6" w:rsidRDefault="008533BA" w:rsidP="00F02A8E">
      <w:pPr>
        <w:jc w:val="both"/>
        <w:rPr>
          <w:u w:val="single"/>
        </w:rPr>
      </w:pPr>
      <w:r w:rsidRPr="00481F9D">
        <w:rPr>
          <w:u w:val="single"/>
        </w:rPr>
        <w:t xml:space="preserve">Technical </w:t>
      </w:r>
      <w:r w:rsidR="00D91C03">
        <w:rPr>
          <w:u w:val="single"/>
        </w:rPr>
        <w:t>R</w:t>
      </w:r>
      <w:r w:rsidRPr="00481F9D">
        <w:rPr>
          <w:u w:val="single"/>
        </w:rPr>
        <w:t xml:space="preserve">easons for </w:t>
      </w:r>
      <w:r w:rsidR="00D91C03">
        <w:rPr>
          <w:u w:val="single"/>
        </w:rPr>
        <w:t>D</w:t>
      </w:r>
      <w:r>
        <w:rPr>
          <w:u w:val="single"/>
        </w:rPr>
        <w:t>etermination</w:t>
      </w:r>
    </w:p>
    <w:p w14:paraId="0BCF35F0" w14:textId="7DDCCC7A" w:rsidR="00E6146F" w:rsidRPr="00F02A8E" w:rsidRDefault="008345CD" w:rsidP="00F02A8E">
      <w:pPr>
        <w:ind w:firstLine="720"/>
        <w:jc w:val="both"/>
        <w:rPr>
          <w:bCs/>
          <w:iCs/>
          <w:color w:val="000000" w:themeColor="text1"/>
        </w:rPr>
      </w:pPr>
      <w:r>
        <w:rPr>
          <w:bCs/>
          <w:iCs/>
          <w:color w:val="000000" w:themeColor="text1"/>
        </w:rPr>
        <w:t xml:space="preserve">The </w:t>
      </w:r>
      <w:r w:rsidR="0025705E" w:rsidRPr="0025705E">
        <w:rPr>
          <w:bCs/>
          <w:iCs/>
          <w:color w:val="000000" w:themeColor="text1"/>
        </w:rPr>
        <w:t xml:space="preserve">Southern Cross DC Tie </w:t>
      </w:r>
      <w:r>
        <w:rPr>
          <w:bCs/>
          <w:iCs/>
          <w:color w:val="000000" w:themeColor="text1"/>
        </w:rPr>
        <w:t>facility</w:t>
      </w:r>
      <w:r w:rsidRPr="0025705E">
        <w:rPr>
          <w:bCs/>
          <w:iCs/>
          <w:color w:val="000000" w:themeColor="text1"/>
        </w:rPr>
        <w:t xml:space="preserve"> </w:t>
      </w:r>
      <w:r w:rsidR="008533BA" w:rsidRPr="008533BA">
        <w:rPr>
          <w:bCs/>
          <w:iCs/>
          <w:color w:val="000000" w:themeColor="text1"/>
        </w:rPr>
        <w:t>was</w:t>
      </w:r>
      <w:r w:rsidR="0025705E" w:rsidRPr="0025705E">
        <w:rPr>
          <w:bCs/>
          <w:iCs/>
          <w:color w:val="000000" w:themeColor="text1"/>
        </w:rPr>
        <w:t xml:space="preserve"> not </w:t>
      </w:r>
      <w:r>
        <w:rPr>
          <w:bCs/>
          <w:iCs/>
          <w:color w:val="000000" w:themeColor="text1"/>
        </w:rPr>
        <w:t>originally designed</w:t>
      </w:r>
      <w:r w:rsidR="0025705E" w:rsidRPr="0025705E">
        <w:rPr>
          <w:bCs/>
          <w:iCs/>
          <w:color w:val="000000" w:themeColor="text1"/>
        </w:rPr>
        <w:t xml:space="preserve"> to have any reactive </w:t>
      </w:r>
      <w:r w:rsidR="001F2780">
        <w:rPr>
          <w:bCs/>
          <w:iCs/>
          <w:color w:val="000000" w:themeColor="text1"/>
        </w:rPr>
        <w:t xml:space="preserve">power </w:t>
      </w:r>
      <w:r w:rsidR="0025705E" w:rsidRPr="0025705E">
        <w:rPr>
          <w:bCs/>
          <w:iCs/>
          <w:color w:val="000000" w:themeColor="text1"/>
        </w:rPr>
        <w:t>capability to support ERCOT system voltage.</w:t>
      </w:r>
      <w:r>
        <w:rPr>
          <w:bCs/>
          <w:iCs/>
          <w:color w:val="000000" w:themeColor="text1"/>
        </w:rPr>
        <w:t xml:space="preserve">  However, any level of</w:t>
      </w:r>
      <w:r w:rsidR="0025705E" w:rsidRPr="0025705E">
        <w:rPr>
          <w:bCs/>
          <w:iCs/>
          <w:color w:val="000000" w:themeColor="text1"/>
        </w:rPr>
        <w:t xml:space="preserve"> imports and exports </w:t>
      </w:r>
      <w:r>
        <w:rPr>
          <w:bCs/>
          <w:iCs/>
          <w:color w:val="000000" w:themeColor="text1"/>
        </w:rPr>
        <w:t xml:space="preserve">over </w:t>
      </w:r>
      <w:r w:rsidR="00903BEE">
        <w:rPr>
          <w:bCs/>
          <w:iCs/>
          <w:color w:val="000000" w:themeColor="text1"/>
        </w:rPr>
        <w:t>a</w:t>
      </w:r>
      <w:r>
        <w:rPr>
          <w:bCs/>
          <w:iCs/>
          <w:color w:val="000000" w:themeColor="text1"/>
        </w:rPr>
        <w:t xml:space="preserve"> DC Tie</w:t>
      </w:r>
      <w:r w:rsidRPr="0025705E">
        <w:rPr>
          <w:bCs/>
          <w:iCs/>
          <w:color w:val="000000" w:themeColor="text1"/>
        </w:rPr>
        <w:t xml:space="preserve"> </w:t>
      </w:r>
      <w:r w:rsidR="0025705E" w:rsidRPr="0025705E">
        <w:rPr>
          <w:bCs/>
          <w:iCs/>
          <w:color w:val="000000" w:themeColor="text1"/>
        </w:rPr>
        <w:t>will cause reactive losses on the ERCOT system.</w:t>
      </w:r>
      <w:r>
        <w:rPr>
          <w:bCs/>
          <w:iCs/>
          <w:color w:val="000000" w:themeColor="text1"/>
        </w:rPr>
        <w:t xml:space="preserve">  </w:t>
      </w:r>
      <w:r>
        <w:t>ERCOT</w:t>
      </w:r>
      <w:r w:rsidR="00354FF1">
        <w:t>’s study</w:t>
      </w:r>
      <w:r>
        <w:t xml:space="preserve"> </w:t>
      </w:r>
      <w:r w:rsidR="00FD106C">
        <w:t xml:space="preserve">performed </w:t>
      </w:r>
      <w:r>
        <w:t>pursuant</w:t>
      </w:r>
      <w:r w:rsidR="00FD106C">
        <w:t xml:space="preserve"> to</w:t>
      </w:r>
      <w:r w:rsidR="00C502DA" w:rsidRPr="005B715D">
        <w:t xml:space="preserve"> </w:t>
      </w:r>
      <w:r w:rsidR="00354FF1">
        <w:t xml:space="preserve">PUC </w:t>
      </w:r>
      <w:r w:rsidR="00C502DA" w:rsidRPr="005B715D">
        <w:t>Directive 6</w:t>
      </w:r>
      <w:r w:rsidR="00604BB8">
        <w:t xml:space="preserve"> (regarding transmission upgrades needed to address congestion)</w:t>
      </w:r>
      <w:r w:rsidR="00C502DA" w:rsidRPr="005B715D">
        <w:t xml:space="preserve"> </w:t>
      </w:r>
      <w:r w:rsidR="00354FF1">
        <w:t xml:space="preserve">identified a voltage stability limit </w:t>
      </w:r>
      <w:r w:rsidR="00604BB8">
        <w:t xml:space="preserve">for exports </w:t>
      </w:r>
      <w:r w:rsidR="00354FF1">
        <w:t>of 1,289 MW during high</w:t>
      </w:r>
      <w:r w:rsidR="00854AB7">
        <w:t>-</w:t>
      </w:r>
      <w:r w:rsidR="00354FF1">
        <w:t>wind, low</w:t>
      </w:r>
      <w:r w:rsidR="00854AB7">
        <w:t>-</w:t>
      </w:r>
      <w:r w:rsidR="00354FF1">
        <w:t xml:space="preserve">load conditions, which would require the installation of additional reactive capability to accommodate exports in excess of that amount during those conditions.  </w:t>
      </w:r>
      <w:r w:rsidR="00903BEE">
        <w:t xml:space="preserve">ERCOT’s study </w:t>
      </w:r>
      <w:r w:rsidR="003E45AD">
        <w:t>noted</w:t>
      </w:r>
      <w:r w:rsidR="00903BEE">
        <w:t xml:space="preserve"> that</w:t>
      </w:r>
      <w:r w:rsidR="003E45AD">
        <w:t>, i</w:t>
      </w:r>
      <w:r w:rsidR="005C4B0A" w:rsidRPr="00F02A8E">
        <w:rPr>
          <w:bCs/>
          <w:iCs/>
          <w:color w:val="000000" w:themeColor="text1"/>
        </w:rPr>
        <w:t>f the Southern Cross DC Tie provided the equivalent of 0.95 power factor leading and lagging reactive power capability, fewer transmission upgrades would be needed to achieve full export capability under the studied conditions.</w:t>
      </w:r>
    </w:p>
    <w:p w14:paraId="11915908" w14:textId="1527415A" w:rsidR="008533BA" w:rsidRPr="00F02A8E" w:rsidRDefault="003C49B1" w:rsidP="00F02A8E">
      <w:pPr>
        <w:ind w:firstLine="720"/>
        <w:jc w:val="both"/>
        <w:rPr>
          <w:bCs/>
          <w:iCs/>
          <w:color w:val="000000" w:themeColor="text1"/>
        </w:rPr>
      </w:pPr>
      <w:r w:rsidRPr="00F02A8E">
        <w:t xml:space="preserve">ERCOT </w:t>
      </w:r>
      <w:r w:rsidR="00603F11">
        <w:t>currently</w:t>
      </w:r>
      <w:r w:rsidRPr="00F02A8E">
        <w:t xml:space="preserve"> </w:t>
      </w:r>
      <w:r w:rsidR="00B83D63">
        <w:t xml:space="preserve">requires </w:t>
      </w:r>
      <w:r w:rsidRPr="00F02A8E">
        <w:t>Generation Resources and Energy Storage Resources</w:t>
      </w:r>
      <w:r w:rsidR="00B83D63">
        <w:t xml:space="preserve"> to provide voltage support</w:t>
      </w:r>
      <w:r w:rsidRPr="00F02A8E">
        <w:t xml:space="preserve">.  </w:t>
      </w:r>
      <w:r>
        <w:t xml:space="preserve">Specifically, </w:t>
      </w:r>
      <w:r w:rsidR="003E45AD">
        <w:t xml:space="preserve">with certain specified exceptions, Section 3.15 of the ERCOT Protocols requires </w:t>
      </w:r>
      <w:r w:rsidR="008533BA" w:rsidRPr="003C49B1">
        <w:rPr>
          <w:bCs/>
          <w:iCs/>
          <w:color w:val="000000" w:themeColor="text1"/>
        </w:rPr>
        <w:t>G</w:t>
      </w:r>
      <w:r w:rsidR="008533BA" w:rsidRPr="001F2780">
        <w:rPr>
          <w:bCs/>
          <w:iCs/>
          <w:color w:val="000000" w:themeColor="text1"/>
        </w:rPr>
        <w:t xml:space="preserve">eneration Resources </w:t>
      </w:r>
      <w:r w:rsidR="00354FF1">
        <w:rPr>
          <w:bCs/>
          <w:iCs/>
          <w:color w:val="000000" w:themeColor="text1"/>
        </w:rPr>
        <w:t xml:space="preserve">and Energy Storage Resources </w:t>
      </w:r>
      <w:r w:rsidR="008533BA" w:rsidRPr="001F2780">
        <w:rPr>
          <w:bCs/>
          <w:iCs/>
          <w:color w:val="000000" w:themeColor="text1"/>
        </w:rPr>
        <w:t xml:space="preserve">to provide </w:t>
      </w:r>
      <w:r>
        <w:rPr>
          <w:bCs/>
          <w:iCs/>
          <w:color w:val="000000" w:themeColor="text1"/>
        </w:rPr>
        <w:t xml:space="preserve">leading and lagging </w:t>
      </w:r>
      <w:r w:rsidR="008533BA" w:rsidRPr="001F2780">
        <w:rPr>
          <w:bCs/>
          <w:iCs/>
          <w:color w:val="000000" w:themeColor="text1"/>
        </w:rPr>
        <w:t xml:space="preserve">reactive capability </w:t>
      </w:r>
      <w:r>
        <w:rPr>
          <w:bCs/>
          <w:iCs/>
          <w:color w:val="000000" w:themeColor="text1"/>
        </w:rPr>
        <w:t xml:space="preserve">equivalent to a </w:t>
      </w:r>
      <w:r w:rsidR="008533BA" w:rsidRPr="001F2780">
        <w:rPr>
          <w:bCs/>
          <w:iCs/>
          <w:color w:val="000000" w:themeColor="text1"/>
        </w:rPr>
        <w:t>0.95 power factor</w:t>
      </w:r>
      <w:r w:rsidR="003E45AD">
        <w:rPr>
          <w:bCs/>
          <w:iCs/>
          <w:color w:val="000000" w:themeColor="text1"/>
        </w:rPr>
        <w:t>.</w:t>
      </w:r>
      <w:r>
        <w:rPr>
          <w:bCs/>
          <w:iCs/>
          <w:color w:val="000000" w:themeColor="text1"/>
        </w:rPr>
        <w:t xml:space="preserve">  </w:t>
      </w:r>
      <w:r w:rsidR="00603F11">
        <w:rPr>
          <w:bCs/>
          <w:iCs/>
          <w:color w:val="000000" w:themeColor="text1"/>
        </w:rPr>
        <w:t xml:space="preserve">It is expected that this standard amount of reactive capability will not </w:t>
      </w:r>
      <w:r w:rsidR="00603F11">
        <w:rPr>
          <w:bCs/>
          <w:iCs/>
          <w:color w:val="000000" w:themeColor="text1"/>
        </w:rPr>
        <w:lastRenderedPageBreak/>
        <w:t>always perfectly match the amount of reactive capability needed to accommodate the Resource’s real power injections or withdrawals</w:t>
      </w:r>
      <w:r w:rsidR="00603F11" w:rsidRPr="00582838">
        <w:rPr>
          <w:bCs/>
          <w:iCs/>
          <w:color w:val="000000" w:themeColor="text1"/>
        </w:rPr>
        <w:t>.</w:t>
      </w:r>
      <w:r w:rsidR="00603F11">
        <w:rPr>
          <w:bCs/>
          <w:iCs/>
          <w:color w:val="000000" w:themeColor="text1"/>
        </w:rPr>
        <w:t xml:space="preserve">  Furthermore, a </w:t>
      </w:r>
      <w:r w:rsidR="008533BA" w:rsidRPr="00F02A8E">
        <w:rPr>
          <w:bCs/>
          <w:iCs/>
          <w:color w:val="000000" w:themeColor="text1"/>
        </w:rPr>
        <w:t xml:space="preserve">Generation Resource’s </w:t>
      </w:r>
      <w:r w:rsidR="00354FF1">
        <w:rPr>
          <w:bCs/>
          <w:iCs/>
          <w:color w:val="000000" w:themeColor="text1"/>
        </w:rPr>
        <w:t xml:space="preserve">or Energy Storage Resource’s </w:t>
      </w:r>
      <w:r w:rsidR="008533BA" w:rsidRPr="00F02A8E">
        <w:rPr>
          <w:bCs/>
          <w:iCs/>
          <w:color w:val="000000" w:themeColor="text1"/>
        </w:rPr>
        <w:t>obligation remains the same for the life of the asset</w:t>
      </w:r>
      <w:r w:rsidR="00603F11">
        <w:rPr>
          <w:bCs/>
          <w:iCs/>
          <w:color w:val="000000" w:themeColor="text1"/>
        </w:rPr>
        <w:t>, even t</w:t>
      </w:r>
      <w:r w:rsidR="00603F11" w:rsidRPr="00582838">
        <w:rPr>
          <w:bCs/>
          <w:iCs/>
          <w:color w:val="000000" w:themeColor="text1"/>
        </w:rPr>
        <w:t xml:space="preserve">hough </w:t>
      </w:r>
      <w:r w:rsidR="00603F11">
        <w:rPr>
          <w:bCs/>
          <w:iCs/>
          <w:color w:val="000000" w:themeColor="text1"/>
        </w:rPr>
        <w:t xml:space="preserve">the grid is always changing.  </w:t>
      </w:r>
    </w:p>
    <w:p w14:paraId="0487A1D0" w14:textId="4DF5BA65" w:rsidR="002E44C9" w:rsidRPr="002E44C9" w:rsidRDefault="003C49B1" w:rsidP="00F02A8E">
      <w:pPr>
        <w:ind w:firstLine="720"/>
        <w:jc w:val="both"/>
        <w:rPr>
          <w:bCs/>
          <w:iCs/>
          <w:color w:val="000000" w:themeColor="text1"/>
        </w:rPr>
      </w:pPr>
      <w:r w:rsidRPr="00F02A8E">
        <w:rPr>
          <w:bCs/>
          <w:iCs/>
          <w:color w:val="000000" w:themeColor="text1"/>
        </w:rPr>
        <w:t>Flows across DC Ties are s</w:t>
      </w:r>
      <w:r w:rsidR="00D91C03" w:rsidRPr="00F02A8E">
        <w:rPr>
          <w:bCs/>
          <w:iCs/>
          <w:color w:val="000000" w:themeColor="text1"/>
        </w:rPr>
        <w:t>imilar to</w:t>
      </w:r>
      <w:r w:rsidR="008533BA" w:rsidRPr="00F02A8E">
        <w:rPr>
          <w:bCs/>
          <w:iCs/>
          <w:color w:val="000000" w:themeColor="text1"/>
        </w:rPr>
        <w:t xml:space="preserve"> power injections </w:t>
      </w:r>
      <w:r w:rsidR="00381B53" w:rsidRPr="00F02A8E">
        <w:rPr>
          <w:bCs/>
          <w:iCs/>
          <w:color w:val="000000" w:themeColor="text1"/>
        </w:rPr>
        <w:t xml:space="preserve">or withdrawals </w:t>
      </w:r>
      <w:r w:rsidR="008533BA" w:rsidRPr="00F02A8E">
        <w:rPr>
          <w:bCs/>
          <w:iCs/>
          <w:color w:val="000000" w:themeColor="text1"/>
        </w:rPr>
        <w:t>from Generation Resources</w:t>
      </w:r>
      <w:r w:rsidR="00381B53" w:rsidRPr="00F02A8E">
        <w:rPr>
          <w:bCs/>
          <w:iCs/>
          <w:color w:val="000000" w:themeColor="text1"/>
        </w:rPr>
        <w:t xml:space="preserve"> and Energy Storage Resources</w:t>
      </w:r>
      <w:r w:rsidR="008533BA" w:rsidRPr="00F02A8E">
        <w:rPr>
          <w:bCs/>
          <w:iCs/>
          <w:color w:val="000000" w:themeColor="text1"/>
        </w:rPr>
        <w:t>.</w:t>
      </w:r>
      <w:r w:rsidR="003E45AD">
        <w:rPr>
          <w:bCs/>
          <w:iCs/>
          <w:color w:val="000000" w:themeColor="text1"/>
        </w:rPr>
        <w:t xml:space="preserve"> </w:t>
      </w:r>
      <w:r w:rsidR="00603F11">
        <w:rPr>
          <w:bCs/>
          <w:iCs/>
          <w:color w:val="000000" w:themeColor="text1"/>
        </w:rPr>
        <w:t xml:space="preserve"> As such, ERCOT </w:t>
      </w:r>
      <w:r w:rsidR="002E44C9">
        <w:rPr>
          <w:bCs/>
          <w:iCs/>
          <w:color w:val="000000" w:themeColor="text1"/>
        </w:rPr>
        <w:t xml:space="preserve">concluded that it </w:t>
      </w:r>
      <w:r w:rsidR="00B83D63">
        <w:rPr>
          <w:bCs/>
          <w:iCs/>
          <w:color w:val="000000" w:themeColor="text1"/>
        </w:rPr>
        <w:t>is</w:t>
      </w:r>
      <w:r w:rsidR="002E44C9">
        <w:rPr>
          <w:bCs/>
          <w:iCs/>
          <w:color w:val="000000" w:themeColor="text1"/>
        </w:rPr>
        <w:t xml:space="preserve"> appropriate to require DC Ties to provide voltage support under a similar paradigm as that currently used for Generation Resources and Energy Storage Resources.  Based on this conclusion</w:t>
      </w:r>
      <w:r w:rsidR="002E44C9" w:rsidRPr="002E44C9">
        <w:rPr>
          <w:bCs/>
          <w:iCs/>
          <w:color w:val="000000" w:themeColor="text1"/>
        </w:rPr>
        <w:t>, ERCOT developed the following</w:t>
      </w:r>
      <w:r w:rsidR="002E44C9">
        <w:rPr>
          <w:bCs/>
          <w:iCs/>
          <w:color w:val="000000" w:themeColor="text1"/>
        </w:rPr>
        <w:t xml:space="preserve"> statement of principle</w:t>
      </w:r>
      <w:r w:rsidR="002E44C9" w:rsidRPr="002E44C9">
        <w:rPr>
          <w:bCs/>
          <w:iCs/>
          <w:color w:val="000000" w:themeColor="text1"/>
        </w:rPr>
        <w:t>, which was endorsed by</w:t>
      </w:r>
      <w:r w:rsidR="002E44C9">
        <w:rPr>
          <w:bCs/>
          <w:iCs/>
          <w:color w:val="000000" w:themeColor="text1"/>
        </w:rPr>
        <w:t xml:space="preserve"> stakeholders on the ERCOT Technical Advisory Committee</w:t>
      </w:r>
      <w:r w:rsidR="002E44C9" w:rsidRPr="002E44C9">
        <w:rPr>
          <w:bCs/>
          <w:iCs/>
          <w:color w:val="000000" w:themeColor="text1"/>
        </w:rPr>
        <w:t xml:space="preserve"> on January 27, 2021:</w:t>
      </w:r>
    </w:p>
    <w:p w14:paraId="7C2B523F" w14:textId="24FF3B51" w:rsidR="008460BF" w:rsidRDefault="002E44C9" w:rsidP="00F02A8E">
      <w:pPr>
        <w:ind w:left="1440" w:right="1440"/>
        <w:jc w:val="both"/>
        <w:rPr>
          <w:bCs/>
          <w:iCs/>
          <w:color w:val="000000" w:themeColor="text1"/>
        </w:rPr>
      </w:pPr>
      <w:r w:rsidRPr="002E44C9">
        <w:rPr>
          <w:bCs/>
          <w:iCs/>
          <w:color w:val="000000" w:themeColor="text1"/>
        </w:rPr>
        <w:t>Any DC Tie facility that has an initial energization date after January 1, 2021, and any DC Tie facility that is replaced after that date, shall have at least 0.95 power factor leading/lagging reactive power capability.</w:t>
      </w:r>
    </w:p>
    <w:p w14:paraId="19E34566" w14:textId="0405B149" w:rsidR="002E44C9" w:rsidRDefault="002E44C9" w:rsidP="00F02A8E">
      <w:pPr>
        <w:ind w:firstLine="720"/>
        <w:jc w:val="both"/>
        <w:rPr>
          <w:bCs/>
          <w:iCs/>
          <w:color w:val="000000" w:themeColor="text1"/>
        </w:rPr>
      </w:pPr>
      <w:r>
        <w:rPr>
          <w:bCs/>
          <w:iCs/>
          <w:color w:val="000000" w:themeColor="text1"/>
        </w:rPr>
        <w:t xml:space="preserve">Following TAC’s endorsement of this conclusion, ERCOT sponsored NPRR 1098, </w:t>
      </w:r>
      <w:r w:rsidRPr="002E44C9">
        <w:rPr>
          <w:bCs/>
          <w:iCs/>
          <w:color w:val="000000" w:themeColor="text1"/>
        </w:rPr>
        <w:t>Direct Current Tie (DC Tie) Reactive Power Capability Requirements</w:t>
      </w:r>
      <w:r>
        <w:rPr>
          <w:bCs/>
          <w:iCs/>
          <w:color w:val="000000" w:themeColor="text1"/>
        </w:rPr>
        <w:t>,</w:t>
      </w:r>
      <w:r w:rsidRPr="002E44C9">
        <w:rPr>
          <w:bCs/>
          <w:iCs/>
          <w:color w:val="000000" w:themeColor="text1"/>
        </w:rPr>
        <w:t xml:space="preserve"> and NOGRR234, Related to NPRR1098, Direct Current Tie (DC Tie) Reactive Power Capability Requirements, </w:t>
      </w:r>
      <w:r>
        <w:rPr>
          <w:bCs/>
          <w:iCs/>
          <w:color w:val="000000" w:themeColor="text1"/>
        </w:rPr>
        <w:t xml:space="preserve">to codify the 0.95 power factor voltage support requirement for DC Ties in the ERCOT Protocols and Operating Guide.  NPRR1098 and NOGRR234 </w:t>
      </w:r>
      <w:r w:rsidRPr="002E44C9">
        <w:rPr>
          <w:bCs/>
          <w:iCs/>
          <w:color w:val="000000" w:themeColor="text1"/>
        </w:rPr>
        <w:t xml:space="preserve">were approved by the ERCOT Board on </w:t>
      </w:r>
      <w:r w:rsidRPr="00F02A8E">
        <w:rPr>
          <w:bCs/>
          <w:iCs/>
          <w:color w:val="000000" w:themeColor="text1"/>
          <w:highlight w:val="yellow"/>
        </w:rPr>
        <w:t xml:space="preserve">March 8, </w:t>
      </w:r>
      <w:proofErr w:type="gramStart"/>
      <w:r w:rsidRPr="00F02A8E">
        <w:rPr>
          <w:bCs/>
          <w:iCs/>
          <w:color w:val="000000" w:themeColor="text1"/>
          <w:highlight w:val="yellow"/>
        </w:rPr>
        <w:t>2022</w:t>
      </w:r>
      <w:proofErr w:type="gramEnd"/>
      <w:r w:rsidR="003A4540">
        <w:rPr>
          <w:bCs/>
          <w:iCs/>
          <w:color w:val="000000" w:themeColor="text1"/>
        </w:rPr>
        <w:t xml:space="preserve"> and the Public Utility Commission of Texas (PUC) on </w:t>
      </w:r>
      <w:r w:rsidR="003A4540" w:rsidRPr="00F02A8E">
        <w:rPr>
          <w:bCs/>
          <w:iCs/>
          <w:color w:val="000000" w:themeColor="text1"/>
          <w:highlight w:val="yellow"/>
        </w:rPr>
        <w:t>XXXXXX</w:t>
      </w:r>
      <w:r w:rsidR="003A4540">
        <w:rPr>
          <w:bCs/>
          <w:iCs/>
          <w:color w:val="000000" w:themeColor="text1"/>
        </w:rPr>
        <w:t>.</w:t>
      </w:r>
      <w:r>
        <w:rPr>
          <w:bCs/>
          <w:iCs/>
          <w:color w:val="000000" w:themeColor="text1"/>
        </w:rPr>
        <w:t xml:space="preserve"> </w:t>
      </w:r>
    </w:p>
    <w:p w14:paraId="10114B32" w14:textId="74178BAB" w:rsidR="008533BA" w:rsidRPr="00F02A8E" w:rsidRDefault="002E44C9" w:rsidP="00F02A8E">
      <w:pPr>
        <w:ind w:firstLine="720"/>
        <w:jc w:val="both"/>
        <w:rPr>
          <w:bCs/>
          <w:iCs/>
          <w:color w:val="000000" w:themeColor="text1"/>
        </w:rPr>
      </w:pPr>
      <w:r w:rsidRPr="002E44C9">
        <w:rPr>
          <w:bCs/>
          <w:iCs/>
          <w:color w:val="000000" w:themeColor="text1"/>
        </w:rPr>
        <w:t>NPRR</w:t>
      </w:r>
      <w:r>
        <w:rPr>
          <w:bCs/>
          <w:iCs/>
          <w:color w:val="000000" w:themeColor="text1"/>
        </w:rPr>
        <w:t>1098</w:t>
      </w:r>
      <w:r w:rsidRPr="002E44C9">
        <w:rPr>
          <w:bCs/>
          <w:iCs/>
          <w:color w:val="000000" w:themeColor="text1"/>
        </w:rPr>
        <w:t xml:space="preserve"> does not require existing DC Tie Facilities to provide Reactive Power capability </w:t>
      </w:r>
      <w:r>
        <w:rPr>
          <w:bCs/>
          <w:iCs/>
          <w:color w:val="000000" w:themeColor="text1"/>
        </w:rPr>
        <w:t xml:space="preserve">unless </w:t>
      </w:r>
      <w:r w:rsidR="00B83D63">
        <w:rPr>
          <w:bCs/>
          <w:iCs/>
          <w:color w:val="000000" w:themeColor="text1"/>
        </w:rPr>
        <w:t>a</w:t>
      </w:r>
      <w:r>
        <w:rPr>
          <w:bCs/>
          <w:iCs/>
          <w:color w:val="000000" w:themeColor="text1"/>
        </w:rPr>
        <w:t xml:space="preserve"> DC Tie Facility owner makes a significant change to</w:t>
      </w:r>
      <w:r w:rsidRPr="002E44C9">
        <w:rPr>
          <w:bCs/>
          <w:iCs/>
          <w:color w:val="000000" w:themeColor="text1"/>
        </w:rPr>
        <w:t xml:space="preserve"> </w:t>
      </w:r>
      <w:r w:rsidR="00B83D63">
        <w:rPr>
          <w:bCs/>
          <w:iCs/>
          <w:color w:val="000000" w:themeColor="text1"/>
        </w:rPr>
        <w:t>its</w:t>
      </w:r>
      <w:r w:rsidRPr="002E44C9">
        <w:rPr>
          <w:bCs/>
          <w:iCs/>
          <w:color w:val="000000" w:themeColor="text1"/>
        </w:rPr>
        <w:t xml:space="preserve"> Facil</w:t>
      </w:r>
      <w:r w:rsidR="00B83D63">
        <w:rPr>
          <w:bCs/>
          <w:iCs/>
          <w:color w:val="000000" w:themeColor="text1"/>
        </w:rPr>
        <w:t>ity</w:t>
      </w:r>
      <w:r w:rsidRPr="002E44C9">
        <w:rPr>
          <w:bCs/>
          <w:iCs/>
          <w:color w:val="000000" w:themeColor="text1"/>
        </w:rPr>
        <w:t xml:space="preserve">.  This is because the existing DC Ties interconnected to the ERCOT System are all owned by TSPs, which have already installed separate reactive capability to meet their obligations related to voltage support under the Protocols, Operating Guides, and North American Electric Reliability Corporation (NERC) Reliability Standards.  </w:t>
      </w:r>
      <w:r>
        <w:rPr>
          <w:bCs/>
          <w:iCs/>
          <w:color w:val="000000" w:themeColor="text1"/>
        </w:rPr>
        <w:t>ERCOT concluded that r</w:t>
      </w:r>
      <w:r w:rsidRPr="002E44C9">
        <w:rPr>
          <w:bCs/>
          <w:iCs/>
          <w:color w:val="000000" w:themeColor="text1"/>
        </w:rPr>
        <w:t>equiring these TSPs to install additional capability to meet the standard proposed in this NPRR would be superfluous and unnecessarily costly.</w:t>
      </w:r>
      <w:r w:rsidR="00603F11">
        <w:rPr>
          <w:bCs/>
          <w:iCs/>
          <w:color w:val="000000" w:themeColor="text1"/>
        </w:rPr>
        <w:t xml:space="preserve"> </w:t>
      </w:r>
      <w:r w:rsidR="003E45AD">
        <w:rPr>
          <w:bCs/>
          <w:iCs/>
          <w:color w:val="000000" w:themeColor="text1"/>
        </w:rPr>
        <w:t xml:space="preserve"> </w:t>
      </w:r>
    </w:p>
    <w:p w14:paraId="485ACDC0" w14:textId="7C91736A" w:rsidR="008533BA" w:rsidRPr="00F02A8E" w:rsidRDefault="00C502DA" w:rsidP="00F02A8E">
      <w:pPr>
        <w:ind w:firstLine="720"/>
        <w:jc w:val="both"/>
        <w:rPr>
          <w:bCs/>
          <w:iCs/>
          <w:color w:val="000000" w:themeColor="text1"/>
        </w:rPr>
      </w:pPr>
      <w:r w:rsidRPr="00F02A8E">
        <w:rPr>
          <w:bCs/>
          <w:iCs/>
          <w:color w:val="000000" w:themeColor="text1"/>
        </w:rPr>
        <w:t xml:space="preserve">As shown in the </w:t>
      </w:r>
      <w:r w:rsidR="00CC301A" w:rsidRPr="00F02A8E">
        <w:rPr>
          <w:bCs/>
          <w:iCs/>
          <w:color w:val="000000" w:themeColor="text1"/>
        </w:rPr>
        <w:t xml:space="preserve">studies performed in response to </w:t>
      </w:r>
      <w:r w:rsidR="008460BF">
        <w:rPr>
          <w:bCs/>
          <w:iCs/>
          <w:color w:val="000000" w:themeColor="text1"/>
        </w:rPr>
        <w:t>Directive 6</w:t>
      </w:r>
      <w:r w:rsidRPr="00F02A8E">
        <w:rPr>
          <w:bCs/>
          <w:iCs/>
          <w:color w:val="000000" w:themeColor="text1"/>
        </w:rPr>
        <w:t xml:space="preserve">, the decision </w:t>
      </w:r>
      <w:r w:rsidR="008460BF">
        <w:rPr>
          <w:bCs/>
          <w:iCs/>
          <w:color w:val="000000" w:themeColor="text1"/>
        </w:rPr>
        <w:t>as to</w:t>
      </w:r>
      <w:r w:rsidRPr="00F02A8E">
        <w:rPr>
          <w:bCs/>
          <w:iCs/>
          <w:color w:val="000000" w:themeColor="text1"/>
        </w:rPr>
        <w:t xml:space="preserve"> whether new DC </w:t>
      </w:r>
      <w:r w:rsidR="009C1547" w:rsidRPr="00F02A8E">
        <w:rPr>
          <w:bCs/>
          <w:iCs/>
          <w:color w:val="000000" w:themeColor="text1"/>
        </w:rPr>
        <w:t>T</w:t>
      </w:r>
      <w:r w:rsidRPr="00F02A8E">
        <w:rPr>
          <w:bCs/>
          <w:iCs/>
          <w:color w:val="000000" w:themeColor="text1"/>
        </w:rPr>
        <w:t>ies should be required to provide voltage support will have an impact on what transmission is necessary to a</w:t>
      </w:r>
      <w:r w:rsidR="009C1547" w:rsidRPr="00F02A8E">
        <w:rPr>
          <w:bCs/>
          <w:iCs/>
          <w:color w:val="000000" w:themeColor="text1"/>
        </w:rPr>
        <w:t>ccommodate</w:t>
      </w:r>
      <w:r w:rsidRPr="00F02A8E">
        <w:rPr>
          <w:bCs/>
          <w:iCs/>
          <w:color w:val="000000" w:themeColor="text1"/>
        </w:rPr>
        <w:t xml:space="preserve"> assumed</w:t>
      </w:r>
      <w:r w:rsidR="009C1547" w:rsidRPr="00F02A8E">
        <w:rPr>
          <w:bCs/>
          <w:iCs/>
          <w:color w:val="000000" w:themeColor="text1"/>
        </w:rPr>
        <w:t xml:space="preserve"> flows across the</w:t>
      </w:r>
      <w:r w:rsidRPr="00F02A8E">
        <w:rPr>
          <w:bCs/>
          <w:iCs/>
          <w:color w:val="000000" w:themeColor="text1"/>
        </w:rPr>
        <w:t xml:space="preserve"> Southern Cross </w:t>
      </w:r>
      <w:r w:rsidR="009C1547" w:rsidRPr="00F02A8E">
        <w:rPr>
          <w:bCs/>
          <w:iCs/>
          <w:color w:val="000000" w:themeColor="text1"/>
        </w:rPr>
        <w:t>DC Tie</w:t>
      </w:r>
      <w:r w:rsidRPr="00F02A8E">
        <w:rPr>
          <w:bCs/>
          <w:iCs/>
          <w:color w:val="000000" w:themeColor="text1"/>
        </w:rPr>
        <w:t>.</w:t>
      </w:r>
      <w:r w:rsidR="00D91C03" w:rsidRPr="00F02A8E">
        <w:rPr>
          <w:bCs/>
          <w:iCs/>
          <w:color w:val="000000" w:themeColor="text1"/>
        </w:rPr>
        <w:t xml:space="preserve"> </w:t>
      </w:r>
      <w:r w:rsidRPr="00F02A8E">
        <w:rPr>
          <w:bCs/>
          <w:iCs/>
          <w:color w:val="000000" w:themeColor="text1"/>
        </w:rPr>
        <w:t xml:space="preserve">Thus, </w:t>
      </w:r>
      <w:r w:rsidR="009C1547" w:rsidRPr="00F02A8E">
        <w:rPr>
          <w:bCs/>
          <w:iCs/>
          <w:color w:val="000000" w:themeColor="text1"/>
        </w:rPr>
        <w:t xml:space="preserve">the resolution of </w:t>
      </w:r>
      <w:r w:rsidRPr="00F02A8E">
        <w:rPr>
          <w:bCs/>
          <w:iCs/>
          <w:color w:val="000000" w:themeColor="text1"/>
        </w:rPr>
        <w:t xml:space="preserve">Directive 6 must follow </w:t>
      </w:r>
      <w:r w:rsidR="009C1547" w:rsidRPr="00F02A8E">
        <w:rPr>
          <w:bCs/>
          <w:iCs/>
          <w:color w:val="000000" w:themeColor="text1"/>
        </w:rPr>
        <w:t xml:space="preserve">that of </w:t>
      </w:r>
      <w:r w:rsidRPr="00F02A8E">
        <w:rPr>
          <w:bCs/>
          <w:iCs/>
          <w:color w:val="000000" w:themeColor="text1"/>
        </w:rPr>
        <w:t>Directive 8.</w:t>
      </w:r>
      <w:r w:rsidR="008460BF">
        <w:rPr>
          <w:bCs/>
          <w:iCs/>
          <w:color w:val="000000" w:themeColor="text1"/>
        </w:rPr>
        <w:t xml:space="preserve">  However, </w:t>
      </w:r>
      <w:r w:rsidR="008533BA" w:rsidRPr="00F02A8E">
        <w:rPr>
          <w:bCs/>
          <w:iCs/>
          <w:color w:val="000000" w:themeColor="text1"/>
        </w:rPr>
        <w:t>PGRR077, DC Tie Planning Assumptions, which was approved by the ERCOT Board in October 2020, c</w:t>
      </w:r>
      <w:r w:rsidR="001A43C0" w:rsidRPr="00F02A8E">
        <w:rPr>
          <w:bCs/>
          <w:iCs/>
          <w:color w:val="000000" w:themeColor="text1"/>
        </w:rPr>
        <w:t>larifies</w:t>
      </w:r>
      <w:r w:rsidR="008533BA" w:rsidRPr="00F02A8E">
        <w:rPr>
          <w:bCs/>
          <w:iCs/>
          <w:color w:val="000000" w:themeColor="text1"/>
        </w:rPr>
        <w:t xml:space="preserve"> that </w:t>
      </w:r>
      <w:r w:rsidR="008460BF">
        <w:rPr>
          <w:bCs/>
          <w:iCs/>
          <w:color w:val="000000" w:themeColor="text1"/>
        </w:rPr>
        <w:t xml:space="preserve">ERCOT must curtail </w:t>
      </w:r>
      <w:r w:rsidR="008533BA" w:rsidRPr="00F02A8E">
        <w:rPr>
          <w:bCs/>
          <w:iCs/>
          <w:color w:val="000000" w:themeColor="text1"/>
        </w:rPr>
        <w:t>assume</w:t>
      </w:r>
      <w:r w:rsidR="001A43C0" w:rsidRPr="00F02A8E">
        <w:rPr>
          <w:bCs/>
          <w:iCs/>
          <w:color w:val="000000" w:themeColor="text1"/>
        </w:rPr>
        <w:t>d</w:t>
      </w:r>
      <w:r w:rsidR="008533BA" w:rsidRPr="00F02A8E">
        <w:rPr>
          <w:bCs/>
          <w:iCs/>
          <w:color w:val="000000" w:themeColor="text1"/>
        </w:rPr>
        <w:t xml:space="preserve"> DC Tie flows </w:t>
      </w:r>
      <w:r w:rsidR="001A43C0" w:rsidRPr="00F02A8E">
        <w:rPr>
          <w:bCs/>
          <w:iCs/>
          <w:color w:val="000000" w:themeColor="text1"/>
        </w:rPr>
        <w:t xml:space="preserve">in </w:t>
      </w:r>
      <w:r w:rsidR="008460BF">
        <w:rPr>
          <w:bCs/>
          <w:iCs/>
          <w:color w:val="000000" w:themeColor="text1"/>
        </w:rPr>
        <w:t xml:space="preserve">its </w:t>
      </w:r>
      <w:r w:rsidR="001A43C0" w:rsidRPr="00F02A8E">
        <w:rPr>
          <w:bCs/>
          <w:iCs/>
          <w:color w:val="000000" w:themeColor="text1"/>
        </w:rPr>
        <w:t>transmission planning analys</w:t>
      </w:r>
      <w:r w:rsidR="008460BF">
        <w:rPr>
          <w:bCs/>
          <w:iCs/>
          <w:color w:val="000000" w:themeColor="text1"/>
        </w:rPr>
        <w:t>e</w:t>
      </w:r>
      <w:r w:rsidR="001A43C0" w:rsidRPr="00F02A8E">
        <w:rPr>
          <w:bCs/>
          <w:iCs/>
          <w:color w:val="000000" w:themeColor="text1"/>
        </w:rPr>
        <w:t xml:space="preserve">s </w:t>
      </w:r>
      <w:r w:rsidR="008533BA" w:rsidRPr="00F02A8E">
        <w:rPr>
          <w:bCs/>
          <w:iCs/>
          <w:color w:val="000000" w:themeColor="text1"/>
        </w:rPr>
        <w:t xml:space="preserve">when </w:t>
      </w:r>
      <w:r w:rsidR="001A43C0" w:rsidRPr="00F02A8E">
        <w:rPr>
          <w:bCs/>
          <w:iCs/>
          <w:color w:val="000000" w:themeColor="text1"/>
        </w:rPr>
        <w:t>doing so is necessary to meet reliability criteria.</w:t>
      </w:r>
      <w:r w:rsidR="008460BF">
        <w:rPr>
          <w:bCs/>
          <w:iCs/>
          <w:color w:val="000000" w:themeColor="text1"/>
        </w:rPr>
        <w:t xml:space="preserve">  Under PGRR077, ERCOT would not identify any reliability-based need for additional transmission facilities on account of DC Tie flows because of the curtailment of those assumed flows in ERCOT’s planning studies. </w:t>
      </w:r>
    </w:p>
    <w:sectPr w:rsidR="008533BA" w:rsidRPr="00F02A8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9693" w14:textId="77777777" w:rsidR="00E571E3" w:rsidRDefault="00E571E3" w:rsidP="006C32D5">
      <w:pPr>
        <w:spacing w:after="0" w:line="240" w:lineRule="auto"/>
      </w:pPr>
      <w:r>
        <w:separator/>
      </w:r>
    </w:p>
  </w:endnote>
  <w:endnote w:type="continuationSeparator" w:id="0">
    <w:p w14:paraId="19A8C472" w14:textId="77777777" w:rsidR="00E571E3" w:rsidRDefault="00E571E3"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286" w14:textId="10513DC6" w:rsidR="009508C0" w:rsidRDefault="002F3622" w:rsidP="00EB1C87">
    <w:pPr>
      <w:pStyle w:val="Footer"/>
      <w:rPr>
        <w:rFonts w:ascii="Arial" w:hAnsi="Arial" w:cs="Arial"/>
        <w:sz w:val="18"/>
      </w:rPr>
    </w:pPr>
    <w:r>
      <w:rPr>
        <w:rFonts w:ascii="Arial" w:hAnsi="Arial" w:cs="Arial"/>
        <w:sz w:val="18"/>
      </w:rPr>
      <w:t xml:space="preserve">PUC Order No. 46304, Directive </w:t>
    </w:r>
    <w:r w:rsidR="003C5735">
      <w:rPr>
        <w:rFonts w:ascii="Arial" w:hAnsi="Arial" w:cs="Arial"/>
        <w:sz w:val="18"/>
      </w:rPr>
      <w:t>8</w:t>
    </w:r>
    <w:r w:rsidR="00EB1C87">
      <w:rPr>
        <w:rFonts w:ascii="Arial" w:hAnsi="Arial" w:cs="Arial"/>
        <w:sz w:val="18"/>
      </w:rPr>
      <w:t xml:space="preserve">, </w:t>
    </w:r>
    <w:r w:rsidR="003C5735">
      <w:rPr>
        <w:rFonts w:ascii="Arial" w:hAnsi="Arial" w:cs="Arial"/>
        <w:sz w:val="18"/>
      </w:rPr>
      <w:t xml:space="preserve">Voltage Support Service </w:t>
    </w:r>
    <w:r w:rsidR="003C5735" w:rsidRPr="00034255">
      <w:rPr>
        <w:rFonts w:ascii="Arial" w:hAnsi="Arial" w:cs="Arial"/>
        <w:sz w:val="18"/>
      </w:rPr>
      <w:t>0</w:t>
    </w:r>
    <w:r w:rsidR="001F2780" w:rsidRPr="00034255">
      <w:rPr>
        <w:rFonts w:ascii="Arial" w:hAnsi="Arial" w:cs="Arial"/>
        <w:sz w:val="18"/>
      </w:rPr>
      <w:t>2</w:t>
    </w:r>
    <w:r w:rsidR="003C5735" w:rsidRPr="00034255">
      <w:rPr>
        <w:rFonts w:ascii="Arial" w:hAnsi="Arial" w:cs="Arial"/>
        <w:sz w:val="18"/>
      </w:rPr>
      <w:t>1</w:t>
    </w:r>
    <w:r w:rsidR="001F2780" w:rsidRPr="00034255">
      <w:rPr>
        <w:rFonts w:ascii="Arial" w:hAnsi="Arial" w:cs="Arial"/>
        <w:sz w:val="18"/>
      </w:rPr>
      <w:t>7</w:t>
    </w:r>
    <w:r w:rsidR="003C5735" w:rsidRPr="00034255">
      <w:rPr>
        <w:rFonts w:ascii="Arial" w:hAnsi="Arial" w:cs="Arial"/>
        <w:sz w:val="18"/>
      </w:rPr>
      <w:t>2022</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770A" w14:textId="77777777" w:rsidR="00E571E3" w:rsidRDefault="00E571E3" w:rsidP="006C32D5">
      <w:pPr>
        <w:spacing w:after="0" w:line="240" w:lineRule="auto"/>
      </w:pPr>
      <w:r>
        <w:separator/>
      </w:r>
    </w:p>
  </w:footnote>
  <w:footnote w:type="continuationSeparator" w:id="0">
    <w:p w14:paraId="5F701B2D" w14:textId="77777777" w:rsidR="00E571E3" w:rsidRDefault="00E571E3"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9B6D" w14:textId="7D9A412C" w:rsidR="006C32D5" w:rsidRDefault="00EB1C87">
    <w:pPr>
      <w:pStyle w:val="Header"/>
    </w:pPr>
    <w:r>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81AD0"/>
    <w:multiLevelType w:val="hybridMultilevel"/>
    <w:tmpl w:val="C25606AC"/>
    <w:lvl w:ilvl="0" w:tplc="7628441C">
      <w:start w:val="1"/>
      <w:numFmt w:val="bullet"/>
      <w:lvlText w:val="•"/>
      <w:lvlJc w:val="left"/>
      <w:pPr>
        <w:tabs>
          <w:tab w:val="num" w:pos="720"/>
        </w:tabs>
        <w:ind w:left="720" w:hanging="360"/>
      </w:pPr>
      <w:rPr>
        <w:rFonts w:ascii="Arial" w:hAnsi="Arial" w:hint="default"/>
      </w:rPr>
    </w:lvl>
    <w:lvl w:ilvl="1" w:tplc="64EE77B0">
      <w:start w:val="6830"/>
      <w:numFmt w:val="bullet"/>
      <w:lvlText w:val="–"/>
      <w:lvlJc w:val="left"/>
      <w:pPr>
        <w:tabs>
          <w:tab w:val="num" w:pos="1440"/>
        </w:tabs>
        <w:ind w:left="1440" w:hanging="360"/>
      </w:pPr>
      <w:rPr>
        <w:rFonts w:ascii="Arial" w:hAnsi="Arial" w:hint="default"/>
      </w:rPr>
    </w:lvl>
    <w:lvl w:ilvl="2" w:tplc="2526734C" w:tentative="1">
      <w:start w:val="1"/>
      <w:numFmt w:val="bullet"/>
      <w:lvlText w:val="•"/>
      <w:lvlJc w:val="left"/>
      <w:pPr>
        <w:tabs>
          <w:tab w:val="num" w:pos="2160"/>
        </w:tabs>
        <w:ind w:left="2160" w:hanging="360"/>
      </w:pPr>
      <w:rPr>
        <w:rFonts w:ascii="Arial" w:hAnsi="Arial" w:hint="default"/>
      </w:rPr>
    </w:lvl>
    <w:lvl w:ilvl="3" w:tplc="838271F8" w:tentative="1">
      <w:start w:val="1"/>
      <w:numFmt w:val="bullet"/>
      <w:lvlText w:val="•"/>
      <w:lvlJc w:val="left"/>
      <w:pPr>
        <w:tabs>
          <w:tab w:val="num" w:pos="2880"/>
        </w:tabs>
        <w:ind w:left="2880" w:hanging="360"/>
      </w:pPr>
      <w:rPr>
        <w:rFonts w:ascii="Arial" w:hAnsi="Arial" w:hint="default"/>
      </w:rPr>
    </w:lvl>
    <w:lvl w:ilvl="4" w:tplc="D436CDA4" w:tentative="1">
      <w:start w:val="1"/>
      <w:numFmt w:val="bullet"/>
      <w:lvlText w:val="•"/>
      <w:lvlJc w:val="left"/>
      <w:pPr>
        <w:tabs>
          <w:tab w:val="num" w:pos="3600"/>
        </w:tabs>
        <w:ind w:left="3600" w:hanging="360"/>
      </w:pPr>
      <w:rPr>
        <w:rFonts w:ascii="Arial" w:hAnsi="Arial" w:hint="default"/>
      </w:rPr>
    </w:lvl>
    <w:lvl w:ilvl="5" w:tplc="83F4ACE4" w:tentative="1">
      <w:start w:val="1"/>
      <w:numFmt w:val="bullet"/>
      <w:lvlText w:val="•"/>
      <w:lvlJc w:val="left"/>
      <w:pPr>
        <w:tabs>
          <w:tab w:val="num" w:pos="4320"/>
        </w:tabs>
        <w:ind w:left="4320" w:hanging="360"/>
      </w:pPr>
      <w:rPr>
        <w:rFonts w:ascii="Arial" w:hAnsi="Arial" w:hint="default"/>
      </w:rPr>
    </w:lvl>
    <w:lvl w:ilvl="6" w:tplc="21529ADE" w:tentative="1">
      <w:start w:val="1"/>
      <w:numFmt w:val="bullet"/>
      <w:lvlText w:val="•"/>
      <w:lvlJc w:val="left"/>
      <w:pPr>
        <w:tabs>
          <w:tab w:val="num" w:pos="5040"/>
        </w:tabs>
        <w:ind w:left="5040" w:hanging="360"/>
      </w:pPr>
      <w:rPr>
        <w:rFonts w:ascii="Arial" w:hAnsi="Arial" w:hint="default"/>
      </w:rPr>
    </w:lvl>
    <w:lvl w:ilvl="7" w:tplc="BF408F50" w:tentative="1">
      <w:start w:val="1"/>
      <w:numFmt w:val="bullet"/>
      <w:lvlText w:val="•"/>
      <w:lvlJc w:val="left"/>
      <w:pPr>
        <w:tabs>
          <w:tab w:val="num" w:pos="5760"/>
        </w:tabs>
        <w:ind w:left="5760" w:hanging="360"/>
      </w:pPr>
      <w:rPr>
        <w:rFonts w:ascii="Arial" w:hAnsi="Arial" w:hint="default"/>
      </w:rPr>
    </w:lvl>
    <w:lvl w:ilvl="8" w:tplc="837475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D5CA4"/>
    <w:multiLevelType w:val="hybridMultilevel"/>
    <w:tmpl w:val="8AE620AC"/>
    <w:lvl w:ilvl="0" w:tplc="AA5E6320">
      <w:start w:val="1"/>
      <w:numFmt w:val="bullet"/>
      <w:lvlText w:val="•"/>
      <w:lvlJc w:val="left"/>
      <w:pPr>
        <w:tabs>
          <w:tab w:val="num" w:pos="720"/>
        </w:tabs>
        <w:ind w:left="720" w:hanging="360"/>
      </w:pPr>
      <w:rPr>
        <w:rFonts w:ascii="Arial" w:hAnsi="Arial" w:hint="default"/>
      </w:rPr>
    </w:lvl>
    <w:lvl w:ilvl="1" w:tplc="22C0824C" w:tentative="1">
      <w:start w:val="1"/>
      <w:numFmt w:val="bullet"/>
      <w:lvlText w:val="•"/>
      <w:lvlJc w:val="left"/>
      <w:pPr>
        <w:tabs>
          <w:tab w:val="num" w:pos="1440"/>
        </w:tabs>
        <w:ind w:left="1440" w:hanging="360"/>
      </w:pPr>
      <w:rPr>
        <w:rFonts w:ascii="Arial" w:hAnsi="Arial" w:hint="default"/>
      </w:rPr>
    </w:lvl>
    <w:lvl w:ilvl="2" w:tplc="0C08144C" w:tentative="1">
      <w:start w:val="1"/>
      <w:numFmt w:val="bullet"/>
      <w:lvlText w:val="•"/>
      <w:lvlJc w:val="left"/>
      <w:pPr>
        <w:tabs>
          <w:tab w:val="num" w:pos="2160"/>
        </w:tabs>
        <w:ind w:left="2160" w:hanging="360"/>
      </w:pPr>
      <w:rPr>
        <w:rFonts w:ascii="Arial" w:hAnsi="Arial" w:hint="default"/>
      </w:rPr>
    </w:lvl>
    <w:lvl w:ilvl="3" w:tplc="E798793C" w:tentative="1">
      <w:start w:val="1"/>
      <w:numFmt w:val="bullet"/>
      <w:lvlText w:val="•"/>
      <w:lvlJc w:val="left"/>
      <w:pPr>
        <w:tabs>
          <w:tab w:val="num" w:pos="2880"/>
        </w:tabs>
        <w:ind w:left="2880" w:hanging="360"/>
      </w:pPr>
      <w:rPr>
        <w:rFonts w:ascii="Arial" w:hAnsi="Arial" w:hint="default"/>
      </w:rPr>
    </w:lvl>
    <w:lvl w:ilvl="4" w:tplc="600AF668" w:tentative="1">
      <w:start w:val="1"/>
      <w:numFmt w:val="bullet"/>
      <w:lvlText w:val="•"/>
      <w:lvlJc w:val="left"/>
      <w:pPr>
        <w:tabs>
          <w:tab w:val="num" w:pos="3600"/>
        </w:tabs>
        <w:ind w:left="3600" w:hanging="360"/>
      </w:pPr>
      <w:rPr>
        <w:rFonts w:ascii="Arial" w:hAnsi="Arial" w:hint="default"/>
      </w:rPr>
    </w:lvl>
    <w:lvl w:ilvl="5" w:tplc="B8D08AB6" w:tentative="1">
      <w:start w:val="1"/>
      <w:numFmt w:val="bullet"/>
      <w:lvlText w:val="•"/>
      <w:lvlJc w:val="left"/>
      <w:pPr>
        <w:tabs>
          <w:tab w:val="num" w:pos="4320"/>
        </w:tabs>
        <w:ind w:left="4320" w:hanging="360"/>
      </w:pPr>
      <w:rPr>
        <w:rFonts w:ascii="Arial" w:hAnsi="Arial" w:hint="default"/>
      </w:rPr>
    </w:lvl>
    <w:lvl w:ilvl="6" w:tplc="E78694C8" w:tentative="1">
      <w:start w:val="1"/>
      <w:numFmt w:val="bullet"/>
      <w:lvlText w:val="•"/>
      <w:lvlJc w:val="left"/>
      <w:pPr>
        <w:tabs>
          <w:tab w:val="num" w:pos="5040"/>
        </w:tabs>
        <w:ind w:left="5040" w:hanging="360"/>
      </w:pPr>
      <w:rPr>
        <w:rFonts w:ascii="Arial" w:hAnsi="Arial" w:hint="default"/>
      </w:rPr>
    </w:lvl>
    <w:lvl w:ilvl="7" w:tplc="32F2CF72" w:tentative="1">
      <w:start w:val="1"/>
      <w:numFmt w:val="bullet"/>
      <w:lvlText w:val="•"/>
      <w:lvlJc w:val="left"/>
      <w:pPr>
        <w:tabs>
          <w:tab w:val="num" w:pos="5760"/>
        </w:tabs>
        <w:ind w:left="5760" w:hanging="360"/>
      </w:pPr>
      <w:rPr>
        <w:rFonts w:ascii="Arial" w:hAnsi="Arial" w:hint="default"/>
      </w:rPr>
    </w:lvl>
    <w:lvl w:ilvl="8" w:tplc="C05C08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142D23"/>
    <w:multiLevelType w:val="hybridMultilevel"/>
    <w:tmpl w:val="B57AB746"/>
    <w:lvl w:ilvl="0" w:tplc="7F962D60">
      <w:start w:val="1"/>
      <w:numFmt w:val="bullet"/>
      <w:lvlText w:val="•"/>
      <w:lvlJc w:val="left"/>
      <w:pPr>
        <w:tabs>
          <w:tab w:val="num" w:pos="720"/>
        </w:tabs>
        <w:ind w:left="720" w:hanging="360"/>
      </w:pPr>
      <w:rPr>
        <w:rFonts w:ascii="Arial" w:hAnsi="Arial" w:hint="default"/>
      </w:rPr>
    </w:lvl>
    <w:lvl w:ilvl="1" w:tplc="10085980" w:tentative="1">
      <w:start w:val="1"/>
      <w:numFmt w:val="bullet"/>
      <w:lvlText w:val="•"/>
      <w:lvlJc w:val="left"/>
      <w:pPr>
        <w:tabs>
          <w:tab w:val="num" w:pos="1440"/>
        </w:tabs>
        <w:ind w:left="1440" w:hanging="360"/>
      </w:pPr>
      <w:rPr>
        <w:rFonts w:ascii="Arial" w:hAnsi="Arial" w:hint="default"/>
      </w:rPr>
    </w:lvl>
    <w:lvl w:ilvl="2" w:tplc="F170F0D6" w:tentative="1">
      <w:start w:val="1"/>
      <w:numFmt w:val="bullet"/>
      <w:lvlText w:val="•"/>
      <w:lvlJc w:val="left"/>
      <w:pPr>
        <w:tabs>
          <w:tab w:val="num" w:pos="2160"/>
        </w:tabs>
        <w:ind w:left="2160" w:hanging="360"/>
      </w:pPr>
      <w:rPr>
        <w:rFonts w:ascii="Arial" w:hAnsi="Arial" w:hint="default"/>
      </w:rPr>
    </w:lvl>
    <w:lvl w:ilvl="3" w:tplc="D026FC80" w:tentative="1">
      <w:start w:val="1"/>
      <w:numFmt w:val="bullet"/>
      <w:lvlText w:val="•"/>
      <w:lvlJc w:val="left"/>
      <w:pPr>
        <w:tabs>
          <w:tab w:val="num" w:pos="2880"/>
        </w:tabs>
        <w:ind w:left="2880" w:hanging="360"/>
      </w:pPr>
      <w:rPr>
        <w:rFonts w:ascii="Arial" w:hAnsi="Arial" w:hint="default"/>
      </w:rPr>
    </w:lvl>
    <w:lvl w:ilvl="4" w:tplc="736C58A2" w:tentative="1">
      <w:start w:val="1"/>
      <w:numFmt w:val="bullet"/>
      <w:lvlText w:val="•"/>
      <w:lvlJc w:val="left"/>
      <w:pPr>
        <w:tabs>
          <w:tab w:val="num" w:pos="3600"/>
        </w:tabs>
        <w:ind w:left="3600" w:hanging="360"/>
      </w:pPr>
      <w:rPr>
        <w:rFonts w:ascii="Arial" w:hAnsi="Arial" w:hint="default"/>
      </w:rPr>
    </w:lvl>
    <w:lvl w:ilvl="5" w:tplc="BDDA0378" w:tentative="1">
      <w:start w:val="1"/>
      <w:numFmt w:val="bullet"/>
      <w:lvlText w:val="•"/>
      <w:lvlJc w:val="left"/>
      <w:pPr>
        <w:tabs>
          <w:tab w:val="num" w:pos="4320"/>
        </w:tabs>
        <w:ind w:left="4320" w:hanging="360"/>
      </w:pPr>
      <w:rPr>
        <w:rFonts w:ascii="Arial" w:hAnsi="Arial" w:hint="default"/>
      </w:rPr>
    </w:lvl>
    <w:lvl w:ilvl="6" w:tplc="5BDA296A" w:tentative="1">
      <w:start w:val="1"/>
      <w:numFmt w:val="bullet"/>
      <w:lvlText w:val="•"/>
      <w:lvlJc w:val="left"/>
      <w:pPr>
        <w:tabs>
          <w:tab w:val="num" w:pos="5040"/>
        </w:tabs>
        <w:ind w:left="5040" w:hanging="360"/>
      </w:pPr>
      <w:rPr>
        <w:rFonts w:ascii="Arial" w:hAnsi="Arial" w:hint="default"/>
      </w:rPr>
    </w:lvl>
    <w:lvl w:ilvl="7" w:tplc="28C2F56A" w:tentative="1">
      <w:start w:val="1"/>
      <w:numFmt w:val="bullet"/>
      <w:lvlText w:val="•"/>
      <w:lvlJc w:val="left"/>
      <w:pPr>
        <w:tabs>
          <w:tab w:val="num" w:pos="5760"/>
        </w:tabs>
        <w:ind w:left="5760" w:hanging="360"/>
      </w:pPr>
      <w:rPr>
        <w:rFonts w:ascii="Arial" w:hAnsi="Arial" w:hint="default"/>
      </w:rPr>
    </w:lvl>
    <w:lvl w:ilvl="8" w:tplc="A874D6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172051"/>
    <w:multiLevelType w:val="hybridMultilevel"/>
    <w:tmpl w:val="FD62664C"/>
    <w:lvl w:ilvl="0" w:tplc="D1762EDA">
      <w:start w:val="1"/>
      <w:numFmt w:val="bullet"/>
      <w:lvlText w:val="•"/>
      <w:lvlJc w:val="left"/>
      <w:pPr>
        <w:tabs>
          <w:tab w:val="num" w:pos="720"/>
        </w:tabs>
        <w:ind w:left="720" w:hanging="360"/>
      </w:pPr>
      <w:rPr>
        <w:rFonts w:ascii="Arial" w:hAnsi="Arial" w:hint="default"/>
      </w:rPr>
    </w:lvl>
    <w:lvl w:ilvl="1" w:tplc="E82EC74E">
      <w:start w:val="6830"/>
      <w:numFmt w:val="bullet"/>
      <w:lvlText w:val="–"/>
      <w:lvlJc w:val="left"/>
      <w:pPr>
        <w:tabs>
          <w:tab w:val="num" w:pos="1440"/>
        </w:tabs>
        <w:ind w:left="1440" w:hanging="360"/>
      </w:pPr>
      <w:rPr>
        <w:rFonts w:ascii="Arial" w:hAnsi="Arial" w:hint="default"/>
      </w:rPr>
    </w:lvl>
    <w:lvl w:ilvl="2" w:tplc="87901492" w:tentative="1">
      <w:start w:val="1"/>
      <w:numFmt w:val="bullet"/>
      <w:lvlText w:val="•"/>
      <w:lvlJc w:val="left"/>
      <w:pPr>
        <w:tabs>
          <w:tab w:val="num" w:pos="2160"/>
        </w:tabs>
        <w:ind w:left="2160" w:hanging="360"/>
      </w:pPr>
      <w:rPr>
        <w:rFonts w:ascii="Arial" w:hAnsi="Arial" w:hint="default"/>
      </w:rPr>
    </w:lvl>
    <w:lvl w:ilvl="3" w:tplc="73AAD5FA" w:tentative="1">
      <w:start w:val="1"/>
      <w:numFmt w:val="bullet"/>
      <w:lvlText w:val="•"/>
      <w:lvlJc w:val="left"/>
      <w:pPr>
        <w:tabs>
          <w:tab w:val="num" w:pos="2880"/>
        </w:tabs>
        <w:ind w:left="2880" w:hanging="360"/>
      </w:pPr>
      <w:rPr>
        <w:rFonts w:ascii="Arial" w:hAnsi="Arial" w:hint="default"/>
      </w:rPr>
    </w:lvl>
    <w:lvl w:ilvl="4" w:tplc="99D4F77E" w:tentative="1">
      <w:start w:val="1"/>
      <w:numFmt w:val="bullet"/>
      <w:lvlText w:val="•"/>
      <w:lvlJc w:val="left"/>
      <w:pPr>
        <w:tabs>
          <w:tab w:val="num" w:pos="3600"/>
        </w:tabs>
        <w:ind w:left="3600" w:hanging="360"/>
      </w:pPr>
      <w:rPr>
        <w:rFonts w:ascii="Arial" w:hAnsi="Arial" w:hint="default"/>
      </w:rPr>
    </w:lvl>
    <w:lvl w:ilvl="5" w:tplc="2C2282D4" w:tentative="1">
      <w:start w:val="1"/>
      <w:numFmt w:val="bullet"/>
      <w:lvlText w:val="•"/>
      <w:lvlJc w:val="left"/>
      <w:pPr>
        <w:tabs>
          <w:tab w:val="num" w:pos="4320"/>
        </w:tabs>
        <w:ind w:left="4320" w:hanging="360"/>
      </w:pPr>
      <w:rPr>
        <w:rFonts w:ascii="Arial" w:hAnsi="Arial" w:hint="default"/>
      </w:rPr>
    </w:lvl>
    <w:lvl w:ilvl="6" w:tplc="7FD0DCE8" w:tentative="1">
      <w:start w:val="1"/>
      <w:numFmt w:val="bullet"/>
      <w:lvlText w:val="•"/>
      <w:lvlJc w:val="left"/>
      <w:pPr>
        <w:tabs>
          <w:tab w:val="num" w:pos="5040"/>
        </w:tabs>
        <w:ind w:left="5040" w:hanging="360"/>
      </w:pPr>
      <w:rPr>
        <w:rFonts w:ascii="Arial" w:hAnsi="Arial" w:hint="default"/>
      </w:rPr>
    </w:lvl>
    <w:lvl w:ilvl="7" w:tplc="33FCA702" w:tentative="1">
      <w:start w:val="1"/>
      <w:numFmt w:val="bullet"/>
      <w:lvlText w:val="•"/>
      <w:lvlJc w:val="left"/>
      <w:pPr>
        <w:tabs>
          <w:tab w:val="num" w:pos="5760"/>
        </w:tabs>
        <w:ind w:left="5760" w:hanging="360"/>
      </w:pPr>
      <w:rPr>
        <w:rFonts w:ascii="Arial" w:hAnsi="Arial" w:hint="default"/>
      </w:rPr>
    </w:lvl>
    <w:lvl w:ilvl="8" w:tplc="6C3A75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AD1734"/>
    <w:multiLevelType w:val="hybridMultilevel"/>
    <w:tmpl w:val="6130F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7C67C6"/>
    <w:multiLevelType w:val="hybridMultilevel"/>
    <w:tmpl w:val="3CF4BBCA"/>
    <w:lvl w:ilvl="0" w:tplc="04090003">
      <w:start w:val="1"/>
      <w:numFmt w:val="bullet"/>
      <w:lvlText w:val="o"/>
      <w:lvlJc w:val="left"/>
      <w:pPr>
        <w:ind w:left="720" w:hanging="360"/>
      </w:pPr>
      <w:rPr>
        <w:rFonts w:ascii="Courier New" w:hAnsi="Courier New" w:cs="Courier New" w:hint="default"/>
      </w:rPr>
    </w:lvl>
    <w:lvl w:ilvl="1" w:tplc="53F0893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B2352"/>
    <w:multiLevelType w:val="hybridMultilevel"/>
    <w:tmpl w:val="4D1816AA"/>
    <w:lvl w:ilvl="0" w:tplc="DEA6144A">
      <w:start w:val="1"/>
      <w:numFmt w:val="bullet"/>
      <w:lvlText w:val="•"/>
      <w:lvlJc w:val="left"/>
      <w:pPr>
        <w:tabs>
          <w:tab w:val="num" w:pos="720"/>
        </w:tabs>
        <w:ind w:left="720" w:hanging="360"/>
      </w:pPr>
      <w:rPr>
        <w:rFonts w:ascii="Arial" w:hAnsi="Arial" w:hint="default"/>
      </w:rPr>
    </w:lvl>
    <w:lvl w:ilvl="1" w:tplc="A79E022E" w:tentative="1">
      <w:start w:val="1"/>
      <w:numFmt w:val="bullet"/>
      <w:lvlText w:val="•"/>
      <w:lvlJc w:val="left"/>
      <w:pPr>
        <w:tabs>
          <w:tab w:val="num" w:pos="1440"/>
        </w:tabs>
        <w:ind w:left="1440" w:hanging="360"/>
      </w:pPr>
      <w:rPr>
        <w:rFonts w:ascii="Arial" w:hAnsi="Arial" w:hint="default"/>
      </w:rPr>
    </w:lvl>
    <w:lvl w:ilvl="2" w:tplc="12583FEE" w:tentative="1">
      <w:start w:val="1"/>
      <w:numFmt w:val="bullet"/>
      <w:lvlText w:val="•"/>
      <w:lvlJc w:val="left"/>
      <w:pPr>
        <w:tabs>
          <w:tab w:val="num" w:pos="2160"/>
        </w:tabs>
        <w:ind w:left="2160" w:hanging="360"/>
      </w:pPr>
      <w:rPr>
        <w:rFonts w:ascii="Arial" w:hAnsi="Arial" w:hint="default"/>
      </w:rPr>
    </w:lvl>
    <w:lvl w:ilvl="3" w:tplc="F3ACCFB0" w:tentative="1">
      <w:start w:val="1"/>
      <w:numFmt w:val="bullet"/>
      <w:lvlText w:val="•"/>
      <w:lvlJc w:val="left"/>
      <w:pPr>
        <w:tabs>
          <w:tab w:val="num" w:pos="2880"/>
        </w:tabs>
        <w:ind w:left="2880" w:hanging="360"/>
      </w:pPr>
      <w:rPr>
        <w:rFonts w:ascii="Arial" w:hAnsi="Arial" w:hint="default"/>
      </w:rPr>
    </w:lvl>
    <w:lvl w:ilvl="4" w:tplc="435C91F6" w:tentative="1">
      <w:start w:val="1"/>
      <w:numFmt w:val="bullet"/>
      <w:lvlText w:val="•"/>
      <w:lvlJc w:val="left"/>
      <w:pPr>
        <w:tabs>
          <w:tab w:val="num" w:pos="3600"/>
        </w:tabs>
        <w:ind w:left="3600" w:hanging="360"/>
      </w:pPr>
      <w:rPr>
        <w:rFonts w:ascii="Arial" w:hAnsi="Arial" w:hint="default"/>
      </w:rPr>
    </w:lvl>
    <w:lvl w:ilvl="5" w:tplc="02FCF652" w:tentative="1">
      <w:start w:val="1"/>
      <w:numFmt w:val="bullet"/>
      <w:lvlText w:val="•"/>
      <w:lvlJc w:val="left"/>
      <w:pPr>
        <w:tabs>
          <w:tab w:val="num" w:pos="4320"/>
        </w:tabs>
        <w:ind w:left="4320" w:hanging="360"/>
      </w:pPr>
      <w:rPr>
        <w:rFonts w:ascii="Arial" w:hAnsi="Arial" w:hint="default"/>
      </w:rPr>
    </w:lvl>
    <w:lvl w:ilvl="6" w:tplc="3CEEE2B4" w:tentative="1">
      <w:start w:val="1"/>
      <w:numFmt w:val="bullet"/>
      <w:lvlText w:val="•"/>
      <w:lvlJc w:val="left"/>
      <w:pPr>
        <w:tabs>
          <w:tab w:val="num" w:pos="5040"/>
        </w:tabs>
        <w:ind w:left="5040" w:hanging="360"/>
      </w:pPr>
      <w:rPr>
        <w:rFonts w:ascii="Arial" w:hAnsi="Arial" w:hint="default"/>
      </w:rPr>
    </w:lvl>
    <w:lvl w:ilvl="7" w:tplc="CC743BF8" w:tentative="1">
      <w:start w:val="1"/>
      <w:numFmt w:val="bullet"/>
      <w:lvlText w:val="•"/>
      <w:lvlJc w:val="left"/>
      <w:pPr>
        <w:tabs>
          <w:tab w:val="num" w:pos="5760"/>
        </w:tabs>
        <w:ind w:left="5760" w:hanging="360"/>
      </w:pPr>
      <w:rPr>
        <w:rFonts w:ascii="Arial" w:hAnsi="Arial" w:hint="default"/>
      </w:rPr>
    </w:lvl>
    <w:lvl w:ilvl="8" w:tplc="FB4EA77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0"/>
  </w:num>
  <w:num w:numId="4">
    <w:abstractNumId w:val="5"/>
  </w:num>
  <w:num w:numId="5">
    <w:abstractNumId w:val="7"/>
  </w:num>
  <w:num w:numId="6">
    <w:abstractNumId w:val="9"/>
  </w:num>
  <w:num w:numId="7">
    <w:abstractNumId w:val="0"/>
  </w:num>
  <w:num w:numId="8">
    <w:abstractNumId w:val="8"/>
  </w:num>
  <w:num w:numId="9">
    <w:abstractNumId w:val="1"/>
  </w:num>
  <w:num w:numId="10">
    <w:abstractNumId w:val="13"/>
  </w:num>
  <w:num w:numId="11">
    <w:abstractNumId w:val="6"/>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255"/>
    <w:rsid w:val="0003486D"/>
    <w:rsid w:val="00035ECA"/>
    <w:rsid w:val="00037D03"/>
    <w:rsid w:val="0004072D"/>
    <w:rsid w:val="00045651"/>
    <w:rsid w:val="00045D10"/>
    <w:rsid w:val="00052288"/>
    <w:rsid w:val="00053049"/>
    <w:rsid w:val="00053B14"/>
    <w:rsid w:val="0005780C"/>
    <w:rsid w:val="0006033B"/>
    <w:rsid w:val="000839F5"/>
    <w:rsid w:val="000A5D08"/>
    <w:rsid w:val="000C063B"/>
    <w:rsid w:val="000C39DC"/>
    <w:rsid w:val="000E3375"/>
    <w:rsid w:val="000E70CF"/>
    <w:rsid w:val="000E7D0E"/>
    <w:rsid w:val="000F13FF"/>
    <w:rsid w:val="00114C93"/>
    <w:rsid w:val="00134538"/>
    <w:rsid w:val="00136308"/>
    <w:rsid w:val="00161D83"/>
    <w:rsid w:val="001620A2"/>
    <w:rsid w:val="00184D90"/>
    <w:rsid w:val="001A12E7"/>
    <w:rsid w:val="001A43C0"/>
    <w:rsid w:val="001B2949"/>
    <w:rsid w:val="001B351B"/>
    <w:rsid w:val="001B4D9B"/>
    <w:rsid w:val="001C677E"/>
    <w:rsid w:val="001D19F8"/>
    <w:rsid w:val="001F2780"/>
    <w:rsid w:val="0021309C"/>
    <w:rsid w:val="00214B6D"/>
    <w:rsid w:val="00216F50"/>
    <w:rsid w:val="0022792E"/>
    <w:rsid w:val="00230A62"/>
    <w:rsid w:val="00232F24"/>
    <w:rsid w:val="00241749"/>
    <w:rsid w:val="0025167A"/>
    <w:rsid w:val="002564CF"/>
    <w:rsid w:val="00256832"/>
    <w:rsid w:val="0025705E"/>
    <w:rsid w:val="00257B5E"/>
    <w:rsid w:val="00271B2D"/>
    <w:rsid w:val="00274CDF"/>
    <w:rsid w:val="002772FC"/>
    <w:rsid w:val="00295B1F"/>
    <w:rsid w:val="002B080E"/>
    <w:rsid w:val="002B2E53"/>
    <w:rsid w:val="002B4F1B"/>
    <w:rsid w:val="002C3E08"/>
    <w:rsid w:val="002C487D"/>
    <w:rsid w:val="002D6292"/>
    <w:rsid w:val="002E44C9"/>
    <w:rsid w:val="002E6E27"/>
    <w:rsid w:val="002F1A58"/>
    <w:rsid w:val="002F24DD"/>
    <w:rsid w:val="002F3622"/>
    <w:rsid w:val="003002CF"/>
    <w:rsid w:val="00310225"/>
    <w:rsid w:val="00310E59"/>
    <w:rsid w:val="0031122E"/>
    <w:rsid w:val="003123A7"/>
    <w:rsid w:val="00313F08"/>
    <w:rsid w:val="00332BA2"/>
    <w:rsid w:val="0033413A"/>
    <w:rsid w:val="00337E01"/>
    <w:rsid w:val="0035443B"/>
    <w:rsid w:val="003549ED"/>
    <w:rsid w:val="00354FF1"/>
    <w:rsid w:val="003665F6"/>
    <w:rsid w:val="0037588B"/>
    <w:rsid w:val="00381B53"/>
    <w:rsid w:val="00391FDE"/>
    <w:rsid w:val="00395567"/>
    <w:rsid w:val="00396BBD"/>
    <w:rsid w:val="003A4540"/>
    <w:rsid w:val="003B15D0"/>
    <w:rsid w:val="003B4181"/>
    <w:rsid w:val="003C49B1"/>
    <w:rsid w:val="003C4A94"/>
    <w:rsid w:val="003C5735"/>
    <w:rsid w:val="003D50B2"/>
    <w:rsid w:val="003E0CF8"/>
    <w:rsid w:val="003E3E4D"/>
    <w:rsid w:val="003E45A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711C6"/>
    <w:rsid w:val="00572570"/>
    <w:rsid w:val="0057385C"/>
    <w:rsid w:val="0058582F"/>
    <w:rsid w:val="005866B3"/>
    <w:rsid w:val="00587AA3"/>
    <w:rsid w:val="00593549"/>
    <w:rsid w:val="005945B8"/>
    <w:rsid w:val="005B02E6"/>
    <w:rsid w:val="005B7592"/>
    <w:rsid w:val="005C0BC6"/>
    <w:rsid w:val="005C297D"/>
    <w:rsid w:val="005C4B0A"/>
    <w:rsid w:val="005C7EFA"/>
    <w:rsid w:val="005E0A81"/>
    <w:rsid w:val="005E206B"/>
    <w:rsid w:val="005E4610"/>
    <w:rsid w:val="005E501A"/>
    <w:rsid w:val="005E5745"/>
    <w:rsid w:val="005F5187"/>
    <w:rsid w:val="005F5980"/>
    <w:rsid w:val="00600B8C"/>
    <w:rsid w:val="00603F11"/>
    <w:rsid w:val="00604BB8"/>
    <w:rsid w:val="00607BF5"/>
    <w:rsid w:val="006139A9"/>
    <w:rsid w:val="00614E29"/>
    <w:rsid w:val="00637BB8"/>
    <w:rsid w:val="00643C2C"/>
    <w:rsid w:val="00643EC6"/>
    <w:rsid w:val="00644764"/>
    <w:rsid w:val="006457D8"/>
    <w:rsid w:val="00655DE1"/>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31F1C"/>
    <w:rsid w:val="00734EE7"/>
    <w:rsid w:val="007376D8"/>
    <w:rsid w:val="00741FD7"/>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562"/>
    <w:rsid w:val="007F4AD4"/>
    <w:rsid w:val="007F50C4"/>
    <w:rsid w:val="007F5394"/>
    <w:rsid w:val="008040F7"/>
    <w:rsid w:val="00817194"/>
    <w:rsid w:val="00822502"/>
    <w:rsid w:val="008345CD"/>
    <w:rsid w:val="00834941"/>
    <w:rsid w:val="00834CF6"/>
    <w:rsid w:val="008460BF"/>
    <w:rsid w:val="008506EE"/>
    <w:rsid w:val="00850F36"/>
    <w:rsid w:val="008533BA"/>
    <w:rsid w:val="00854AB7"/>
    <w:rsid w:val="00870327"/>
    <w:rsid w:val="00870570"/>
    <w:rsid w:val="008805B3"/>
    <w:rsid w:val="00884A31"/>
    <w:rsid w:val="00885CF3"/>
    <w:rsid w:val="008878CF"/>
    <w:rsid w:val="00892FD1"/>
    <w:rsid w:val="00896FE7"/>
    <w:rsid w:val="008A5FE2"/>
    <w:rsid w:val="008B1786"/>
    <w:rsid w:val="008B2389"/>
    <w:rsid w:val="008B4EAA"/>
    <w:rsid w:val="008C3384"/>
    <w:rsid w:val="008C3C57"/>
    <w:rsid w:val="008D29F1"/>
    <w:rsid w:val="008D59DC"/>
    <w:rsid w:val="008E6428"/>
    <w:rsid w:val="008E6E0E"/>
    <w:rsid w:val="008E752B"/>
    <w:rsid w:val="009006F4"/>
    <w:rsid w:val="00903BEE"/>
    <w:rsid w:val="00907A82"/>
    <w:rsid w:val="009103BC"/>
    <w:rsid w:val="00911780"/>
    <w:rsid w:val="009134B4"/>
    <w:rsid w:val="00914F2F"/>
    <w:rsid w:val="009260D8"/>
    <w:rsid w:val="00942853"/>
    <w:rsid w:val="009508C0"/>
    <w:rsid w:val="00954970"/>
    <w:rsid w:val="00973131"/>
    <w:rsid w:val="009A6C3F"/>
    <w:rsid w:val="009B65FE"/>
    <w:rsid w:val="009C1363"/>
    <w:rsid w:val="009C1547"/>
    <w:rsid w:val="009C3584"/>
    <w:rsid w:val="009C4E17"/>
    <w:rsid w:val="009C68F8"/>
    <w:rsid w:val="009D0CAD"/>
    <w:rsid w:val="009D0F6A"/>
    <w:rsid w:val="009D4CB6"/>
    <w:rsid w:val="009E314D"/>
    <w:rsid w:val="009E4DB6"/>
    <w:rsid w:val="009F1696"/>
    <w:rsid w:val="009F44F3"/>
    <w:rsid w:val="00A0107D"/>
    <w:rsid w:val="00A14CCD"/>
    <w:rsid w:val="00A23880"/>
    <w:rsid w:val="00A24337"/>
    <w:rsid w:val="00A34EC8"/>
    <w:rsid w:val="00A3527B"/>
    <w:rsid w:val="00A4449E"/>
    <w:rsid w:val="00A538B7"/>
    <w:rsid w:val="00A54595"/>
    <w:rsid w:val="00A710F7"/>
    <w:rsid w:val="00A7185C"/>
    <w:rsid w:val="00A74523"/>
    <w:rsid w:val="00A81356"/>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20816"/>
    <w:rsid w:val="00B301B7"/>
    <w:rsid w:val="00B42557"/>
    <w:rsid w:val="00B42C7B"/>
    <w:rsid w:val="00B51757"/>
    <w:rsid w:val="00B5256C"/>
    <w:rsid w:val="00B52E3F"/>
    <w:rsid w:val="00B83D63"/>
    <w:rsid w:val="00B87454"/>
    <w:rsid w:val="00B96181"/>
    <w:rsid w:val="00BA1351"/>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43C85"/>
    <w:rsid w:val="00C502DA"/>
    <w:rsid w:val="00C54F68"/>
    <w:rsid w:val="00C63FAB"/>
    <w:rsid w:val="00C6769A"/>
    <w:rsid w:val="00C730B6"/>
    <w:rsid w:val="00C74E40"/>
    <w:rsid w:val="00C82795"/>
    <w:rsid w:val="00C96499"/>
    <w:rsid w:val="00C9798A"/>
    <w:rsid w:val="00CA1524"/>
    <w:rsid w:val="00CB15E3"/>
    <w:rsid w:val="00CB60A0"/>
    <w:rsid w:val="00CC0B3B"/>
    <w:rsid w:val="00CC301A"/>
    <w:rsid w:val="00CC54FD"/>
    <w:rsid w:val="00CD03F5"/>
    <w:rsid w:val="00CD28E7"/>
    <w:rsid w:val="00CD44F0"/>
    <w:rsid w:val="00CD4E0C"/>
    <w:rsid w:val="00CE7638"/>
    <w:rsid w:val="00CF2660"/>
    <w:rsid w:val="00CF7C7F"/>
    <w:rsid w:val="00D02BFF"/>
    <w:rsid w:val="00D1564F"/>
    <w:rsid w:val="00D22E7A"/>
    <w:rsid w:val="00D352F2"/>
    <w:rsid w:val="00D374BA"/>
    <w:rsid w:val="00D448F8"/>
    <w:rsid w:val="00D647DF"/>
    <w:rsid w:val="00D71A5F"/>
    <w:rsid w:val="00D73953"/>
    <w:rsid w:val="00D74F9F"/>
    <w:rsid w:val="00D820CC"/>
    <w:rsid w:val="00D9008C"/>
    <w:rsid w:val="00D90EF5"/>
    <w:rsid w:val="00D91C03"/>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F1A"/>
    <w:rsid w:val="00E565A9"/>
    <w:rsid w:val="00E571E3"/>
    <w:rsid w:val="00E6146F"/>
    <w:rsid w:val="00E626A9"/>
    <w:rsid w:val="00E66A67"/>
    <w:rsid w:val="00E72DEB"/>
    <w:rsid w:val="00E81853"/>
    <w:rsid w:val="00E828D2"/>
    <w:rsid w:val="00E9073A"/>
    <w:rsid w:val="00E916B3"/>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2A8E"/>
    <w:rsid w:val="00F0376E"/>
    <w:rsid w:val="00F07C31"/>
    <w:rsid w:val="00F11F40"/>
    <w:rsid w:val="00F15BDF"/>
    <w:rsid w:val="00F1657D"/>
    <w:rsid w:val="00F274FF"/>
    <w:rsid w:val="00F2797E"/>
    <w:rsid w:val="00F3035C"/>
    <w:rsid w:val="00F3572F"/>
    <w:rsid w:val="00F36972"/>
    <w:rsid w:val="00F4129B"/>
    <w:rsid w:val="00F42515"/>
    <w:rsid w:val="00F45042"/>
    <w:rsid w:val="00F549E5"/>
    <w:rsid w:val="00F62501"/>
    <w:rsid w:val="00F62E5F"/>
    <w:rsid w:val="00F80B54"/>
    <w:rsid w:val="00F83A35"/>
    <w:rsid w:val="00F94F0C"/>
    <w:rsid w:val="00FA0BA9"/>
    <w:rsid w:val="00FB402A"/>
    <w:rsid w:val="00FB7EB0"/>
    <w:rsid w:val="00FC3AAB"/>
    <w:rsid w:val="00FD106C"/>
    <w:rsid w:val="00FD257C"/>
    <w:rsid w:val="00FD6553"/>
    <w:rsid w:val="00FD74BC"/>
    <w:rsid w:val="00FE4F64"/>
    <w:rsid w:val="00FE7B70"/>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customStyle="1" w:styleId="TableParagraph">
    <w:name w:val="Table Paragraph"/>
    <w:basedOn w:val="Normal"/>
    <w:uiPriority w:val="1"/>
    <w:qFormat/>
    <w:rsid w:val="00C502DA"/>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357">
      <w:bodyDiv w:val="1"/>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547"/>
          <w:marRight w:val="0"/>
          <w:marTop w:val="125"/>
          <w:marBottom w:val="0"/>
          <w:divBdr>
            <w:top w:val="none" w:sz="0" w:space="0" w:color="auto"/>
            <w:left w:val="none" w:sz="0" w:space="0" w:color="auto"/>
            <w:bottom w:val="none" w:sz="0" w:space="0" w:color="auto"/>
            <w:right w:val="none" w:sz="0" w:space="0" w:color="auto"/>
          </w:divBdr>
        </w:div>
      </w:divsChild>
    </w:div>
    <w:div w:id="45876728">
      <w:bodyDiv w:val="1"/>
      <w:marLeft w:val="0"/>
      <w:marRight w:val="0"/>
      <w:marTop w:val="0"/>
      <w:marBottom w:val="0"/>
      <w:divBdr>
        <w:top w:val="none" w:sz="0" w:space="0" w:color="auto"/>
        <w:left w:val="none" w:sz="0" w:space="0" w:color="auto"/>
        <w:bottom w:val="none" w:sz="0" w:space="0" w:color="auto"/>
        <w:right w:val="none" w:sz="0" w:space="0" w:color="auto"/>
      </w:divBdr>
      <w:divsChild>
        <w:div w:id="176043842">
          <w:marLeft w:val="547"/>
          <w:marRight w:val="0"/>
          <w:marTop w:val="96"/>
          <w:marBottom w:val="0"/>
          <w:divBdr>
            <w:top w:val="none" w:sz="0" w:space="0" w:color="auto"/>
            <w:left w:val="none" w:sz="0" w:space="0" w:color="auto"/>
            <w:bottom w:val="none" w:sz="0" w:space="0" w:color="auto"/>
            <w:right w:val="none" w:sz="0" w:space="0" w:color="auto"/>
          </w:divBdr>
        </w:div>
      </w:divsChild>
    </w:div>
    <w:div w:id="103769155">
      <w:bodyDiv w:val="1"/>
      <w:marLeft w:val="0"/>
      <w:marRight w:val="0"/>
      <w:marTop w:val="0"/>
      <w:marBottom w:val="0"/>
      <w:divBdr>
        <w:top w:val="none" w:sz="0" w:space="0" w:color="auto"/>
        <w:left w:val="none" w:sz="0" w:space="0" w:color="auto"/>
        <w:bottom w:val="none" w:sz="0" w:space="0" w:color="auto"/>
        <w:right w:val="none" w:sz="0" w:space="0" w:color="auto"/>
      </w:divBdr>
      <w:divsChild>
        <w:div w:id="1441145118">
          <w:marLeft w:val="547"/>
          <w:marRight w:val="0"/>
          <w:marTop w:val="96"/>
          <w:marBottom w:val="0"/>
          <w:divBdr>
            <w:top w:val="none" w:sz="0" w:space="0" w:color="auto"/>
            <w:left w:val="none" w:sz="0" w:space="0" w:color="auto"/>
            <w:bottom w:val="none" w:sz="0" w:space="0" w:color="auto"/>
            <w:right w:val="none" w:sz="0" w:space="0" w:color="auto"/>
          </w:divBdr>
        </w:div>
      </w:divsChild>
    </w:div>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298149116">
      <w:bodyDiv w:val="1"/>
      <w:marLeft w:val="0"/>
      <w:marRight w:val="0"/>
      <w:marTop w:val="0"/>
      <w:marBottom w:val="0"/>
      <w:divBdr>
        <w:top w:val="none" w:sz="0" w:space="0" w:color="auto"/>
        <w:left w:val="none" w:sz="0" w:space="0" w:color="auto"/>
        <w:bottom w:val="none" w:sz="0" w:space="0" w:color="auto"/>
        <w:right w:val="none" w:sz="0" w:space="0" w:color="auto"/>
      </w:divBdr>
      <w:divsChild>
        <w:div w:id="900290523">
          <w:marLeft w:val="547"/>
          <w:marRight w:val="0"/>
          <w:marTop w:val="9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349671209">
      <w:bodyDiv w:val="1"/>
      <w:marLeft w:val="0"/>
      <w:marRight w:val="0"/>
      <w:marTop w:val="0"/>
      <w:marBottom w:val="0"/>
      <w:divBdr>
        <w:top w:val="none" w:sz="0" w:space="0" w:color="auto"/>
        <w:left w:val="none" w:sz="0" w:space="0" w:color="auto"/>
        <w:bottom w:val="none" w:sz="0" w:space="0" w:color="auto"/>
        <w:right w:val="none" w:sz="0" w:space="0" w:color="auto"/>
      </w:divBdr>
      <w:divsChild>
        <w:div w:id="288898878">
          <w:marLeft w:val="547"/>
          <w:marRight w:val="0"/>
          <w:marTop w:val="125"/>
          <w:marBottom w:val="0"/>
          <w:divBdr>
            <w:top w:val="none" w:sz="0" w:space="0" w:color="auto"/>
            <w:left w:val="none" w:sz="0" w:space="0" w:color="auto"/>
            <w:bottom w:val="none" w:sz="0" w:space="0" w:color="auto"/>
            <w:right w:val="none" w:sz="0" w:space="0" w:color="auto"/>
          </w:divBdr>
        </w:div>
        <w:div w:id="2124957938">
          <w:marLeft w:val="547"/>
          <w:marRight w:val="0"/>
          <w:marTop w:val="125"/>
          <w:marBottom w:val="0"/>
          <w:divBdr>
            <w:top w:val="none" w:sz="0" w:space="0" w:color="auto"/>
            <w:left w:val="none" w:sz="0" w:space="0" w:color="auto"/>
            <w:bottom w:val="none" w:sz="0" w:space="0" w:color="auto"/>
            <w:right w:val="none" w:sz="0" w:space="0" w:color="auto"/>
          </w:divBdr>
        </w:div>
        <w:div w:id="1183126148">
          <w:marLeft w:val="547"/>
          <w:marRight w:val="0"/>
          <w:marTop w:val="125"/>
          <w:marBottom w:val="0"/>
          <w:divBdr>
            <w:top w:val="none" w:sz="0" w:space="0" w:color="auto"/>
            <w:left w:val="none" w:sz="0" w:space="0" w:color="auto"/>
            <w:bottom w:val="none" w:sz="0" w:space="0" w:color="auto"/>
            <w:right w:val="none" w:sz="0" w:space="0" w:color="auto"/>
          </w:divBdr>
        </w:div>
        <w:div w:id="1063678236">
          <w:marLeft w:val="1166"/>
          <w:marRight w:val="0"/>
          <w:marTop w:val="115"/>
          <w:marBottom w:val="0"/>
          <w:divBdr>
            <w:top w:val="none" w:sz="0" w:space="0" w:color="auto"/>
            <w:left w:val="none" w:sz="0" w:space="0" w:color="auto"/>
            <w:bottom w:val="none" w:sz="0" w:space="0" w:color="auto"/>
            <w:right w:val="none" w:sz="0" w:space="0" w:color="auto"/>
          </w:divBdr>
        </w:div>
        <w:div w:id="306132177">
          <w:marLeft w:val="1166"/>
          <w:marRight w:val="0"/>
          <w:marTop w:val="115"/>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588535516">
      <w:bodyDiv w:val="1"/>
      <w:marLeft w:val="0"/>
      <w:marRight w:val="0"/>
      <w:marTop w:val="0"/>
      <w:marBottom w:val="0"/>
      <w:divBdr>
        <w:top w:val="none" w:sz="0" w:space="0" w:color="auto"/>
        <w:left w:val="none" w:sz="0" w:space="0" w:color="auto"/>
        <w:bottom w:val="none" w:sz="0" w:space="0" w:color="auto"/>
        <w:right w:val="none" w:sz="0" w:space="0" w:color="auto"/>
      </w:divBdr>
      <w:divsChild>
        <w:div w:id="652028012">
          <w:marLeft w:val="547"/>
          <w:marRight w:val="0"/>
          <w:marTop w:val="96"/>
          <w:marBottom w:val="0"/>
          <w:divBdr>
            <w:top w:val="none" w:sz="0" w:space="0" w:color="auto"/>
            <w:left w:val="none" w:sz="0" w:space="0" w:color="auto"/>
            <w:bottom w:val="none" w:sz="0" w:space="0" w:color="auto"/>
            <w:right w:val="none" w:sz="0" w:space="0" w:color="auto"/>
          </w:divBdr>
        </w:div>
        <w:div w:id="28409610">
          <w:marLeft w:val="1166"/>
          <w:marRight w:val="0"/>
          <w:marTop w:val="96"/>
          <w:marBottom w:val="0"/>
          <w:divBdr>
            <w:top w:val="none" w:sz="0" w:space="0" w:color="auto"/>
            <w:left w:val="none" w:sz="0" w:space="0" w:color="auto"/>
            <w:bottom w:val="none" w:sz="0" w:space="0" w:color="auto"/>
            <w:right w:val="none" w:sz="0" w:space="0" w:color="auto"/>
          </w:divBdr>
        </w:div>
        <w:div w:id="739206862">
          <w:marLeft w:val="547"/>
          <w:marRight w:val="0"/>
          <w:marTop w:val="96"/>
          <w:marBottom w:val="0"/>
          <w:divBdr>
            <w:top w:val="none" w:sz="0" w:space="0" w:color="auto"/>
            <w:left w:val="none" w:sz="0" w:space="0" w:color="auto"/>
            <w:bottom w:val="none" w:sz="0" w:space="0" w:color="auto"/>
            <w:right w:val="none" w:sz="0" w:space="0" w:color="auto"/>
          </w:divBdr>
        </w:div>
        <w:div w:id="574516647">
          <w:marLeft w:val="547"/>
          <w:marRight w:val="0"/>
          <w:marTop w:val="96"/>
          <w:marBottom w:val="0"/>
          <w:divBdr>
            <w:top w:val="none" w:sz="0" w:space="0" w:color="auto"/>
            <w:left w:val="none" w:sz="0" w:space="0" w:color="auto"/>
            <w:bottom w:val="none" w:sz="0" w:space="0" w:color="auto"/>
            <w:right w:val="none" w:sz="0" w:space="0" w:color="auto"/>
          </w:divBdr>
        </w:div>
        <w:div w:id="1255631465">
          <w:marLeft w:val="547"/>
          <w:marRight w:val="0"/>
          <w:marTop w:val="9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Bernecker, John</cp:lastModifiedBy>
  <cp:revision>3</cp:revision>
  <dcterms:created xsi:type="dcterms:W3CDTF">2022-02-11T13:06:00Z</dcterms:created>
  <dcterms:modified xsi:type="dcterms:W3CDTF">2022-02-11T13:16:00Z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