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77777777"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09373DC8" w14:textId="77777777" w:rsidR="00EC2299" w:rsidRPr="008A691B" w:rsidRDefault="00EC2299" w:rsidP="00EC2299">
      <w:pPr>
        <w:pStyle w:val="PRRHeader"/>
        <w:widowControl w:val="0"/>
        <w:spacing w:after="100" w:afterAutospacing="1"/>
        <w:ind w:left="720" w:firstLine="0"/>
      </w:pPr>
      <w:r>
        <w:rPr>
          <w:lang w:val="en-US"/>
        </w:rPr>
        <w:t>NPRR917</w:t>
      </w:r>
      <w:r w:rsidRPr="008A691B">
        <w:rPr>
          <w:lang w:val="en-US"/>
        </w:rPr>
        <w:t xml:space="preserve"> – </w:t>
      </w:r>
      <w:r w:rsidRPr="009C633B">
        <w:rPr>
          <w:lang w:val="en-US"/>
        </w:rPr>
        <w:t>Nodal Pricing for Settlement Only Distribution Generators (SODGs) and Settlement Only Transmission Generators (SOTGs)</w:t>
      </w:r>
    </w:p>
    <w:p w14:paraId="2749D00A" w14:textId="6516BA31"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9C633B">
        <w:rPr>
          <w:b w:val="0"/>
          <w:lang w:val="en-US"/>
        </w:rPr>
        <w:t xml:space="preserve">implements nodal energy pricing, </w:t>
      </w:r>
      <w:r w:rsidR="005A35B3">
        <w:rPr>
          <w:b w:val="0"/>
          <w:lang w:val="en-US"/>
        </w:rPr>
        <w:t xml:space="preserve">in place of </w:t>
      </w:r>
      <w:r w:rsidRPr="009C633B">
        <w:rPr>
          <w:b w:val="0"/>
          <w:lang w:val="en-US"/>
        </w:rPr>
        <w:t>Load Zone energy pricing, for Settlement Only Distribution Generators (SODGs) and Settlement Only Transmission Generators (SOTGs).  For an SODG, the energy price used as the basis for the 15-minute Real-Time price calculation is the time-weighted price at the Electrical Bus associated with the mapped Load of the SODG in the Network Operations Model.  For an SOTG, the energy price used as the basis for the 15-minute Real-Time price calculation is the time-weighted price at the Electrical Bus as determined by ERCOT in review of the meter location of the SOTG in the Network Operations Model.  This NPRR also allows existing SODGs and SOTGs to apply to ERCOT to continue to receive Load Zone energy pricing until such time as they proactively opt in for nodal pricing, or January 1, 2030, whichever is earlier.</w:t>
      </w:r>
    </w:p>
    <w:p w14:paraId="55BED3D1" w14:textId="17C5353A"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141664">
        <w:t>6.3.2, 6.6.3.2, 6.6.3.9 (new), and 6.6.10</w:t>
      </w:r>
      <w:r>
        <w:rPr>
          <w:lang w:val="en-US"/>
        </w:rPr>
        <w:t xml:space="preserve"> [unboxed due to system implementation]</w:t>
      </w:r>
    </w:p>
    <w:p w14:paraId="6D6E89BE" w14:textId="77777777" w:rsidR="00EC2299" w:rsidRPr="006B142C" w:rsidRDefault="00EC2299" w:rsidP="00EC229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44A72D11" w14:textId="77777777" w:rsidR="00EC2299" w:rsidRPr="006B142C" w:rsidRDefault="00EC2299" w:rsidP="00EC2299">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ensures that Energy Storage Systems (ESSs) that are registered with ERCOT as Settlement Only Generators (SOGs) will continue to have their injections and withdrawals settled at Load Zone pricing until nodal pricing for injections and withdrawals is approved and implemented.</w:t>
      </w:r>
    </w:p>
    <w:p w14:paraId="5C78C682" w14:textId="38E4ED4E" w:rsidR="00EC2299" w:rsidRDefault="00EC2299" w:rsidP="00EC2299">
      <w:pPr>
        <w:pStyle w:val="PRRHeader"/>
        <w:widowControl w:val="0"/>
        <w:spacing w:after="100" w:afterAutospacing="1"/>
        <w:ind w:left="720" w:firstLine="0"/>
        <w:rPr>
          <w:lang w:val="en-US"/>
        </w:rPr>
      </w:pPr>
      <w:r w:rsidRPr="006B142C">
        <w:rPr>
          <w:lang w:val="en-US"/>
        </w:rPr>
        <w:t>Revised</w:t>
      </w:r>
      <w:r w:rsidRPr="006B142C">
        <w:t xml:space="preserve"> Subsection</w:t>
      </w:r>
      <w:r>
        <w:rPr>
          <w:lang w:val="en-US"/>
        </w:rPr>
        <w:t>s</w:t>
      </w:r>
      <w:r w:rsidRPr="006B142C">
        <w:t xml:space="preserve">:  </w:t>
      </w:r>
      <w:r>
        <w:t>6.6.3.2 and 6.6.3.9</w:t>
      </w:r>
      <w:r>
        <w:rPr>
          <w:lang w:val="en-US"/>
        </w:rPr>
        <w:t xml:space="preserve"> </w:t>
      </w:r>
      <w:r w:rsidRPr="006B142C">
        <w:rPr>
          <w:lang w:val="en-US"/>
        </w:rPr>
        <w:t>[</w:t>
      </w:r>
      <w:r>
        <w:rPr>
          <w:lang w:val="en-US"/>
        </w:rPr>
        <w:t>unboxed due to</w:t>
      </w:r>
      <w:r w:rsidRPr="006B142C">
        <w:rPr>
          <w:lang w:val="en-US"/>
        </w:rPr>
        <w:t xml:space="preserve"> system implementation</w:t>
      </w:r>
      <w:r>
        <w:rPr>
          <w:lang w:val="en-US"/>
        </w:rPr>
        <w:t xml:space="preserve"> of NPRR917</w:t>
      </w:r>
      <w:r w:rsidRPr="006B142C">
        <w:rPr>
          <w:lang w:val="en-US"/>
        </w:rPr>
        <w:t>]</w:t>
      </w:r>
    </w:p>
    <w:p w14:paraId="16090B5D" w14:textId="77777777" w:rsidR="009F67DC" w:rsidRPr="006B142C" w:rsidRDefault="009F67DC" w:rsidP="009F67DC">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7405A8ED" w14:textId="77777777" w:rsidR="009F67DC" w:rsidRPr="006B142C" w:rsidRDefault="009F67DC" w:rsidP="009F67DC">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 xml:space="preserve">removes all references to </w:t>
      </w:r>
      <w:proofErr w:type="spellStart"/>
      <w:r w:rsidRPr="007F2F69">
        <w:rPr>
          <w:b w:val="0"/>
          <w:lang w:val="en-US"/>
        </w:rPr>
        <w:t>Oklaunion</w:t>
      </w:r>
      <w:proofErr w:type="spellEnd"/>
      <w:r w:rsidRPr="007F2F69">
        <w:rPr>
          <w:b w:val="0"/>
          <w:lang w:val="en-US"/>
        </w:rPr>
        <w:t xml:space="preserve"> Exemption from the ERCOT Protocols and adjusts the affected sections’ remaining language accordingly.</w:t>
      </w:r>
    </w:p>
    <w:p w14:paraId="0397B104" w14:textId="088DCF04" w:rsidR="00EC2299" w:rsidRDefault="009F67DC" w:rsidP="009F67DC">
      <w:pPr>
        <w:pStyle w:val="PRRHeader"/>
        <w:widowControl w:val="0"/>
        <w:spacing w:after="100" w:afterAutospacing="1"/>
        <w:ind w:left="720" w:firstLine="0"/>
        <w:rPr>
          <w:lang w:val="en-US"/>
        </w:rPr>
      </w:pPr>
      <w:r w:rsidRPr="006B142C">
        <w:rPr>
          <w:lang w:val="en-US"/>
        </w:rPr>
        <w:t>Revised</w:t>
      </w:r>
      <w:r w:rsidRPr="006B142C">
        <w:t xml:space="preserve"> Subsection:  </w:t>
      </w:r>
      <w:r>
        <w:rPr>
          <w:lang w:val="en-US"/>
        </w:rPr>
        <w:t xml:space="preserve">6.6.10 </w:t>
      </w:r>
      <w:r w:rsidRPr="006B142C">
        <w:rPr>
          <w:lang w:val="en-US"/>
        </w:rPr>
        <w:t>[</w:t>
      </w:r>
      <w:r w:rsidR="004B45CE">
        <w:rPr>
          <w:lang w:val="en-US"/>
        </w:rPr>
        <w:t xml:space="preserve">partially </w:t>
      </w:r>
      <w:r>
        <w:rPr>
          <w:lang w:val="en-US"/>
        </w:rPr>
        <w:t>unboxed due to</w:t>
      </w:r>
      <w:r w:rsidRPr="006B142C">
        <w:rPr>
          <w:lang w:val="en-US"/>
        </w:rPr>
        <w:t xml:space="preserve"> system implementation]</w:t>
      </w:r>
    </w:p>
    <w:p w14:paraId="41A008D5" w14:textId="77777777" w:rsidR="004B45CE" w:rsidRPr="00B75902" w:rsidRDefault="004B45CE" w:rsidP="004B45CE">
      <w:pPr>
        <w:pStyle w:val="PRRHeader"/>
        <w:widowControl w:val="0"/>
        <w:spacing w:after="100" w:afterAutospacing="1"/>
        <w:ind w:left="720" w:firstLine="0"/>
        <w:rPr>
          <w:lang w:val="en-US"/>
        </w:rPr>
      </w:pPr>
      <w:r w:rsidRPr="00B75902">
        <w:rPr>
          <w:lang w:val="en-US"/>
        </w:rPr>
        <w:t xml:space="preserve">NPRR1065 – </w:t>
      </w:r>
      <w:r w:rsidRPr="00B75902">
        <w:t>Implementation Adjustment for NPRR917</w:t>
      </w:r>
    </w:p>
    <w:p w14:paraId="337FAEF1" w14:textId="77777777" w:rsidR="004B45CE" w:rsidRPr="00B75902" w:rsidRDefault="004B45CE" w:rsidP="004B45CE">
      <w:pPr>
        <w:pStyle w:val="PRRHeader"/>
        <w:widowControl w:val="0"/>
        <w:spacing w:after="100" w:afterAutospacing="1"/>
        <w:ind w:left="1152" w:firstLine="0"/>
        <w:rPr>
          <w:b w:val="0"/>
        </w:rPr>
      </w:pPr>
      <w:r w:rsidRPr="00B75902">
        <w:rPr>
          <w:b w:val="0"/>
        </w:rPr>
        <w:t>This Nodal Protocol Revision Request (NPRR) strikes a sentence from Section 6.6.3.9</w:t>
      </w:r>
      <w:r w:rsidRPr="00B75902">
        <w:rPr>
          <w:b w:val="0"/>
          <w:lang w:val="en-US"/>
        </w:rPr>
        <w:t>, Real-Time Payment or Charge for Energy from a Settlement Only Distribution Generator (SODG) or a Settlement Only Transmission Generator (SOTG),</w:t>
      </w:r>
      <w:r w:rsidRPr="00B75902">
        <w:rPr>
          <w:b w:val="0"/>
        </w:rPr>
        <w:t xml:space="preserve"> that describes the energy volumes for a Settlement Only Generator (SOG) subject to nodal vs. zonal pricing and replaces that sentence with a formula; revises </w:t>
      </w:r>
      <w:r w:rsidRPr="00B75902">
        <w:rPr>
          <w:b w:val="0"/>
        </w:rPr>
        <w:lastRenderedPageBreak/>
        <w:t>the name and definition of a related billing determinant, from “OFSOG” to “MEBSOG”, to more accurately describe the data it represents; and</w:t>
      </w:r>
      <w:r w:rsidRPr="00B75902">
        <w:rPr>
          <w:b w:val="0"/>
          <w:lang w:val="en-US"/>
        </w:rPr>
        <w:t xml:space="preserve"> </w:t>
      </w:r>
      <w:r w:rsidRPr="00B75902">
        <w:rPr>
          <w:b w:val="0"/>
        </w:rPr>
        <w:t>adjusts the Default Uplift Settlement described in paragraph (2) of Section 9.19.1</w:t>
      </w:r>
      <w:r w:rsidRPr="00B75902">
        <w:rPr>
          <w:b w:val="0"/>
          <w:lang w:val="en-US"/>
        </w:rPr>
        <w:t>, Default Uplift Invoices,</w:t>
      </w:r>
      <w:r w:rsidRPr="00B75902">
        <w:rPr>
          <w:b w:val="0"/>
        </w:rPr>
        <w:t xml:space="preserve"> to combine SOG generation with other generation for the Counter-Party.</w:t>
      </w:r>
    </w:p>
    <w:p w14:paraId="434B7A4F" w14:textId="6F1666A0" w:rsidR="004B45CE" w:rsidRPr="004B45CE" w:rsidRDefault="004B45CE" w:rsidP="004B45CE">
      <w:pPr>
        <w:pStyle w:val="PRRHeader"/>
        <w:widowControl w:val="0"/>
        <w:spacing w:after="100" w:afterAutospacing="1"/>
        <w:ind w:left="720" w:firstLine="0"/>
        <w:rPr>
          <w:lang w:val="en-US"/>
        </w:rPr>
      </w:pPr>
      <w:r w:rsidRPr="00B75902">
        <w:rPr>
          <w:lang w:val="en-US"/>
        </w:rPr>
        <w:t>Revised</w:t>
      </w:r>
      <w:r w:rsidRPr="00B75902">
        <w:t xml:space="preserve"> Subsection:  </w:t>
      </w:r>
      <w:r w:rsidRPr="00B75902">
        <w:rPr>
          <w:lang w:val="en-US"/>
        </w:rPr>
        <w:t>6.6.3.9 [</w:t>
      </w:r>
      <w:r>
        <w:rPr>
          <w:lang w:val="en-US"/>
        </w:rPr>
        <w:t>unboxed due to</w:t>
      </w:r>
      <w:r w:rsidRPr="00B75902">
        <w:rPr>
          <w:lang w:val="en-US"/>
        </w:rPr>
        <w:t xml:space="preserve"> system implementation of NPRR917]</w:t>
      </w:r>
    </w:p>
    <w:p w14:paraId="6497FB2E" w14:textId="77777777"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358BFBCA" w14:textId="77777777" w:rsidR="00EC2299" w:rsidRPr="008A691B" w:rsidRDefault="00EC2299" w:rsidP="00EC2299">
      <w:pPr>
        <w:pStyle w:val="PRRHeader"/>
        <w:widowControl w:val="0"/>
        <w:spacing w:after="100" w:afterAutospacing="1"/>
        <w:ind w:left="720" w:firstLine="0"/>
      </w:pPr>
      <w:r>
        <w:rPr>
          <w:lang w:val="en-US"/>
        </w:rPr>
        <w:t>NPRR917</w:t>
      </w:r>
      <w:r w:rsidRPr="008A691B">
        <w:rPr>
          <w:lang w:val="en-US"/>
        </w:rPr>
        <w:t xml:space="preserve"> – </w:t>
      </w:r>
      <w:r w:rsidRPr="009C633B">
        <w:rPr>
          <w:lang w:val="en-US"/>
        </w:rPr>
        <w:t>Nodal Pricing for Settlement Only Distribution Generators (SODGs) and Settlement Only Transmission Generators (SOTGs)</w:t>
      </w:r>
    </w:p>
    <w:p w14:paraId="56473352" w14:textId="77777777" w:rsidR="00EC2299" w:rsidRPr="008A691B" w:rsidRDefault="00EC2299" w:rsidP="00EC229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6</w:t>
      </w:r>
      <w:r w:rsidRPr="008A691B">
        <w:rPr>
          <w:b w:val="0"/>
          <w:i/>
          <w:lang w:val="en-US"/>
        </w:rPr>
        <w:t xml:space="preserve"> above.</w:t>
      </w:r>
    </w:p>
    <w:p w14:paraId="0488C0D0" w14:textId="501B7EC6"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 xml:space="preserve">9.5.3 and 9.19.1 </w:t>
      </w:r>
      <w:r>
        <w:rPr>
          <w:lang w:val="en-US"/>
        </w:rPr>
        <w:t xml:space="preserve"> [unboxed due to system implementation]</w:t>
      </w:r>
    </w:p>
    <w:p w14:paraId="7EB42230" w14:textId="77777777" w:rsidR="00EC2299" w:rsidRPr="006B142C" w:rsidRDefault="00EC2299" w:rsidP="00EC229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5F90989A" w14:textId="77777777" w:rsidR="00EC2299" w:rsidRPr="006B142C" w:rsidRDefault="00EC2299" w:rsidP="00EC229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6</w:t>
      </w:r>
      <w:r w:rsidRPr="006B142C">
        <w:rPr>
          <w:b w:val="0"/>
          <w:i/>
          <w:lang w:val="en-US"/>
        </w:rPr>
        <w:t xml:space="preserve"> above</w:t>
      </w:r>
      <w:r w:rsidRPr="006B142C">
        <w:rPr>
          <w:b w:val="0"/>
          <w:lang w:val="en-US"/>
        </w:rPr>
        <w:t>.</w:t>
      </w:r>
    </w:p>
    <w:p w14:paraId="49DB5762" w14:textId="648DA603" w:rsidR="00EC2299" w:rsidRDefault="00EC2299" w:rsidP="00EC2299">
      <w:pPr>
        <w:pStyle w:val="PRRHeader"/>
        <w:widowControl w:val="0"/>
        <w:spacing w:after="100" w:afterAutospacing="1"/>
        <w:ind w:left="720" w:firstLine="0"/>
        <w:rPr>
          <w:lang w:val="en-US"/>
        </w:rPr>
      </w:pPr>
      <w:r w:rsidRPr="006B142C">
        <w:rPr>
          <w:lang w:val="en-US"/>
        </w:rPr>
        <w:t>Revised</w:t>
      </w:r>
      <w:r w:rsidRPr="006B142C">
        <w:t xml:space="preserve"> Subsection:  </w:t>
      </w:r>
      <w:r>
        <w:t>9.19.1</w:t>
      </w:r>
      <w:r>
        <w:rPr>
          <w:lang w:val="en-US"/>
        </w:rPr>
        <w:t xml:space="preserve"> </w:t>
      </w:r>
      <w:r w:rsidRPr="006B142C">
        <w:rPr>
          <w:lang w:val="en-US"/>
        </w:rPr>
        <w:t>[</w:t>
      </w:r>
      <w:r>
        <w:rPr>
          <w:lang w:val="en-US"/>
        </w:rPr>
        <w:t>unboxed due to</w:t>
      </w:r>
      <w:r w:rsidRPr="006B142C">
        <w:rPr>
          <w:lang w:val="en-US"/>
        </w:rPr>
        <w:t xml:space="preserve"> system implementation</w:t>
      </w:r>
      <w:r>
        <w:rPr>
          <w:lang w:val="en-US"/>
        </w:rPr>
        <w:t xml:space="preserve"> of NPRR917</w:t>
      </w:r>
      <w:r w:rsidRPr="006B142C">
        <w:rPr>
          <w:lang w:val="en-US"/>
        </w:rPr>
        <w:t>]</w:t>
      </w:r>
    </w:p>
    <w:p w14:paraId="4C232AD4" w14:textId="77777777" w:rsidR="004B45CE" w:rsidRPr="00E32CD3" w:rsidRDefault="004B45CE" w:rsidP="004B45CE">
      <w:pPr>
        <w:pStyle w:val="PRRHeader"/>
        <w:widowControl w:val="0"/>
        <w:spacing w:after="100" w:afterAutospacing="1"/>
        <w:ind w:left="720" w:firstLine="0"/>
        <w:rPr>
          <w:lang w:val="en-US"/>
        </w:rPr>
      </w:pPr>
      <w:r w:rsidRPr="00E32CD3">
        <w:rPr>
          <w:lang w:val="en-US"/>
        </w:rPr>
        <w:t xml:space="preserve">NPRR1065 – </w:t>
      </w:r>
      <w:r w:rsidRPr="00E32CD3">
        <w:t>Implementation Adjustment for NPRR917</w:t>
      </w:r>
    </w:p>
    <w:p w14:paraId="7C2ED3E4" w14:textId="77777777" w:rsidR="004B45CE" w:rsidRPr="00E32CD3" w:rsidRDefault="004B45CE" w:rsidP="004B45CE">
      <w:pPr>
        <w:pStyle w:val="PRRHeader"/>
        <w:widowControl w:val="0"/>
        <w:spacing w:after="100" w:afterAutospacing="1"/>
        <w:ind w:left="1152" w:firstLine="0"/>
        <w:rPr>
          <w:b w:val="0"/>
          <w:lang w:val="en-US"/>
        </w:rPr>
      </w:pPr>
      <w:r w:rsidRPr="00E32CD3">
        <w:rPr>
          <w:b w:val="0"/>
          <w:i/>
          <w:lang w:val="en-US"/>
        </w:rPr>
        <w:t>See Section 6 above</w:t>
      </w:r>
      <w:r w:rsidRPr="00E32CD3">
        <w:rPr>
          <w:b w:val="0"/>
          <w:lang w:val="en-US"/>
        </w:rPr>
        <w:t>.</w:t>
      </w:r>
    </w:p>
    <w:p w14:paraId="2926AF63" w14:textId="1A5E535F" w:rsidR="004B45CE" w:rsidRPr="004B45CE" w:rsidRDefault="004B45CE" w:rsidP="004B45CE">
      <w:pPr>
        <w:pStyle w:val="PRRHeader"/>
        <w:widowControl w:val="0"/>
        <w:spacing w:after="100" w:afterAutospacing="1"/>
        <w:ind w:left="720" w:firstLine="0"/>
        <w:rPr>
          <w:lang w:val="en-US"/>
        </w:rPr>
      </w:pPr>
      <w:r w:rsidRPr="00E32CD3">
        <w:rPr>
          <w:lang w:val="en-US"/>
        </w:rPr>
        <w:t>Revised</w:t>
      </w:r>
      <w:r w:rsidRPr="00E32CD3">
        <w:t xml:space="preserve"> Subsection:  </w:t>
      </w:r>
      <w:r w:rsidRPr="00E32CD3">
        <w:rPr>
          <w:lang w:val="en-US"/>
        </w:rPr>
        <w:t>9.19.1 [</w:t>
      </w:r>
      <w:r>
        <w:rPr>
          <w:lang w:val="en-US"/>
        </w:rPr>
        <w:t>unboxed due to</w:t>
      </w:r>
      <w:r w:rsidRPr="00E32CD3">
        <w:rPr>
          <w:lang w:val="en-US"/>
        </w:rPr>
        <w:t xml:space="preserve"> system implementation of NPRR917]</w:t>
      </w:r>
    </w:p>
    <w:p w14:paraId="0EF61FA6" w14:textId="77777777"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1328CFAA" w14:textId="77777777" w:rsidR="00EC2299" w:rsidRPr="008A691B" w:rsidRDefault="00EC2299" w:rsidP="00EC2299">
      <w:pPr>
        <w:pStyle w:val="PRRHeader"/>
        <w:widowControl w:val="0"/>
        <w:spacing w:after="100" w:afterAutospacing="1"/>
        <w:ind w:left="720" w:firstLine="0"/>
      </w:pPr>
      <w:r>
        <w:rPr>
          <w:lang w:val="en-US"/>
        </w:rPr>
        <w:t>NPRR917</w:t>
      </w:r>
      <w:r w:rsidRPr="008A691B">
        <w:rPr>
          <w:lang w:val="en-US"/>
        </w:rPr>
        <w:t xml:space="preserve"> – </w:t>
      </w:r>
      <w:r w:rsidRPr="009C633B">
        <w:rPr>
          <w:lang w:val="en-US"/>
        </w:rPr>
        <w:t>Nodal Pricing for Settlement Only Distribution Generators (SODGs) and Settlement Only Transmission Generators (SOTGs)</w:t>
      </w:r>
    </w:p>
    <w:p w14:paraId="1FB3749E" w14:textId="77777777" w:rsidR="00EC2299" w:rsidRPr="008A691B" w:rsidRDefault="00EC2299" w:rsidP="00EC2299">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6</w:t>
      </w:r>
      <w:r w:rsidRPr="008A691B">
        <w:rPr>
          <w:b w:val="0"/>
          <w:i/>
          <w:lang w:val="en-US"/>
        </w:rPr>
        <w:t xml:space="preserve"> above.</w:t>
      </w:r>
    </w:p>
    <w:p w14:paraId="428D8C4B" w14:textId="7FE44E1A"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 xml:space="preserve">16.11.4.3.2 </w:t>
      </w:r>
      <w:r>
        <w:rPr>
          <w:lang w:val="en-US"/>
        </w:rPr>
        <w:t xml:space="preserve"> [unboxed due to system implementation]</w:t>
      </w:r>
    </w:p>
    <w:p w14:paraId="1C324039" w14:textId="77777777" w:rsidR="00EC2299" w:rsidRPr="006B142C" w:rsidRDefault="00EC2299" w:rsidP="00EC2299">
      <w:pPr>
        <w:pStyle w:val="PRRHeader"/>
        <w:widowControl w:val="0"/>
        <w:spacing w:after="100" w:afterAutospacing="1"/>
        <w:ind w:left="720" w:firstLine="0"/>
        <w:rPr>
          <w:lang w:val="en-US"/>
        </w:rPr>
      </w:pPr>
      <w:r>
        <w:rPr>
          <w:lang w:val="en-US"/>
        </w:rPr>
        <w:t>NPRR1052</w:t>
      </w:r>
      <w:r w:rsidRPr="004A3C01">
        <w:rPr>
          <w:lang w:val="en-US"/>
        </w:rPr>
        <w:t xml:space="preserve"> – </w:t>
      </w:r>
      <w:r w:rsidRPr="007F2F69">
        <w:rPr>
          <w:lang w:val="en-US"/>
        </w:rPr>
        <w:t>Load Zone Pricing for Settlement Only Storage Prior to NPRR995 Implementation</w:t>
      </w:r>
    </w:p>
    <w:p w14:paraId="4ED69543" w14:textId="77777777" w:rsidR="00EC2299" w:rsidRPr="006B142C" w:rsidRDefault="00EC2299" w:rsidP="00EC229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6</w:t>
      </w:r>
      <w:r w:rsidRPr="006B142C">
        <w:rPr>
          <w:b w:val="0"/>
          <w:i/>
          <w:lang w:val="en-US"/>
        </w:rPr>
        <w:t xml:space="preserve"> above</w:t>
      </w:r>
      <w:r w:rsidRPr="006B142C">
        <w:rPr>
          <w:b w:val="0"/>
          <w:lang w:val="en-US"/>
        </w:rPr>
        <w:t>.</w:t>
      </w:r>
    </w:p>
    <w:p w14:paraId="1928FAEB" w14:textId="654CEA02" w:rsidR="00EC2299" w:rsidRDefault="00EC2299" w:rsidP="00EC2299">
      <w:pPr>
        <w:pStyle w:val="PRRHeader"/>
        <w:widowControl w:val="0"/>
        <w:spacing w:after="100" w:afterAutospacing="1"/>
        <w:ind w:left="720" w:firstLine="0"/>
        <w:rPr>
          <w:lang w:val="en-US"/>
        </w:rPr>
      </w:pPr>
      <w:r w:rsidRPr="006B142C">
        <w:rPr>
          <w:lang w:val="en-US"/>
        </w:rPr>
        <w:t>Revised</w:t>
      </w:r>
      <w:r w:rsidRPr="006B142C">
        <w:t xml:space="preserve"> Subsection:  </w:t>
      </w:r>
      <w:r>
        <w:t>16.5</w:t>
      </w:r>
      <w:r>
        <w:rPr>
          <w:lang w:val="en-US"/>
        </w:rPr>
        <w:t xml:space="preserve"> </w:t>
      </w:r>
      <w:r w:rsidRPr="006B142C">
        <w:rPr>
          <w:lang w:val="en-US"/>
        </w:rPr>
        <w:t>[</w:t>
      </w:r>
      <w:r>
        <w:rPr>
          <w:lang w:val="en-US"/>
        </w:rPr>
        <w:t>unboxed due to</w:t>
      </w:r>
      <w:r w:rsidRPr="006B142C">
        <w:rPr>
          <w:lang w:val="en-US"/>
        </w:rPr>
        <w:t xml:space="preserve"> system implementation</w:t>
      </w:r>
      <w:r>
        <w:rPr>
          <w:lang w:val="en-US"/>
        </w:rPr>
        <w:t xml:space="preserve"> of NPRR917</w:t>
      </w:r>
      <w:r w:rsidRPr="006B142C">
        <w:rPr>
          <w:lang w:val="en-US"/>
        </w:rPr>
        <w:t>]</w:t>
      </w:r>
    </w:p>
    <w:p w14:paraId="74953C2B" w14:textId="77777777" w:rsidR="00EC2299" w:rsidRPr="00EC2299" w:rsidRDefault="00EC2299" w:rsidP="00EC2299">
      <w:pPr>
        <w:pStyle w:val="Description"/>
        <w:rPr>
          <w:lang w:eastAsia="x-none"/>
        </w:rPr>
      </w:pPr>
    </w:p>
    <w:p w14:paraId="11E4236D" w14:textId="1705A45E" w:rsidR="00564B9F" w:rsidRPr="00EC2299" w:rsidRDefault="00564B9F" w:rsidP="00EC2299"/>
    <w:sectPr w:rsidR="00564B9F" w:rsidRPr="00EC2299">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E901B1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EC2299">
      <w:rPr>
        <w:rFonts w:ascii="Times New Roman Bold" w:hAnsi="Times New Roman Bold"/>
        <w:b w:val="0"/>
      </w:rPr>
      <w:t>February 11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535</Words>
  <Characters>3252</Characters>
  <Application>Microsoft Office Word</Application>
  <DocSecurity>0</DocSecurity>
  <Lines>81</Lines>
  <Paragraphs>88</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2022-02-10T16:42:00Z</dcterms:created>
  <dcterms:modified xsi:type="dcterms:W3CDTF">2022-02-10T16:42:00Z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