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D5C93" w14:textId="77777777" w:rsidR="0078461C" w:rsidRPr="0078461C" w:rsidRDefault="0078461C">
      <w:pPr>
        <w:pStyle w:val="NormalWeb"/>
        <w:spacing w:before="0" w:beforeAutospacing="0" w:after="0" w:afterAutospacing="0"/>
        <w:rPr>
          <w:rFonts w:ascii="Calibri Light" w:hAnsi="Calibri Light" w:cs="Calibri Light"/>
          <w:b/>
          <w:bCs/>
          <w:sz w:val="32"/>
          <w:szCs w:val="32"/>
        </w:rPr>
      </w:pPr>
      <w:r w:rsidRPr="0078461C">
        <w:rPr>
          <w:rFonts w:ascii="Calibri Light" w:hAnsi="Calibri Light" w:cs="Calibri Light"/>
          <w:b/>
          <w:bCs/>
          <w:sz w:val="32"/>
          <w:szCs w:val="32"/>
        </w:rPr>
        <w:t>November Meeting</w:t>
      </w:r>
    </w:p>
    <w:p w14:paraId="37474674"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466B1EC" w14:textId="77777777"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Past presentations made to RPG are available in today's ERCOT presentation (first slide)</w:t>
      </w:r>
    </w:p>
    <w:p w14:paraId="32C48626" w14:textId="77777777"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The presentation includes</w:t>
      </w:r>
    </w:p>
    <w:p w14:paraId="385B2A5C"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Study and assumptions</w:t>
      </w:r>
    </w:p>
    <w:p w14:paraId="1C74DB00"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Updates used to develop the cases</w:t>
      </w:r>
    </w:p>
    <w:p w14:paraId="4A023EBB"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Study Criteria</w:t>
      </w:r>
    </w:p>
    <w:p w14:paraId="532D5A75"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Final Results</w:t>
      </w:r>
    </w:p>
    <w:p w14:paraId="0DF42222" w14:textId="77777777" w:rsidR="0078461C" w:rsidRDefault="0078461C" w:rsidP="0078461C">
      <w:pPr>
        <w:numPr>
          <w:ilvl w:val="2"/>
          <w:numId w:val="1"/>
        </w:numPr>
        <w:spacing w:after="0" w:line="240" w:lineRule="auto"/>
        <w:ind w:left="1980"/>
        <w:textAlignment w:val="center"/>
        <w:rPr>
          <w:rFonts w:ascii="Calibri" w:eastAsia="Times New Roman" w:hAnsi="Calibri" w:cs="Calibri"/>
        </w:rPr>
      </w:pPr>
      <w:r>
        <w:rPr>
          <w:rFonts w:ascii="Calibri" w:eastAsia="Times New Roman" w:hAnsi="Calibri" w:cs="Calibri"/>
        </w:rPr>
        <w:t>No steady state voltage criteria voltage violations</w:t>
      </w:r>
    </w:p>
    <w:p w14:paraId="69CE2DD8" w14:textId="77777777" w:rsidR="0078461C" w:rsidRDefault="0078461C" w:rsidP="0078461C">
      <w:pPr>
        <w:numPr>
          <w:ilvl w:val="2"/>
          <w:numId w:val="1"/>
        </w:numPr>
        <w:spacing w:after="0" w:line="240" w:lineRule="auto"/>
        <w:ind w:left="1980"/>
        <w:textAlignment w:val="center"/>
        <w:rPr>
          <w:rFonts w:ascii="Calibri" w:eastAsia="Times New Roman" w:hAnsi="Calibri" w:cs="Calibri"/>
        </w:rPr>
      </w:pPr>
      <w:r>
        <w:rPr>
          <w:rFonts w:ascii="Calibri" w:eastAsia="Times New Roman" w:hAnsi="Calibri" w:cs="Calibri"/>
        </w:rPr>
        <w:t>No cascading events were identified</w:t>
      </w:r>
    </w:p>
    <w:p w14:paraId="25C199DA"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Next steps</w:t>
      </w:r>
    </w:p>
    <w:p w14:paraId="0F3806A2" w14:textId="77777777" w:rsidR="0078461C" w:rsidRDefault="0078461C" w:rsidP="0078461C">
      <w:pPr>
        <w:numPr>
          <w:ilvl w:val="2"/>
          <w:numId w:val="1"/>
        </w:numPr>
        <w:spacing w:after="0" w:line="240" w:lineRule="auto"/>
        <w:ind w:left="1980"/>
        <w:textAlignment w:val="center"/>
        <w:rPr>
          <w:rFonts w:ascii="Calibri" w:eastAsia="Times New Roman" w:hAnsi="Calibri" w:cs="Calibri"/>
        </w:rPr>
      </w:pPr>
      <w:r>
        <w:rPr>
          <w:rFonts w:ascii="Calibri" w:eastAsia="Times New Roman" w:hAnsi="Calibri" w:cs="Calibri"/>
        </w:rPr>
        <w:t>ERCOT will draft and post the GMDVA report as well as the study cases by 12/31/2021</w:t>
      </w:r>
    </w:p>
    <w:p w14:paraId="73631E6F" w14:textId="77777777"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Slide 6 applicable stability limits - can you elaborate more on this?</w:t>
      </w:r>
    </w:p>
    <w:p w14:paraId="3C938142"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ERCOT - It is referring to GTCs</w:t>
      </w:r>
    </w:p>
    <w:p w14:paraId="01D2A16A" w14:textId="77777777"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Schedule and leadership</w:t>
      </w:r>
    </w:p>
    <w:p w14:paraId="08870A38"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Meetings will be every 2 months and fall on either Tuesday or Wednesday</w:t>
      </w:r>
    </w:p>
    <w:p w14:paraId="3F9FCE5A"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Chair for 2022 - Jorge Canamar Sharyland Utilities</w:t>
      </w:r>
    </w:p>
    <w:p w14:paraId="70BC3284"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Vice Chair for 2022 - pending a volunteer</w:t>
      </w:r>
    </w:p>
    <w:p w14:paraId="7EEAEF14" w14:textId="77777777"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How often to update the GIC model</w:t>
      </w:r>
    </w:p>
    <w:p w14:paraId="15E2DFA9" w14:textId="77777777"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Took us 4 months to finish the last case build, however, the first case build took around 1 year</w:t>
      </w:r>
    </w:p>
    <w:p w14:paraId="4613304A" w14:textId="3E928F3E" w:rsidR="00F723C6" w:rsidRPr="00F723C6" w:rsidRDefault="0078461C" w:rsidP="00F723C6">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 xml:space="preserve">Siemens is developing MOD capability to include GIC modeling </w:t>
      </w:r>
    </w:p>
    <w:p w14:paraId="2A4211B9" w14:textId="77777777" w:rsidR="0078461C" w:rsidRDefault="0078461C" w:rsidP="00F723C6">
      <w:pPr>
        <w:numPr>
          <w:ilvl w:val="4"/>
          <w:numId w:val="1"/>
        </w:numPr>
        <w:spacing w:after="0" w:line="240" w:lineRule="auto"/>
        <w:textAlignment w:val="center"/>
        <w:rPr>
          <w:rFonts w:ascii="Calibri" w:eastAsia="Times New Roman" w:hAnsi="Calibri" w:cs="Calibri"/>
        </w:rPr>
      </w:pPr>
      <w:r>
        <w:rPr>
          <w:rFonts w:ascii="Calibri" w:eastAsia="Times New Roman" w:hAnsi="Calibri" w:cs="Calibri"/>
        </w:rPr>
        <w:t>Incorporating the information in the current MOD system</w:t>
      </w:r>
    </w:p>
    <w:p w14:paraId="43AEA586" w14:textId="77777777" w:rsidR="0078461C" w:rsidRDefault="0078461C" w:rsidP="00F723C6">
      <w:pPr>
        <w:numPr>
          <w:ilvl w:val="4"/>
          <w:numId w:val="1"/>
        </w:numPr>
        <w:spacing w:after="0" w:line="240" w:lineRule="auto"/>
        <w:textAlignment w:val="center"/>
        <w:rPr>
          <w:rFonts w:ascii="Calibri" w:eastAsia="Times New Roman" w:hAnsi="Calibri" w:cs="Calibri"/>
        </w:rPr>
      </w:pPr>
      <w:r>
        <w:rPr>
          <w:rFonts w:ascii="Calibri" w:eastAsia="Times New Roman" w:hAnsi="Calibri" w:cs="Calibri"/>
        </w:rPr>
        <w:t>Creating a PGDTF MOD system solely for GIC modeling and using SSWG cases as base</w:t>
      </w:r>
    </w:p>
    <w:p w14:paraId="1E10CBD1" w14:textId="57EB571D"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 xml:space="preserve">Once the </w:t>
      </w:r>
      <w:r w:rsidR="00794A67">
        <w:rPr>
          <w:rFonts w:ascii="Calibri" w:eastAsia="Times New Roman" w:hAnsi="Calibri" w:cs="Calibri"/>
        </w:rPr>
        <w:t>timeline is determined,</w:t>
      </w:r>
      <w:r>
        <w:rPr>
          <w:rFonts w:ascii="Calibri" w:eastAsia="Times New Roman" w:hAnsi="Calibri" w:cs="Calibri"/>
        </w:rPr>
        <w:t xml:space="preserve"> we can decide which working group should get responsibility for the model build</w:t>
      </w:r>
    </w:p>
    <w:p w14:paraId="0567C501" w14:textId="232BBA5E" w:rsidR="0078461C" w:rsidRDefault="0078461C" w:rsidP="0078461C">
      <w:pPr>
        <w:numPr>
          <w:ilvl w:val="1"/>
          <w:numId w:val="1"/>
        </w:numPr>
        <w:spacing w:after="0" w:line="240" w:lineRule="auto"/>
        <w:ind w:left="1620"/>
        <w:textAlignment w:val="center"/>
        <w:rPr>
          <w:rFonts w:ascii="Calibri" w:eastAsia="Times New Roman" w:hAnsi="Calibri" w:cs="Calibri"/>
        </w:rPr>
      </w:pPr>
      <w:r>
        <w:rPr>
          <w:rFonts w:ascii="Calibri" w:eastAsia="Times New Roman" w:hAnsi="Calibri" w:cs="Calibri"/>
        </w:rPr>
        <w:t>When will the GIC model build take place should be considered,</w:t>
      </w:r>
      <w:r w:rsidR="00794A67">
        <w:rPr>
          <w:rFonts w:ascii="Calibri" w:eastAsia="Times New Roman" w:hAnsi="Calibri" w:cs="Calibri"/>
        </w:rPr>
        <w:t xml:space="preserve"> as</w:t>
      </w:r>
      <w:r>
        <w:rPr>
          <w:rFonts w:ascii="Calibri" w:eastAsia="Times New Roman" w:hAnsi="Calibri" w:cs="Calibri"/>
        </w:rPr>
        <w:t xml:space="preserve"> this will determine what SSWG cases </w:t>
      </w:r>
      <w:r w:rsidR="00794A67">
        <w:rPr>
          <w:rFonts w:ascii="Calibri" w:eastAsia="Times New Roman" w:hAnsi="Calibri" w:cs="Calibri"/>
        </w:rPr>
        <w:t>should</w:t>
      </w:r>
      <w:r>
        <w:rPr>
          <w:rFonts w:ascii="Calibri" w:eastAsia="Times New Roman" w:hAnsi="Calibri" w:cs="Calibri"/>
        </w:rPr>
        <w:t xml:space="preserve"> be used for the build</w:t>
      </w:r>
      <w:r w:rsidR="00794A67">
        <w:rPr>
          <w:rFonts w:ascii="Calibri" w:eastAsia="Times New Roman" w:hAnsi="Calibri" w:cs="Calibri"/>
        </w:rPr>
        <w:t>.</w:t>
      </w:r>
    </w:p>
    <w:p w14:paraId="78FD740D" w14:textId="4AEF9966"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 xml:space="preserve">Larisa Loyferman - There is no timeline for the model update or maintaining, only for the case build. SCR 818 will be discussed next month. </w:t>
      </w:r>
    </w:p>
    <w:p w14:paraId="64DCA8AE" w14:textId="504C38CE" w:rsidR="00F723C6" w:rsidRPr="00F723C6" w:rsidRDefault="00F723C6" w:rsidP="00F723C6">
      <w:pPr>
        <w:numPr>
          <w:ilvl w:val="0"/>
          <w:numId w:val="1"/>
        </w:numPr>
        <w:spacing w:after="0" w:line="240" w:lineRule="auto"/>
        <w:ind w:left="1260"/>
        <w:textAlignment w:val="center"/>
        <w:rPr>
          <w:rFonts w:ascii="Calibri" w:eastAsia="Times New Roman" w:hAnsi="Calibri" w:cs="Calibri"/>
        </w:rPr>
      </w:pPr>
      <w:r w:rsidRPr="00F723C6">
        <w:rPr>
          <w:rFonts w:ascii="Calibri" w:eastAsia="Times New Roman" w:hAnsi="Calibri" w:cs="Calibri"/>
        </w:rPr>
        <w:t>Eric Meier – The next model build will be in 2024 as ERCOT Planning indicated that is when they would need the next model. Entities can keep their model data up to date internally as well. The case build provides model update and maintenance.</w:t>
      </w:r>
    </w:p>
    <w:p w14:paraId="2E5A1BDF" w14:textId="77777777"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Dylan LCRA - TPL-007-4 what do other TSPs use to stay in compliance with it?</w:t>
      </w:r>
    </w:p>
    <w:p w14:paraId="51EC0B4F" w14:textId="77777777"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Larisa and ERCOT referred to the planning guide which states what each entity is responsible for.</w:t>
      </w:r>
    </w:p>
    <w:p w14:paraId="677AB29C" w14:textId="77777777" w:rsidR="0078461C" w:rsidRDefault="0078461C" w:rsidP="0078461C">
      <w:pPr>
        <w:numPr>
          <w:ilvl w:val="0"/>
          <w:numId w:val="1"/>
        </w:numPr>
        <w:spacing w:after="0" w:line="240" w:lineRule="auto"/>
        <w:ind w:left="1260"/>
        <w:textAlignment w:val="center"/>
        <w:rPr>
          <w:rFonts w:ascii="Calibri" w:eastAsia="Times New Roman" w:hAnsi="Calibri" w:cs="Calibri"/>
        </w:rPr>
      </w:pPr>
      <w:r>
        <w:rPr>
          <w:rFonts w:ascii="Calibri" w:eastAsia="Times New Roman" w:hAnsi="Calibri" w:cs="Calibri"/>
        </w:rPr>
        <w:t>Also, the PGDTF website has all the documents necessary for this information.</w:t>
      </w:r>
    </w:p>
    <w:p w14:paraId="6922ED80"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BFE37BD" w14:textId="77777777" w:rsidR="0078461C" w:rsidRPr="0078461C" w:rsidRDefault="0078461C">
      <w:pPr>
        <w:pStyle w:val="NormalWeb"/>
        <w:spacing w:before="0" w:beforeAutospacing="0" w:after="0" w:afterAutospacing="0"/>
        <w:rPr>
          <w:rFonts w:ascii="Calibri" w:hAnsi="Calibri" w:cs="Calibri"/>
          <w:b/>
          <w:bCs/>
          <w:sz w:val="22"/>
          <w:szCs w:val="22"/>
        </w:rPr>
      </w:pPr>
      <w:r w:rsidRPr="0078461C">
        <w:rPr>
          <w:rFonts w:ascii="Calibri" w:hAnsi="Calibri" w:cs="Calibri"/>
          <w:b/>
          <w:bCs/>
          <w:sz w:val="22"/>
          <w:szCs w:val="22"/>
        </w:rPr>
        <w:t>Attendees:</w:t>
      </w:r>
    </w:p>
    <w:p w14:paraId="6952FCA3" w14:textId="77777777" w:rsidR="0078461C" w:rsidRDefault="0078461C">
      <w:pPr>
        <w:pStyle w:val="NormalWeb"/>
        <w:spacing w:before="0" w:beforeAutospacing="0" w:after="0" w:afterAutospacing="0"/>
        <w:rPr>
          <w:rFonts w:ascii="Calibri" w:hAnsi="Calibri" w:cs="Calibri"/>
          <w:sz w:val="22"/>
          <w:szCs w:val="22"/>
        </w:rPr>
        <w:sectPr w:rsidR="0078461C" w:rsidSect="004A5D8E">
          <w:pgSz w:w="12240" w:h="15840"/>
          <w:pgMar w:top="1440" w:right="1440" w:bottom="1440" w:left="1440" w:header="720" w:footer="720" w:gutter="0"/>
          <w:cols w:space="720"/>
          <w:docGrid w:linePitch="360"/>
        </w:sectPr>
      </w:pPr>
    </w:p>
    <w:p w14:paraId="62AD519B" w14:textId="4CD382F0"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Jorge Canamar - Sharyland</w:t>
      </w:r>
    </w:p>
    <w:p w14:paraId="2E20A291"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Phil Bracy - ERCOT</w:t>
      </w:r>
    </w:p>
    <w:p w14:paraId="350966CC"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Chu Liang - WETT</w:t>
      </w:r>
    </w:p>
    <w:p w14:paraId="44B97CF2"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Alfonso Galindo - LPL REC</w:t>
      </w:r>
    </w:p>
    <w:p w14:paraId="1AFB2BC7" w14:textId="043175DF"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Aster Amahatsion</w:t>
      </w:r>
      <w:r w:rsidR="00794A67">
        <w:rPr>
          <w:rFonts w:ascii="Calibri" w:hAnsi="Calibri" w:cs="Calibri"/>
          <w:sz w:val="22"/>
          <w:szCs w:val="22"/>
        </w:rPr>
        <w:t xml:space="preserve"> - AEP</w:t>
      </w:r>
    </w:p>
    <w:p w14:paraId="30CB3F4B"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Chenyan Guo LST</w:t>
      </w:r>
    </w:p>
    <w:p w14:paraId="0047FD76" w14:textId="48030C3D"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Chris Ngai</w:t>
      </w:r>
      <w:r w:rsidR="00794A67">
        <w:rPr>
          <w:rFonts w:ascii="Calibri" w:hAnsi="Calibri" w:cs="Calibri"/>
          <w:sz w:val="22"/>
          <w:szCs w:val="22"/>
        </w:rPr>
        <w:t xml:space="preserve"> - ERCOT</w:t>
      </w:r>
    </w:p>
    <w:p w14:paraId="64D349D8"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Christina Minchew - CTT</w:t>
      </w:r>
    </w:p>
    <w:p w14:paraId="18C4C33B"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Cole Dietert - LPL EPE</w:t>
      </w:r>
    </w:p>
    <w:p w14:paraId="4F82758A"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Dylan StJohn - BTU</w:t>
      </w:r>
    </w:p>
    <w:p w14:paraId="5AE4176F"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Craig Wolf - ERCOT</w:t>
      </w:r>
    </w:p>
    <w:p w14:paraId="7B63D12A"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Edward Lopez - BTU</w:t>
      </w:r>
    </w:p>
    <w:p w14:paraId="3F5C4247"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Eric Meier - ERCOT</w:t>
      </w:r>
    </w:p>
    <w:p w14:paraId="516767BF" w14:textId="77777777" w:rsidR="0078461C" w:rsidRPr="0078461C" w:rsidRDefault="0078461C">
      <w:pPr>
        <w:pStyle w:val="NormalWeb"/>
        <w:spacing w:before="0" w:beforeAutospacing="0" w:after="0" w:afterAutospacing="0"/>
        <w:rPr>
          <w:rFonts w:ascii="Calibri" w:hAnsi="Calibri" w:cs="Calibri"/>
          <w:sz w:val="22"/>
          <w:szCs w:val="22"/>
          <w:lang w:val="es-MX"/>
        </w:rPr>
      </w:pPr>
      <w:r w:rsidRPr="0078461C">
        <w:rPr>
          <w:rFonts w:ascii="Calibri" w:hAnsi="Calibri" w:cs="Calibri"/>
          <w:sz w:val="22"/>
          <w:szCs w:val="22"/>
          <w:lang w:val="es-MX"/>
        </w:rPr>
        <w:t>Ping Yan - ERCOT</w:t>
      </w:r>
    </w:p>
    <w:p w14:paraId="0703EEF2" w14:textId="77777777" w:rsidR="0078461C" w:rsidRPr="0078461C" w:rsidRDefault="0078461C">
      <w:pPr>
        <w:pStyle w:val="NormalWeb"/>
        <w:spacing w:before="0" w:beforeAutospacing="0" w:after="0" w:afterAutospacing="0"/>
        <w:rPr>
          <w:rFonts w:ascii="Calibri" w:hAnsi="Calibri" w:cs="Calibri"/>
          <w:sz w:val="22"/>
          <w:szCs w:val="22"/>
          <w:lang w:val="es-MX"/>
        </w:rPr>
      </w:pPr>
      <w:r w:rsidRPr="0078461C">
        <w:rPr>
          <w:rFonts w:ascii="Calibri" w:hAnsi="Calibri" w:cs="Calibri"/>
          <w:sz w:val="22"/>
          <w:szCs w:val="22"/>
          <w:lang w:val="es-MX"/>
        </w:rPr>
        <w:t>Raul Balderas - ERCOT</w:t>
      </w:r>
    </w:p>
    <w:p w14:paraId="3CF26440"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Phung Nguyen - ERCOT</w:t>
      </w:r>
    </w:p>
    <w:p w14:paraId="39FCB6C7"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Eric Lotter </w:t>
      </w:r>
    </w:p>
    <w:p w14:paraId="2EFCCDBB"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Jahnavi Lakkireddy</w:t>
      </w:r>
    </w:p>
    <w:p w14:paraId="336D45D1" w14:textId="7BAB0B11"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Jianhui Zhang</w:t>
      </w:r>
      <w:r w:rsidR="00794A67">
        <w:rPr>
          <w:rFonts w:ascii="Calibri" w:hAnsi="Calibri" w:cs="Calibri"/>
          <w:sz w:val="22"/>
          <w:szCs w:val="22"/>
        </w:rPr>
        <w:t xml:space="preserve"> - AEN</w:t>
      </w:r>
    </w:p>
    <w:p w14:paraId="021C3653"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Ken Stell</w:t>
      </w:r>
    </w:p>
    <w:p w14:paraId="0F5CC800"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Larisa Loyferman - Centerpoint</w:t>
      </w:r>
    </w:p>
    <w:p w14:paraId="7571642B"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Omer Siddiqui Mohammaed</w:t>
      </w:r>
    </w:p>
    <w:p w14:paraId="1A1CB0FF"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Sirius Ahn - ONCOR</w:t>
      </w:r>
    </w:p>
    <w:p w14:paraId="59BEE55A" w14:textId="77777777" w:rsidR="0078461C" w:rsidRDefault="0078461C">
      <w:pPr>
        <w:pStyle w:val="NormalWeb"/>
        <w:spacing w:before="0" w:beforeAutospacing="0" w:after="0" w:afterAutospacing="0"/>
        <w:rPr>
          <w:rFonts w:ascii="Calibri" w:hAnsi="Calibri" w:cs="Calibri"/>
          <w:sz w:val="22"/>
          <w:szCs w:val="22"/>
        </w:rPr>
      </w:pPr>
      <w:r>
        <w:rPr>
          <w:rFonts w:ascii="Calibri" w:hAnsi="Calibri" w:cs="Calibri"/>
          <w:sz w:val="22"/>
          <w:szCs w:val="22"/>
        </w:rPr>
        <w:t>Takayuki Ito - AEP</w:t>
      </w:r>
    </w:p>
    <w:p w14:paraId="7F95F55C" w14:textId="77777777" w:rsidR="0078461C" w:rsidRDefault="0078461C">
      <w:pPr>
        <w:sectPr w:rsidR="0078461C" w:rsidSect="0078461C">
          <w:type w:val="continuous"/>
          <w:pgSz w:w="12240" w:h="15840"/>
          <w:pgMar w:top="1440" w:right="1440" w:bottom="1440" w:left="1440" w:header="720" w:footer="720" w:gutter="0"/>
          <w:cols w:num="3" w:space="720"/>
          <w:docGrid w:linePitch="360"/>
        </w:sectPr>
      </w:pPr>
    </w:p>
    <w:p w14:paraId="0B7188D0" w14:textId="2FB2F60C" w:rsidR="009C176A" w:rsidRDefault="00F723C6"/>
    <w:sectPr w:rsidR="009C176A" w:rsidSect="0078461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424EB"/>
    <w:multiLevelType w:val="multilevel"/>
    <w:tmpl w:val="EB20D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start w:val="1"/>
      <w:numFmt w:val="bullet"/>
      <w:lvlText w:val=""/>
      <w:lvlJc w:val="left"/>
      <w:pPr>
        <w:tabs>
          <w:tab w:val="num" w:pos="720"/>
        </w:tabs>
        <w:ind w:left="720" w:hanging="360"/>
      </w:pPr>
      <w:rPr>
        <w:rFonts w:ascii="Symbol" w:hAnsi="Symbo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880"/>
        </w:tabs>
        <w:ind w:left="2880" w:hanging="360"/>
      </w:pPr>
      <w:rPr>
        <w:rFonts w:ascii="Symbol" w:hAnsi="Symbol" w:hint="default"/>
        <w:sz w:val="20"/>
      </w:rPr>
    </w:lvl>
    <w:lvl w:ilvl="6">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1C"/>
    <w:rsid w:val="004F7BAA"/>
    <w:rsid w:val="006C6139"/>
    <w:rsid w:val="0078461C"/>
    <w:rsid w:val="00794A67"/>
    <w:rsid w:val="007B01A4"/>
    <w:rsid w:val="00E01D23"/>
    <w:rsid w:val="00F7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7C40"/>
  <w15:chartTrackingRefBased/>
  <w15:docId w15:val="{032D9529-3827-426B-B8ED-196AF243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61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72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2047</Characters>
  <Application>Microsoft Office Word</Application>
  <DocSecurity>4</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Canamar</dc:creator>
  <cp:keywords/>
  <dc:description/>
  <cp:lastModifiedBy>Meier, Eric</cp:lastModifiedBy>
  <cp:revision>2</cp:revision>
  <dcterms:created xsi:type="dcterms:W3CDTF">2021-12-08T19:50:00Z</dcterms:created>
  <dcterms:modified xsi:type="dcterms:W3CDTF">2021-12-08T19:50:00Z</dcterms:modified>
</cp:coreProperties>
</file>