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350"/>
        <w:gridCol w:w="6210"/>
      </w:tblGrid>
      <w:tr w:rsidR="00C800C9" w14:paraId="62FAD103" w14:textId="77777777" w:rsidTr="00A85E00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62FC4A" w14:textId="77777777" w:rsidR="00C800C9" w:rsidRDefault="00C800C9" w:rsidP="00C800C9">
            <w:pPr>
              <w:pStyle w:val="Header"/>
              <w:rPr>
                <w:rFonts w:ascii="Verdana" w:hAnsi="Verdana"/>
                <w:sz w:val="22"/>
              </w:rPr>
            </w:pPr>
            <w:r>
              <w:t>OBDRR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758FE8" w14:textId="64A7C48D" w:rsidR="00C800C9" w:rsidRDefault="00F64052" w:rsidP="00C800C9">
            <w:pPr>
              <w:pStyle w:val="Header"/>
            </w:pPr>
            <w:hyperlink r:id="rId7" w:history="1">
              <w:r w:rsidR="00C800C9" w:rsidRPr="0017284F">
                <w:rPr>
                  <w:rStyle w:val="Hyperlink"/>
                </w:rPr>
                <w:t>026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E75D8" w14:textId="23CDEB31" w:rsidR="00C800C9" w:rsidRDefault="00C800C9" w:rsidP="00C800C9">
            <w:pPr>
              <w:pStyle w:val="Header"/>
            </w:pPr>
            <w:r>
              <w:t>OBDRR 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469BD302" w14:textId="2DC469FA" w:rsidR="00C800C9" w:rsidRDefault="00C800C9" w:rsidP="00C800C9">
            <w:pPr>
              <w:pStyle w:val="Header"/>
            </w:pPr>
            <w:r>
              <w:t>Change Shadow Price Caps to Curves and Remove Shift Factor Threshold</w:t>
            </w:r>
          </w:p>
        </w:tc>
      </w:tr>
      <w:tr w:rsidR="00152993" w14:paraId="07E5F0C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13F6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A07B1" w14:textId="77777777" w:rsidR="00152993" w:rsidRDefault="00152993">
            <w:pPr>
              <w:pStyle w:val="NormalArial"/>
            </w:pPr>
          </w:p>
        </w:tc>
      </w:tr>
      <w:tr w:rsidR="00152993" w14:paraId="13667284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C0E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5F1" w14:textId="5B091DB2" w:rsidR="00152993" w:rsidRDefault="00C800C9">
            <w:pPr>
              <w:pStyle w:val="NormalArial"/>
            </w:pPr>
            <w:r>
              <w:t xml:space="preserve">January </w:t>
            </w:r>
            <w:r w:rsidR="00F64052">
              <w:t>6</w:t>
            </w:r>
            <w:r>
              <w:t>, 2022</w:t>
            </w:r>
          </w:p>
        </w:tc>
      </w:tr>
      <w:tr w:rsidR="00152993" w14:paraId="291C8A59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3DBC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AF51" w14:textId="77777777" w:rsidR="00152993" w:rsidRDefault="00152993">
            <w:pPr>
              <w:pStyle w:val="NormalArial"/>
            </w:pPr>
          </w:p>
        </w:tc>
      </w:tr>
      <w:tr w:rsidR="00152993" w14:paraId="07F06CE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C558E7" w14:textId="5FD401BE" w:rsidR="003E0B65" w:rsidRPr="00C800C9" w:rsidRDefault="00152993" w:rsidP="00C800C9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C800C9" w14:paraId="0CC112B0" w14:textId="77777777" w:rsidTr="00C800C9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8EFC10" w14:textId="77777777" w:rsidR="00C800C9" w:rsidRPr="00EC55B3" w:rsidRDefault="00C800C9" w:rsidP="00C800C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168CE59" w14:textId="5D2EA751" w:rsidR="00C800C9" w:rsidRDefault="00C800C9" w:rsidP="00C800C9">
            <w:pPr>
              <w:pStyle w:val="NormalArial"/>
            </w:pPr>
            <w:r>
              <w:t>Carrie Bivens</w:t>
            </w:r>
          </w:p>
        </w:tc>
      </w:tr>
      <w:tr w:rsidR="00A00965" w14:paraId="2FD10C53" w14:textId="77777777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5F6A20F" w14:textId="77777777" w:rsidR="00A00965" w:rsidRPr="00EC55B3" w:rsidRDefault="00A00965" w:rsidP="00A00965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1B3F529" w14:textId="0AA3BFA9" w:rsidR="00A00965" w:rsidRDefault="00A00965" w:rsidP="00A00965">
            <w:pPr>
              <w:pStyle w:val="NormalArial"/>
            </w:pPr>
            <w:r>
              <w:t>Potomac Economics / ERCOT Independent Market Monitor (IMM)</w:t>
            </w:r>
          </w:p>
        </w:tc>
      </w:tr>
      <w:tr w:rsidR="00A00965" w14:paraId="4F15BC57" w14:textId="77777777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1D28B3F" w14:textId="77777777" w:rsidR="00A00965" w:rsidRPr="00EC55B3" w:rsidRDefault="00A00965" w:rsidP="00A0096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534A11E" w14:textId="731F6058" w:rsidR="00A00965" w:rsidRDefault="00F64052" w:rsidP="00A00965">
            <w:pPr>
              <w:pStyle w:val="NormalArial"/>
            </w:pPr>
            <w:hyperlink r:id="rId8" w:history="1">
              <w:r w:rsidR="00A00965" w:rsidRPr="009F41BD">
                <w:rPr>
                  <w:rStyle w:val="Hyperlink"/>
                </w:rPr>
                <w:t>cbivens@potomaceconomics.com</w:t>
              </w:r>
            </w:hyperlink>
          </w:p>
        </w:tc>
      </w:tr>
      <w:tr w:rsidR="00A00965" w14:paraId="49F5F6CD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7282C" w14:textId="77777777" w:rsidR="00A00965" w:rsidRPr="00B93CA0" w:rsidRDefault="00A00965" w:rsidP="00A009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FCCA9F" w14:textId="326A57C3" w:rsidR="00A00965" w:rsidRDefault="00A00965" w:rsidP="00A00965">
            <w:pPr>
              <w:pStyle w:val="NormalArial"/>
            </w:pPr>
            <w:r>
              <w:t>512-248-6678</w:t>
            </w:r>
          </w:p>
        </w:tc>
      </w:tr>
      <w:tr w:rsidR="00A00965" w14:paraId="546E26A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09E36C" w14:textId="77777777" w:rsidR="00A00965" w:rsidRPr="00B93CA0" w:rsidRDefault="00A00965" w:rsidP="00A0096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26694FB" w14:textId="123E806D" w:rsidR="00A00965" w:rsidRDefault="00A00965" w:rsidP="00A00965">
            <w:pPr>
              <w:pStyle w:val="NormalArial"/>
            </w:pPr>
            <w:r>
              <w:t>512-879-7971</w:t>
            </w:r>
          </w:p>
        </w:tc>
      </w:tr>
      <w:tr w:rsidR="00A00965" w14:paraId="074DDB9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D4A08" w14:textId="77777777" w:rsidR="00A00965" w:rsidRPr="00B93CA0" w:rsidDel="00E41BCF" w:rsidRDefault="00A00965" w:rsidP="00A0096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9DD052" w14:textId="02D19B36" w:rsidR="00A00965" w:rsidRDefault="00A00965" w:rsidP="00A00965">
            <w:pPr>
              <w:pStyle w:val="NormalArial"/>
            </w:pPr>
            <w:r>
              <w:t>Not applicable</w:t>
            </w:r>
          </w:p>
        </w:tc>
      </w:tr>
    </w:tbl>
    <w:p w14:paraId="50ED143B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269D81D2" w14:textId="77777777" w:rsidTr="00CF2C65">
        <w:trPr>
          <w:trHeight w:val="503"/>
        </w:trPr>
        <w:tc>
          <w:tcPr>
            <w:tcW w:w="10440" w:type="dxa"/>
            <w:vAlign w:val="center"/>
          </w:tcPr>
          <w:p w14:paraId="322DEB02" w14:textId="77777777" w:rsidR="00A52E24" w:rsidRPr="00CF2C65" w:rsidRDefault="00932B6C" w:rsidP="00CF2C65">
            <w:pPr>
              <w:pStyle w:val="NormalArial"/>
              <w:jc w:val="center"/>
              <w:rPr>
                <w:b/>
              </w:rPr>
            </w:pPr>
            <w:r w:rsidRPr="00CF2C65">
              <w:rPr>
                <w:b/>
              </w:rPr>
              <w:t>Reason for Request for Withdrawal</w:t>
            </w:r>
          </w:p>
        </w:tc>
      </w:tr>
    </w:tbl>
    <w:p w14:paraId="658CCA30" w14:textId="3AAA7006" w:rsidR="00152993" w:rsidRDefault="00A00965" w:rsidP="00911D00">
      <w:pPr>
        <w:pStyle w:val="NormalArial"/>
        <w:spacing w:before="120" w:after="120"/>
      </w:pPr>
      <w:r>
        <w:t xml:space="preserve">Since Other Binding Document Revision Request (OBDRR) </w:t>
      </w:r>
      <w:r w:rsidR="00F64052">
        <w:t xml:space="preserve">026 </w:t>
      </w:r>
      <w:r>
        <w:t xml:space="preserve">was filed in January 2021, there has been a shift in priorities due to Winter Storm Uri and the </w:t>
      </w:r>
      <w:r w:rsidR="00F64052">
        <w:t xml:space="preserve">Public Utility </w:t>
      </w:r>
      <w:r>
        <w:t xml:space="preserve">Commission’s </w:t>
      </w:r>
      <w:r w:rsidR="00F64052">
        <w:t xml:space="preserve">(PUC’s) </w:t>
      </w:r>
      <w:r>
        <w:t xml:space="preserve">market redesign effort. </w:t>
      </w:r>
      <w:r w:rsidR="00F64052">
        <w:t xml:space="preserve"> </w:t>
      </w:r>
      <w:r>
        <w:t xml:space="preserve">Therefore, this item is unlikely to have the resources necessary for consideration and implementation at this time. </w:t>
      </w:r>
      <w:r w:rsidR="00F64052">
        <w:t xml:space="preserve"> </w:t>
      </w:r>
      <w:r>
        <w:t xml:space="preserve">While we continue to believe the underlying concept of transmission demand curves has strong merit, the IMM withdraws this OBDRR for the aforementioned reason.  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058A1" w14:textId="77777777" w:rsidR="00AA11EE" w:rsidRDefault="00AA11EE">
      <w:r>
        <w:separator/>
      </w:r>
    </w:p>
  </w:endnote>
  <w:endnote w:type="continuationSeparator" w:id="0">
    <w:p w14:paraId="643684FF" w14:textId="77777777" w:rsidR="00AA11EE" w:rsidRDefault="00AA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C75F" w14:textId="20427272" w:rsidR="00964050" w:rsidRDefault="00911D00" w:rsidP="00604920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026</w:t>
    </w:r>
    <w:r w:rsidR="00A85E00">
      <w:rPr>
        <w:rFonts w:ascii="Arial" w:hAnsi="Arial"/>
        <w:sz w:val="18"/>
      </w:rPr>
      <w:t>OBDRR</w:t>
    </w:r>
    <w:r>
      <w:rPr>
        <w:rFonts w:ascii="Arial" w:hAnsi="Arial"/>
        <w:sz w:val="18"/>
      </w:rPr>
      <w:t>-09</w:t>
    </w:r>
    <w:r w:rsidR="00A85E00"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01</w:t>
    </w:r>
    <w:r w:rsidR="00F64052">
      <w:rPr>
        <w:rFonts w:ascii="Arial" w:hAnsi="Arial"/>
        <w:sz w:val="18"/>
      </w:rPr>
      <w:t>06</w:t>
    </w:r>
    <w:r>
      <w:rPr>
        <w:rFonts w:ascii="Arial" w:hAnsi="Arial"/>
        <w:sz w:val="18"/>
      </w:rPr>
      <w:t>22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A85E0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A85E0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686B640C" w14:textId="77777777" w:rsidR="00964050" w:rsidRDefault="00964050" w:rsidP="00604920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D9092" w14:textId="77777777" w:rsidR="00AA11EE" w:rsidRDefault="00AA11EE">
      <w:r>
        <w:separator/>
      </w:r>
    </w:p>
  </w:footnote>
  <w:footnote w:type="continuationSeparator" w:id="0">
    <w:p w14:paraId="31443DEC" w14:textId="77777777" w:rsidR="00AA11EE" w:rsidRDefault="00AA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8CFC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1EDB7378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B1028"/>
    <w:rsid w:val="007F7161"/>
    <w:rsid w:val="008C693F"/>
    <w:rsid w:val="008E559E"/>
    <w:rsid w:val="00911D00"/>
    <w:rsid w:val="00921A68"/>
    <w:rsid w:val="00923C4A"/>
    <w:rsid w:val="00932B6C"/>
    <w:rsid w:val="009447E7"/>
    <w:rsid w:val="00955685"/>
    <w:rsid w:val="00964050"/>
    <w:rsid w:val="00A00965"/>
    <w:rsid w:val="00A52E24"/>
    <w:rsid w:val="00A806F6"/>
    <w:rsid w:val="00A835F7"/>
    <w:rsid w:val="00A84A5C"/>
    <w:rsid w:val="00A85E00"/>
    <w:rsid w:val="00AA11EE"/>
    <w:rsid w:val="00AE5FD4"/>
    <w:rsid w:val="00C0598D"/>
    <w:rsid w:val="00C800C9"/>
    <w:rsid w:val="00CC1499"/>
    <w:rsid w:val="00CF13D5"/>
    <w:rsid w:val="00CF2C65"/>
    <w:rsid w:val="00CF696C"/>
    <w:rsid w:val="00D1578C"/>
    <w:rsid w:val="00D4046E"/>
    <w:rsid w:val="00DF5F07"/>
    <w:rsid w:val="00E11F78"/>
    <w:rsid w:val="00E621E1"/>
    <w:rsid w:val="00EC55B3"/>
    <w:rsid w:val="00F64052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85906"/>
  <w15:chartTrackingRefBased/>
  <w15:docId w15:val="{1ECBB51C-72AB-4930-9C27-7B2CF12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vens@potomaceconom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OBDRR0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2022-01-06T19:16:00Z</dcterms:created>
  <dcterms:modified xsi:type="dcterms:W3CDTF">2022-01-06T19:16:00Z</dcterms:modified>
</cp:coreProperties>
</file>