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43C4006B" w:rsidR="00581280" w:rsidRDefault="00EE7418">
      <w:pPr>
        <w:spacing w:before="360"/>
        <w:jc w:val="center"/>
        <w:rPr>
          <w:b/>
          <w:szCs w:val="24"/>
        </w:rPr>
      </w:pPr>
      <w:r>
        <w:rPr>
          <w:b/>
          <w:szCs w:val="24"/>
        </w:rPr>
        <w:t>January</w:t>
      </w:r>
      <w:r w:rsidR="00503143">
        <w:rPr>
          <w:b/>
          <w:szCs w:val="24"/>
        </w:rPr>
        <w:t xml:space="preserve"> </w:t>
      </w:r>
      <w:r w:rsidR="000E38FE">
        <w:rPr>
          <w:b/>
          <w:szCs w:val="24"/>
        </w:rPr>
        <w:t>1</w:t>
      </w:r>
      <w:r w:rsidR="002A19BC">
        <w:rPr>
          <w:b/>
          <w:szCs w:val="24"/>
        </w:rPr>
        <w:t>, 20</w:t>
      </w:r>
      <w:r w:rsidR="0009147E">
        <w:rPr>
          <w:b/>
          <w:szCs w:val="24"/>
        </w:rPr>
        <w:t>2</w:t>
      </w:r>
      <w:r>
        <w:rPr>
          <w:b/>
          <w:szCs w:val="24"/>
        </w:rPr>
        <w:t>2</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3D516F50"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C519BD">
          <w:rPr>
            <w:webHidden/>
          </w:rPr>
          <w:t>8-1</w:t>
        </w:r>
        <w:r w:rsidR="00F6169C">
          <w:rPr>
            <w:webHidden/>
          </w:rPr>
          <w:fldChar w:fldCharType="end"/>
        </w:r>
      </w:hyperlink>
    </w:p>
    <w:p w14:paraId="2CD6A6EA" w14:textId="22BE0314" w:rsidR="00F6169C" w:rsidRPr="00F6169C" w:rsidRDefault="00C519BD">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7394B331" w:rsidR="00F6169C" w:rsidRPr="00F6169C" w:rsidRDefault="00C519BD">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5C54B6AA" w:rsidR="00F6169C" w:rsidRPr="00F6169C" w:rsidRDefault="00C519BD">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30CB170A" w:rsidR="00F6169C" w:rsidRPr="00F6169C" w:rsidRDefault="00C519BD">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8-7</w:t>
        </w:r>
        <w:r w:rsidR="00F6169C" w:rsidRPr="00F6169C">
          <w:rPr>
            <w:webHidden/>
            <w:sz w:val="20"/>
            <w:szCs w:val="20"/>
          </w:rPr>
          <w:fldChar w:fldCharType="end"/>
        </w:r>
      </w:hyperlink>
    </w:p>
    <w:p w14:paraId="7E33C412" w14:textId="6EF80E07" w:rsidR="00F6169C" w:rsidRPr="00F6169C" w:rsidRDefault="00C519BD">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8-12</w:t>
        </w:r>
        <w:r w:rsidR="00F6169C" w:rsidRPr="00F6169C">
          <w:rPr>
            <w:i w:val="0"/>
            <w:webHidden/>
            <w:sz w:val="20"/>
            <w:szCs w:val="20"/>
          </w:rPr>
          <w:fldChar w:fldCharType="end"/>
        </w:r>
      </w:hyperlink>
    </w:p>
    <w:p w14:paraId="22F5D044" w14:textId="448F8934" w:rsidR="00F6169C" w:rsidRPr="00F6169C" w:rsidRDefault="00C519BD">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8-13</w:t>
        </w:r>
        <w:r w:rsidR="00F6169C" w:rsidRPr="00F6169C">
          <w:rPr>
            <w:noProof/>
            <w:webHidden/>
            <w:sz w:val="20"/>
            <w:szCs w:val="20"/>
          </w:rPr>
          <w:fldChar w:fldCharType="end"/>
        </w:r>
      </w:hyperlink>
    </w:p>
    <w:p w14:paraId="4B437F91" w14:textId="51DC6A2B" w:rsidR="00F6169C" w:rsidRPr="00F6169C" w:rsidRDefault="00C519BD">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8-16</w:t>
        </w:r>
        <w:r w:rsidR="00F6169C" w:rsidRPr="00F6169C">
          <w:rPr>
            <w:noProof/>
            <w:webHidden/>
            <w:sz w:val="20"/>
            <w:szCs w:val="20"/>
          </w:rPr>
          <w:fldChar w:fldCharType="end"/>
        </w:r>
      </w:hyperlink>
    </w:p>
    <w:p w14:paraId="48B19A5F" w14:textId="7E77D3D0" w:rsidR="00F6169C" w:rsidRPr="00F6169C" w:rsidRDefault="00C519BD">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8-19</w:t>
        </w:r>
        <w:r w:rsidR="00F6169C" w:rsidRPr="00F6169C">
          <w:rPr>
            <w:noProof/>
            <w:webHidden/>
            <w:sz w:val="20"/>
            <w:szCs w:val="20"/>
          </w:rPr>
          <w:fldChar w:fldCharType="end"/>
        </w:r>
      </w:hyperlink>
    </w:p>
    <w:p w14:paraId="12676A37" w14:textId="768C7C11" w:rsidR="00F6169C" w:rsidRPr="00F6169C" w:rsidRDefault="00C519BD">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8-21</w:t>
        </w:r>
        <w:r w:rsidR="00F6169C" w:rsidRPr="00F6169C">
          <w:rPr>
            <w:noProof/>
            <w:webHidden/>
            <w:sz w:val="20"/>
            <w:szCs w:val="20"/>
          </w:rPr>
          <w:fldChar w:fldCharType="end"/>
        </w:r>
      </w:hyperlink>
    </w:p>
    <w:p w14:paraId="24626F43" w14:textId="1839F610" w:rsidR="00F6169C" w:rsidRPr="00F6169C" w:rsidRDefault="00C519BD">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8-23</w:t>
        </w:r>
        <w:r w:rsidR="00F6169C" w:rsidRPr="00F6169C">
          <w:rPr>
            <w:noProof/>
            <w:webHidden/>
            <w:sz w:val="20"/>
            <w:szCs w:val="20"/>
          </w:rPr>
          <w:fldChar w:fldCharType="end"/>
        </w:r>
      </w:hyperlink>
    </w:p>
    <w:p w14:paraId="6F53286A" w14:textId="4CB12BBB" w:rsidR="00F6169C" w:rsidRPr="00F6169C" w:rsidRDefault="00C519BD">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8-29</w:t>
        </w:r>
        <w:r w:rsidR="00F6169C" w:rsidRPr="00F6169C">
          <w:rPr>
            <w:noProof/>
            <w:webHidden/>
            <w:sz w:val="20"/>
            <w:szCs w:val="20"/>
          </w:rPr>
          <w:fldChar w:fldCharType="end"/>
        </w:r>
      </w:hyperlink>
    </w:p>
    <w:p w14:paraId="64426ADC" w14:textId="1C221D48" w:rsidR="00F6169C" w:rsidRPr="00F6169C" w:rsidRDefault="00C519BD">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8-30</w:t>
        </w:r>
        <w:r w:rsidR="00F6169C" w:rsidRPr="00F6169C">
          <w:rPr>
            <w:webHidden/>
            <w:sz w:val="20"/>
            <w:szCs w:val="20"/>
          </w:rPr>
          <w:fldChar w:fldCharType="end"/>
        </w:r>
      </w:hyperlink>
    </w:p>
    <w:p w14:paraId="1F1C676D" w14:textId="70B4E678" w:rsidR="00F6169C" w:rsidRPr="00F6169C" w:rsidRDefault="00C519BD">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8-33</w:t>
        </w:r>
        <w:r w:rsidR="00F6169C" w:rsidRPr="00F6169C">
          <w:rPr>
            <w:i w:val="0"/>
            <w:webHidden/>
            <w:sz w:val="20"/>
            <w:szCs w:val="20"/>
          </w:rPr>
          <w:fldChar w:fldCharType="end"/>
        </w:r>
      </w:hyperlink>
    </w:p>
    <w:p w14:paraId="1FB88B74" w14:textId="7BD378CF" w:rsidR="00F6169C" w:rsidRPr="00F6169C" w:rsidRDefault="00C519BD">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8-34</w:t>
        </w:r>
        <w:r w:rsidR="00F6169C" w:rsidRPr="00F6169C">
          <w:rPr>
            <w:i w:val="0"/>
            <w:webHidden/>
            <w:sz w:val="20"/>
            <w:szCs w:val="20"/>
          </w:rPr>
          <w:fldChar w:fldCharType="end"/>
        </w:r>
      </w:hyperlink>
    </w:p>
    <w:p w14:paraId="4A57C4AE" w14:textId="1986C332" w:rsidR="00F6169C" w:rsidRPr="00F6169C" w:rsidRDefault="00C519BD">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21173D" w14:textId="1D838FF4" w:rsidR="00F6169C" w:rsidRPr="00F6169C" w:rsidRDefault="00C519BD">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8-35</w:t>
        </w:r>
        <w:r w:rsidR="00F6169C" w:rsidRPr="00F6169C">
          <w:rPr>
            <w:i w:val="0"/>
            <w:webHidden/>
            <w:sz w:val="20"/>
            <w:szCs w:val="20"/>
          </w:rPr>
          <w:fldChar w:fldCharType="end"/>
        </w:r>
      </w:hyperlink>
    </w:p>
    <w:p w14:paraId="24853257" w14:textId="199443E0" w:rsidR="00F6169C" w:rsidRPr="00F6169C" w:rsidRDefault="00C519BD">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8-36</w:t>
        </w:r>
        <w:r w:rsidR="00F6169C" w:rsidRPr="00F6169C">
          <w:rPr>
            <w:webHidden/>
            <w:sz w:val="20"/>
            <w:szCs w:val="20"/>
          </w:rPr>
          <w:fldChar w:fldCharType="end"/>
        </w:r>
      </w:hyperlink>
    </w:p>
    <w:p w14:paraId="24E8E968" w14:textId="44F36C2D" w:rsidR="00F6169C" w:rsidRPr="00F6169C" w:rsidRDefault="00C519BD">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8-36</w:t>
        </w:r>
        <w:r w:rsidR="00F6169C" w:rsidRPr="00F6169C">
          <w:rPr>
            <w:i w:val="0"/>
            <w:webHidden/>
            <w:sz w:val="20"/>
            <w:szCs w:val="20"/>
          </w:rPr>
          <w:fldChar w:fldCharType="end"/>
        </w:r>
      </w:hyperlink>
    </w:p>
    <w:p w14:paraId="6F7E4FF8" w14:textId="22120D39" w:rsidR="00F6169C" w:rsidRPr="00F6169C" w:rsidRDefault="00C519BD">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8-54</w:t>
        </w:r>
        <w:r w:rsidR="00F6169C" w:rsidRPr="00F6169C">
          <w:rPr>
            <w:i w:val="0"/>
            <w:webHidden/>
            <w:sz w:val="20"/>
            <w:szCs w:val="20"/>
          </w:rPr>
          <w:fldChar w:fldCharType="end"/>
        </w:r>
      </w:hyperlink>
    </w:p>
    <w:p w14:paraId="2A0C7E5C" w14:textId="13248808" w:rsidR="00F6169C" w:rsidRPr="00F6169C" w:rsidRDefault="00C519BD">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8-58</w:t>
        </w:r>
        <w:r w:rsidR="00F6169C" w:rsidRPr="00F6169C">
          <w:rPr>
            <w:i w:val="0"/>
            <w:webHidden/>
            <w:sz w:val="20"/>
            <w:szCs w:val="20"/>
          </w:rPr>
          <w:fldChar w:fldCharType="end"/>
        </w:r>
      </w:hyperlink>
    </w:p>
    <w:p w14:paraId="220557FA" w14:textId="29B73A19" w:rsidR="00F6169C" w:rsidRPr="00F6169C" w:rsidRDefault="00C519BD">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8-61</w:t>
        </w:r>
        <w:r w:rsidR="00F6169C" w:rsidRPr="00F6169C">
          <w:rPr>
            <w:i w:val="0"/>
            <w:webHidden/>
            <w:sz w:val="20"/>
            <w:szCs w:val="20"/>
          </w:rPr>
          <w:fldChar w:fldCharType="end"/>
        </w:r>
      </w:hyperlink>
    </w:p>
    <w:p w14:paraId="420CDDF3" w14:textId="1DB95972" w:rsidR="00F6169C" w:rsidRPr="00F6169C" w:rsidRDefault="00C519BD">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8-62</w:t>
        </w:r>
        <w:r w:rsidR="00F6169C" w:rsidRPr="00F6169C">
          <w:rPr>
            <w:i w:val="0"/>
            <w:noProof/>
            <w:webHidden/>
          </w:rPr>
          <w:fldChar w:fldCharType="end"/>
        </w:r>
      </w:hyperlink>
    </w:p>
    <w:p w14:paraId="02AB7BBD" w14:textId="231CC520" w:rsidR="00F6169C" w:rsidRPr="00F6169C" w:rsidRDefault="00C519BD">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8-63</w:t>
        </w:r>
        <w:r w:rsidR="00F6169C" w:rsidRPr="00F6169C">
          <w:rPr>
            <w:i w:val="0"/>
            <w:noProof/>
            <w:webHidden/>
          </w:rPr>
          <w:fldChar w:fldCharType="end"/>
        </w:r>
      </w:hyperlink>
    </w:p>
    <w:p w14:paraId="07B6A794" w14:textId="64132B6A" w:rsidR="00F6169C" w:rsidRPr="00F6169C" w:rsidRDefault="00C519BD">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8-63</w:t>
        </w:r>
        <w:r w:rsidR="00F6169C" w:rsidRPr="00F6169C">
          <w:rPr>
            <w:webHidden/>
            <w:sz w:val="20"/>
            <w:szCs w:val="20"/>
          </w:rPr>
          <w:fldChar w:fldCharType="end"/>
        </w:r>
      </w:hyperlink>
    </w:p>
    <w:p w14:paraId="054788CD" w14:textId="4733C657" w:rsidR="00F6169C" w:rsidRPr="00F6169C" w:rsidRDefault="00C519BD">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8-63</w:t>
        </w:r>
        <w:r w:rsidR="00F6169C" w:rsidRPr="00F6169C">
          <w:rPr>
            <w:i w:val="0"/>
            <w:webHidden/>
            <w:sz w:val="20"/>
            <w:szCs w:val="20"/>
          </w:rPr>
          <w:fldChar w:fldCharType="end"/>
        </w:r>
      </w:hyperlink>
    </w:p>
    <w:p w14:paraId="2457D524" w14:textId="58787638" w:rsidR="00F6169C" w:rsidRPr="00F6169C" w:rsidRDefault="00C519BD">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8-66</w:t>
        </w:r>
        <w:r w:rsidR="00F6169C" w:rsidRPr="00F6169C">
          <w:rPr>
            <w:i w:val="0"/>
            <w:webHidden/>
            <w:sz w:val="20"/>
            <w:szCs w:val="20"/>
          </w:rPr>
          <w:fldChar w:fldCharType="end"/>
        </w:r>
      </w:hyperlink>
    </w:p>
    <w:p w14:paraId="589884E5" w14:textId="564153F3" w:rsidR="00F6169C" w:rsidRPr="00F6169C" w:rsidRDefault="00C519BD">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8-68</w:t>
        </w:r>
        <w:r w:rsidR="00F6169C" w:rsidRPr="00F6169C">
          <w:rPr>
            <w:i w:val="0"/>
            <w:webHidden/>
            <w:sz w:val="20"/>
            <w:szCs w:val="20"/>
          </w:rPr>
          <w:fldChar w:fldCharType="end"/>
        </w:r>
      </w:hyperlink>
    </w:p>
    <w:p w14:paraId="6E2F2EB0" w14:textId="0DD27042" w:rsidR="00F6169C" w:rsidRPr="00F6169C" w:rsidRDefault="00C519BD">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8-68</w:t>
        </w:r>
        <w:r w:rsidR="00F6169C" w:rsidRPr="00F6169C">
          <w:rPr>
            <w:noProof/>
            <w:webHidden/>
            <w:sz w:val="20"/>
            <w:szCs w:val="20"/>
          </w:rPr>
          <w:fldChar w:fldCharType="end"/>
        </w:r>
      </w:hyperlink>
    </w:p>
    <w:p w14:paraId="231F0C8D" w14:textId="690403F7" w:rsidR="00F6169C" w:rsidRPr="00F6169C" w:rsidRDefault="00C519BD">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8-70</w:t>
        </w:r>
        <w:r w:rsidR="00F6169C" w:rsidRPr="00F6169C">
          <w:rPr>
            <w:noProof/>
            <w:webHidden/>
            <w:sz w:val="20"/>
            <w:szCs w:val="20"/>
          </w:rPr>
          <w:fldChar w:fldCharType="end"/>
        </w:r>
      </w:hyperlink>
    </w:p>
    <w:p w14:paraId="79314560" w14:textId="7D7CA58D" w:rsidR="00F6169C" w:rsidRPr="00F6169C" w:rsidRDefault="00C519BD">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8-71</w:t>
        </w:r>
        <w:r w:rsidR="00F6169C" w:rsidRPr="00F6169C">
          <w:rPr>
            <w:noProof/>
            <w:webHidden/>
            <w:sz w:val="20"/>
            <w:szCs w:val="20"/>
          </w:rPr>
          <w:fldChar w:fldCharType="end"/>
        </w:r>
      </w:hyperlink>
    </w:p>
    <w:p w14:paraId="723F7101" w14:textId="17E8684D" w:rsidR="00F6169C" w:rsidRPr="00F6169C" w:rsidRDefault="00C519BD">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8-73</w:t>
        </w:r>
        <w:r w:rsidR="00F6169C" w:rsidRPr="00F6169C">
          <w:rPr>
            <w:i w:val="0"/>
            <w:webHidden/>
            <w:sz w:val="20"/>
            <w:szCs w:val="20"/>
          </w:rPr>
          <w:fldChar w:fldCharType="end"/>
        </w:r>
      </w:hyperlink>
    </w:p>
    <w:p w14:paraId="06DF1A65" w14:textId="29FC4DB6" w:rsidR="00F6169C" w:rsidRPr="00F6169C" w:rsidRDefault="00C519BD">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8-77</w:t>
        </w:r>
        <w:r w:rsidR="00F6169C" w:rsidRPr="00F6169C">
          <w:rPr>
            <w:webHidden/>
            <w:sz w:val="20"/>
            <w:szCs w:val="20"/>
          </w:rPr>
          <w:fldChar w:fldCharType="end"/>
        </w:r>
      </w:hyperlink>
    </w:p>
    <w:p w14:paraId="38043EE0" w14:textId="76F7E622" w:rsidR="00F6169C" w:rsidRPr="00F6169C" w:rsidRDefault="00C519BD">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8-80</w:t>
        </w:r>
        <w:r w:rsidR="00F6169C" w:rsidRPr="00F6169C">
          <w:rPr>
            <w:webHidden/>
            <w:sz w:val="20"/>
            <w:szCs w:val="20"/>
          </w:rPr>
          <w:fldChar w:fldCharType="end"/>
        </w:r>
      </w:hyperlink>
    </w:p>
    <w:p w14:paraId="15ECFB55" w14:textId="6A4AEDE8" w:rsidR="00F6169C" w:rsidRPr="00F6169C" w:rsidRDefault="00C519BD">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8-80</w:t>
        </w:r>
        <w:r w:rsidR="00F6169C" w:rsidRPr="00F6169C">
          <w:rPr>
            <w:i w:val="0"/>
            <w:webHidden/>
            <w:sz w:val="20"/>
            <w:szCs w:val="20"/>
          </w:rPr>
          <w:fldChar w:fldCharType="end"/>
        </w:r>
      </w:hyperlink>
    </w:p>
    <w:p w14:paraId="3F72AB32" w14:textId="3FF5B730" w:rsidR="00F6169C" w:rsidRPr="00F6169C" w:rsidRDefault="00C519BD">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8-86</w:t>
        </w:r>
        <w:r w:rsidR="00F6169C" w:rsidRPr="00F6169C">
          <w:rPr>
            <w:i w:val="0"/>
            <w:webHidden/>
            <w:sz w:val="20"/>
            <w:szCs w:val="20"/>
          </w:rPr>
          <w:fldChar w:fldCharType="end"/>
        </w:r>
      </w:hyperlink>
    </w:p>
    <w:p w14:paraId="2D1E634C" w14:textId="57740069" w:rsidR="00F6169C" w:rsidRPr="00F6169C" w:rsidRDefault="00C519BD">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8-88</w:t>
        </w:r>
        <w:r w:rsidR="00F6169C" w:rsidRPr="00F6169C">
          <w:rPr>
            <w:i w:val="0"/>
            <w:webHidden/>
            <w:sz w:val="20"/>
            <w:szCs w:val="20"/>
          </w:rPr>
          <w:fldChar w:fldCharType="end"/>
        </w:r>
      </w:hyperlink>
    </w:p>
    <w:p w14:paraId="01D4350D" w14:textId="3866D4AF" w:rsidR="00F6169C" w:rsidRPr="00F6169C" w:rsidRDefault="00C519BD">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8-90</w:t>
        </w:r>
        <w:r w:rsidR="00F6169C" w:rsidRPr="00F6169C">
          <w:rPr>
            <w:i w:val="0"/>
            <w:webHidden/>
            <w:sz w:val="20"/>
            <w:szCs w:val="20"/>
          </w:rPr>
          <w:fldChar w:fldCharType="end"/>
        </w:r>
      </w:hyperlink>
    </w:p>
    <w:p w14:paraId="4503F06A" w14:textId="7E0618BA" w:rsidR="00F6169C" w:rsidRPr="00F6169C" w:rsidRDefault="00C519BD">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8-92</w:t>
        </w:r>
        <w:r w:rsidR="00F6169C" w:rsidRPr="00F6169C">
          <w:rPr>
            <w:webHidden/>
            <w:sz w:val="20"/>
            <w:szCs w:val="20"/>
          </w:rPr>
          <w:fldChar w:fldCharType="end"/>
        </w:r>
      </w:hyperlink>
    </w:p>
    <w:p w14:paraId="432AF14B" w14:textId="5CE3865C" w:rsidR="00F6169C" w:rsidRPr="00F6169C" w:rsidRDefault="00C519BD">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8-92</w:t>
        </w:r>
        <w:r w:rsidR="00F6169C" w:rsidRPr="00F6169C">
          <w:rPr>
            <w:noProof/>
            <w:webHidden/>
          </w:rPr>
          <w:fldChar w:fldCharType="end"/>
        </w:r>
      </w:hyperlink>
    </w:p>
    <w:p w14:paraId="6177B278" w14:textId="00388240" w:rsidR="00F6169C" w:rsidRPr="00F6169C" w:rsidRDefault="00C519BD">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8-94</w:t>
        </w:r>
        <w:r w:rsidR="00F6169C" w:rsidRPr="00F6169C">
          <w:rPr>
            <w:noProof/>
            <w:webHidden/>
          </w:rPr>
          <w:fldChar w:fldCharType="end"/>
        </w:r>
      </w:hyperlink>
    </w:p>
    <w:p w14:paraId="480698D5" w14:textId="391D59FC" w:rsidR="00F6169C" w:rsidRPr="00F6169C" w:rsidRDefault="00C519BD">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8-94</w:t>
        </w:r>
        <w:r w:rsidR="00F6169C" w:rsidRPr="00F6169C">
          <w:rPr>
            <w:noProof/>
            <w:webHidden/>
          </w:rPr>
          <w:fldChar w:fldCharType="end"/>
        </w:r>
      </w:hyperlink>
    </w:p>
    <w:p w14:paraId="40220B28" w14:textId="183DDD94" w:rsidR="00F6169C" w:rsidRPr="00F6169C" w:rsidRDefault="00C519BD">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8-95</w:t>
        </w:r>
        <w:r w:rsidR="00F6169C" w:rsidRPr="00F6169C">
          <w:rPr>
            <w:noProof/>
            <w:webHidden/>
          </w:rPr>
          <w:fldChar w:fldCharType="end"/>
        </w:r>
      </w:hyperlink>
    </w:p>
    <w:p w14:paraId="7512C6F5" w14:textId="70D8126F" w:rsidR="00F6169C" w:rsidRPr="00F6169C" w:rsidRDefault="00C519BD">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8-95</w:t>
        </w:r>
        <w:r w:rsidR="00F6169C" w:rsidRPr="00F6169C">
          <w:rPr>
            <w:i w:val="0"/>
            <w:noProof/>
            <w:webHidden/>
          </w:rPr>
          <w:fldChar w:fldCharType="end"/>
        </w:r>
      </w:hyperlink>
    </w:p>
    <w:p w14:paraId="5F45337B" w14:textId="05DF6934" w:rsidR="00F6169C" w:rsidRPr="00F6169C" w:rsidRDefault="00C519BD">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8-95</w:t>
        </w:r>
        <w:r w:rsidR="00F6169C" w:rsidRPr="00F6169C">
          <w:rPr>
            <w:webHidden/>
            <w:sz w:val="20"/>
            <w:szCs w:val="20"/>
          </w:rPr>
          <w:fldChar w:fldCharType="end"/>
        </w:r>
      </w:hyperlink>
    </w:p>
    <w:p w14:paraId="7CD4EBFE" w14:textId="28004348" w:rsidR="00F6169C" w:rsidRPr="00F6169C" w:rsidRDefault="00C519BD">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8-96</w:t>
        </w:r>
        <w:r w:rsidR="00F6169C" w:rsidRPr="00F6169C">
          <w:rPr>
            <w:webHidden/>
            <w:sz w:val="20"/>
            <w:szCs w:val="20"/>
          </w:rPr>
          <w:fldChar w:fldCharType="end"/>
        </w:r>
      </w:hyperlink>
    </w:p>
    <w:p w14:paraId="0F6E6836" w14:textId="4F126EFE" w:rsidR="00F6169C" w:rsidRPr="00F6169C" w:rsidRDefault="00C519BD">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8-97</w:t>
        </w:r>
        <w:r w:rsidR="00F6169C" w:rsidRPr="00F6169C">
          <w:rPr>
            <w:webHidden/>
            <w:sz w:val="20"/>
            <w:szCs w:val="20"/>
          </w:rPr>
          <w:fldChar w:fldCharType="end"/>
        </w:r>
      </w:hyperlink>
    </w:p>
    <w:p w14:paraId="19A099B0" w14:textId="1F187838" w:rsidR="00F6169C" w:rsidRPr="00F6169C" w:rsidRDefault="00C519BD">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8-98</w:t>
        </w:r>
        <w:r w:rsidR="00F6169C" w:rsidRPr="00F6169C">
          <w:rPr>
            <w:i w:val="0"/>
            <w:noProof/>
            <w:webHidden/>
          </w:rPr>
          <w:fldChar w:fldCharType="end"/>
        </w:r>
      </w:hyperlink>
    </w:p>
    <w:p w14:paraId="4134C603" w14:textId="4C2AAF87" w:rsidR="00F6169C" w:rsidRPr="00F6169C" w:rsidRDefault="00C519BD">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8-99</w:t>
        </w:r>
        <w:r w:rsidR="00F6169C" w:rsidRPr="00F6169C">
          <w:rPr>
            <w:webHidden/>
            <w:sz w:val="20"/>
            <w:szCs w:val="20"/>
          </w:rPr>
          <w:fldChar w:fldCharType="end"/>
        </w:r>
      </w:hyperlink>
    </w:p>
    <w:p w14:paraId="209D2919" w14:textId="6B569219" w:rsidR="00F6169C" w:rsidRPr="00F6169C" w:rsidRDefault="00C519BD">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8-100</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77777777"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lastRenderedPageBreak/>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r w:rsidR="005B7489" w:rsidRPr="00EB6A56">
        <w:rPr>
          <w:b/>
        </w:rPr>
        <w:t>Ancillary Service Qualification and Testing</w:t>
      </w:r>
      <w:bookmarkEnd w:id="28"/>
      <w:bookmarkEnd w:id="29"/>
      <w:bookmarkEnd w:id="30"/>
      <w:bookmarkEnd w:id="31"/>
      <w:bookmarkEnd w:id="32"/>
      <w:bookmarkEnd w:id="33"/>
      <w:bookmarkEnd w:id="34"/>
      <w:bookmarkEnd w:id="35"/>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w:t>
      </w:r>
      <w:r>
        <w:lastRenderedPageBreak/>
        <w:t xml:space="preserve">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 xml:space="preserve">in the rolling 365-day period, </w:t>
      </w:r>
      <w:r w:rsidRPr="000313FF">
        <w:rPr>
          <w:iCs w:val="0"/>
        </w:rPr>
        <w:lastRenderedPageBreak/>
        <w:t>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7" w:name="_Toc141777769"/>
      <w:bookmarkStart w:id="38" w:name="_Toc203961350"/>
      <w:bookmarkStart w:id="39" w:name="_Toc400968474"/>
      <w:bookmarkStart w:id="40" w:name="_Toc402362722"/>
      <w:bookmarkStart w:id="41" w:name="_Toc405554788"/>
      <w:bookmarkStart w:id="42" w:name="_Toc458771448"/>
      <w:bookmarkStart w:id="43" w:name="_Toc458771571"/>
      <w:bookmarkStart w:id="44"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sidRPr="0003648D">
        <w:rPr>
          <w:iCs/>
        </w:rPr>
        <w:lastRenderedPageBreak/>
        <w:t xml:space="preserve">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5" w:name="_Toc60045899"/>
            <w:bookmarkStart w:id="46" w:name="_Toc65157794"/>
            <w:r w:rsidRPr="00EB6A56">
              <w:rPr>
                <w:b/>
              </w:rPr>
              <w:t>8.1.1.1</w:t>
            </w:r>
            <w:r w:rsidRPr="00EB6A56">
              <w:rPr>
                <w:b/>
              </w:rPr>
              <w:tab/>
              <w:t>Ancillary Service Qualification and Testing</w:t>
            </w:r>
            <w:bookmarkEnd w:id="45"/>
            <w:bookmarkEnd w:id="46"/>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w:t>
            </w:r>
            <w:r w:rsidRPr="00E10CD4">
              <w:rPr>
                <w:iCs w:val="0"/>
              </w:rPr>
              <w:lastRenderedPageBreak/>
              <w:t xml:space="preserve">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 xml:space="preserve">within ten minutes of an ERCOT Dispatch Instruction, that response shall be considered a failure.  Two Load Resource performance failures, either in a deployment event or a Load interruption test, within </w:t>
            </w:r>
            <w:r w:rsidRPr="0003648D">
              <w:rPr>
                <w:iCs w:val="0"/>
              </w:rPr>
              <w:lastRenderedPageBreak/>
              <w:t>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7" w:name="_Toc65157795"/>
      <w:r w:rsidRPr="00EB6A56">
        <w:rPr>
          <w:b/>
        </w:rPr>
        <w:lastRenderedPageBreak/>
        <w:t>8.1.1.2</w:t>
      </w:r>
      <w:r w:rsidRPr="00EB6A56">
        <w:rPr>
          <w:b/>
        </w:rPr>
        <w:tab/>
        <w:t>General Capacity Testing Requirements</w:t>
      </w:r>
      <w:bookmarkEnd w:id="37"/>
      <w:bookmarkEnd w:id="38"/>
      <w:bookmarkEnd w:id="39"/>
      <w:bookmarkEnd w:id="40"/>
      <w:bookmarkEnd w:id="41"/>
      <w:bookmarkEnd w:id="42"/>
      <w:bookmarkEnd w:id="43"/>
      <w:bookmarkEnd w:id="44"/>
      <w:bookmarkEnd w:id="47"/>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 xml:space="preserve">QSE shall update </w:t>
      </w:r>
      <w:r w:rsidR="00AB475F" w:rsidRPr="00BC0099">
        <w:lastRenderedPageBreak/>
        <w:t>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w:t>
            </w:r>
            <w:r w:rsidRPr="00497B63">
              <w:rPr>
                <w:iCs/>
              </w:rPr>
              <w:lastRenderedPageBreak/>
              <w:t>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lastRenderedPageBreak/>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lastRenderedPageBreak/>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lastRenderedPageBreak/>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8" w:name="_Toc141777770"/>
      <w:bookmarkStart w:id="49" w:name="_Toc203961351"/>
      <w:bookmarkStart w:id="50" w:name="_Toc400968475"/>
      <w:bookmarkStart w:id="51" w:name="_Toc402362723"/>
      <w:bookmarkStart w:id="52" w:name="_Toc405554789"/>
      <w:bookmarkStart w:id="53" w:name="_Toc458771449"/>
      <w:bookmarkStart w:id="54" w:name="_Toc458771572"/>
      <w:bookmarkStart w:id="55" w:name="_Toc460939751"/>
      <w:bookmarkStart w:id="56" w:name="_Toc65157796"/>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8"/>
      <w:bookmarkEnd w:id="49"/>
      <w:bookmarkEnd w:id="50"/>
      <w:bookmarkEnd w:id="51"/>
      <w:bookmarkEnd w:id="52"/>
      <w:bookmarkEnd w:id="53"/>
      <w:bookmarkEnd w:id="54"/>
      <w:bookmarkEnd w:id="55"/>
      <w:bookmarkEnd w:id="56"/>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w:t>
      </w:r>
      <w:r>
        <w:lastRenderedPageBreak/>
        <w:t>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7" w:name="_Toc141777771"/>
            <w:bookmarkStart w:id="58" w:name="_Toc203961352"/>
            <w:bookmarkStart w:id="59" w:name="_Toc400968476"/>
            <w:bookmarkStart w:id="60" w:name="_Toc402362724"/>
            <w:bookmarkStart w:id="61" w:name="_Toc405554790"/>
            <w:bookmarkStart w:id="62" w:name="_Toc458771450"/>
            <w:bookmarkStart w:id="63" w:name="_Toc458771573"/>
            <w:bookmarkStart w:id="64"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5" w:name="_Toc65157797"/>
      <w:r>
        <w:t>8.1.1.2.1.1</w:t>
      </w:r>
      <w:r>
        <w:tab/>
        <w:t>Regulation Service</w:t>
      </w:r>
      <w:bookmarkEnd w:id="57"/>
      <w:bookmarkEnd w:id="58"/>
      <w:r>
        <w:t xml:space="preserve"> Qualification</w:t>
      </w:r>
      <w:bookmarkEnd w:id="59"/>
      <w:bookmarkEnd w:id="60"/>
      <w:bookmarkEnd w:id="61"/>
      <w:bookmarkEnd w:id="62"/>
      <w:bookmarkEnd w:id="63"/>
      <w:bookmarkEnd w:id="64"/>
      <w:bookmarkEnd w:id="65"/>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6" w:name="_Toc141777772"/>
            <w:bookmarkStart w:id="67" w:name="_Toc203961353"/>
            <w:bookmarkStart w:id="68" w:name="_Toc400968477"/>
            <w:bookmarkStart w:id="69" w:name="_Toc402362725"/>
            <w:bookmarkStart w:id="70" w:name="_Toc405554791"/>
            <w:bookmarkStart w:id="71" w:name="_Toc458771451"/>
            <w:bookmarkStart w:id="72" w:name="_Toc458771574"/>
            <w:bookmarkStart w:id="73"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4" w:name="_Toc65157798"/>
      <w:r>
        <w:t>8.1.1.2.1.2</w:t>
      </w:r>
      <w:r>
        <w:tab/>
        <w:t>Responsive Reserve Service</w:t>
      </w:r>
      <w:bookmarkEnd w:id="66"/>
      <w:bookmarkEnd w:id="67"/>
      <w:r>
        <w:t xml:space="preserve"> Qualification</w:t>
      </w:r>
      <w:bookmarkEnd w:id="68"/>
      <w:bookmarkEnd w:id="69"/>
      <w:bookmarkEnd w:id="70"/>
      <w:bookmarkEnd w:id="71"/>
      <w:bookmarkEnd w:id="72"/>
      <w:bookmarkEnd w:id="73"/>
      <w:bookmarkEnd w:id="74"/>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5" w:name="_Toc141777773"/>
            <w:bookmarkStart w:id="76" w:name="_Toc203961354"/>
            <w:bookmarkStart w:id="77" w:name="_Toc400968478"/>
            <w:bookmarkStart w:id="78" w:name="_Toc402362726"/>
            <w:bookmarkStart w:id="79" w:name="_Toc405554792"/>
            <w:bookmarkStart w:id="80" w:name="_Toc458771452"/>
            <w:bookmarkStart w:id="81" w:name="_Toc458771575"/>
            <w:bookmarkStart w:id="82"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3" w:name="_Toc60045904"/>
            <w:bookmarkStart w:id="84"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3"/>
            <w:bookmarkEnd w:id="84"/>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5" w:name="_Toc65157800"/>
      <w:r>
        <w:lastRenderedPageBreak/>
        <w:t>8.1.1.2.1.3</w:t>
      </w:r>
      <w:r>
        <w:tab/>
        <w:t>Non-Spinning Reserve</w:t>
      </w:r>
      <w:bookmarkEnd w:id="75"/>
      <w:bookmarkEnd w:id="76"/>
      <w:r>
        <w:t xml:space="preserve"> Qualification</w:t>
      </w:r>
      <w:bookmarkEnd w:id="77"/>
      <w:bookmarkEnd w:id="78"/>
      <w:bookmarkEnd w:id="79"/>
      <w:bookmarkEnd w:id="80"/>
      <w:bookmarkEnd w:id="81"/>
      <w:bookmarkEnd w:id="82"/>
      <w:bookmarkEnd w:id="85"/>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34F8E1D7" w:rsidR="00581280" w:rsidRDefault="000963FF" w:rsidP="0054605E">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349D526F" w:rsidR="007956CD" w:rsidRDefault="007956CD" w:rsidP="00C20CCB">
            <w:pPr>
              <w:pStyle w:val="Instructions"/>
              <w:spacing w:before="120"/>
              <w:ind w:left="0" w:firstLine="0"/>
            </w:pPr>
            <w:bookmarkStart w:id="86" w:name="_Toc141777774"/>
            <w:bookmarkStart w:id="87" w:name="_Toc203961355"/>
            <w:bookmarkStart w:id="88" w:name="_Toc400968479"/>
            <w:bookmarkStart w:id="89" w:name="_Toc402362727"/>
            <w:bookmarkStart w:id="90" w:name="_Toc405554793"/>
            <w:bookmarkStart w:id="91" w:name="_Toc458771453"/>
            <w:bookmarkStart w:id="92" w:name="_Toc458771576"/>
            <w:bookmarkStart w:id="93" w:name="_Toc460939755"/>
            <w:r>
              <w:t>[NPRR1011</w:t>
            </w:r>
            <w:r w:rsidR="0054605E">
              <w:t xml:space="preserve"> and NPRR1093</w:t>
            </w:r>
            <w:r>
              <w:t xml:space="preserve">:  Replace </w:t>
            </w:r>
            <w:r w:rsidR="0054605E">
              <w:t xml:space="preserve">applicable portions of </w:t>
            </w:r>
            <w:r>
              <w:t>Section 8.1.1.2.1.3 above with the following upon system implementation of the Real-Time Co-Optimization (RTC) project</w:t>
            </w:r>
            <w:r w:rsidR="0054605E">
              <w:t xml:space="preserve"> for NPRR1011; or upon system implementation for NPRR1093</w:t>
            </w:r>
            <w:r>
              <w: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4" w:name="_Toc60045906"/>
            <w:bookmarkStart w:id="95" w:name="_Toc65157801"/>
            <w:r w:rsidRPr="00497B63">
              <w:rPr>
                <w:b/>
                <w:bCs/>
                <w:szCs w:val="22"/>
              </w:rPr>
              <w:t>8.1.1.2.1.3</w:t>
            </w:r>
            <w:r w:rsidRPr="00497B63">
              <w:rPr>
                <w:b/>
                <w:bCs/>
                <w:szCs w:val="22"/>
              </w:rPr>
              <w:tab/>
              <w:t>Non-Spinning Reserve Qualification</w:t>
            </w:r>
            <w:bookmarkEnd w:id="94"/>
            <w:bookmarkEnd w:id="95"/>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6" w:name="_Toc65157802"/>
      <w:r>
        <w:lastRenderedPageBreak/>
        <w:t>8.1.1.2.1.4</w:t>
      </w:r>
      <w:r>
        <w:tab/>
        <w:t xml:space="preserve">Voltage Support Service </w:t>
      </w:r>
      <w:bookmarkEnd w:id="86"/>
      <w:bookmarkEnd w:id="87"/>
      <w:r>
        <w:t>Qualification</w:t>
      </w:r>
      <w:bookmarkEnd w:id="88"/>
      <w:bookmarkEnd w:id="89"/>
      <w:bookmarkEnd w:id="90"/>
      <w:bookmarkEnd w:id="91"/>
      <w:bookmarkEnd w:id="92"/>
      <w:bookmarkEnd w:id="93"/>
      <w:bookmarkEnd w:id="96"/>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w:t>
            </w:r>
            <w:r w:rsidRPr="00CF206C">
              <w:lastRenderedPageBreak/>
              <w:t xml:space="preserve">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7" w:name="_Toc141777775"/>
      <w:bookmarkStart w:id="98" w:name="_Toc203961356"/>
      <w:bookmarkStart w:id="99" w:name="_Toc400968480"/>
      <w:bookmarkStart w:id="100" w:name="_Toc402362728"/>
      <w:bookmarkStart w:id="101" w:name="_Toc405554794"/>
      <w:bookmarkStart w:id="102" w:name="_Toc458771455"/>
      <w:bookmarkStart w:id="103" w:name="_Toc458771578"/>
      <w:bookmarkStart w:id="104" w:name="_Toc460939757"/>
      <w:bookmarkStart w:id="105" w:name="_Toc65157803"/>
      <w:r>
        <w:lastRenderedPageBreak/>
        <w:t>8.1.1.2.1.5</w:t>
      </w:r>
      <w:r>
        <w:tab/>
        <w:t>System Black Start Capability</w:t>
      </w:r>
      <w:bookmarkEnd w:id="97"/>
      <w:bookmarkEnd w:id="98"/>
      <w:r>
        <w:t xml:space="preserve"> Qualification</w:t>
      </w:r>
      <w:r w:rsidR="009F757F">
        <w:t xml:space="preserve"> and Testing</w:t>
      </w:r>
      <w:bookmarkEnd w:id="99"/>
      <w:bookmarkEnd w:id="100"/>
      <w:bookmarkEnd w:id="101"/>
      <w:bookmarkEnd w:id="102"/>
      <w:bookmarkEnd w:id="103"/>
      <w:bookmarkEnd w:id="104"/>
      <w:bookmarkEnd w:id="105"/>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(i)</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r>
        <w:t>(vi)</w:t>
      </w:r>
      <w:r>
        <w:tab/>
      </w:r>
      <w:r>
        <w:rPr>
          <w:szCs w:val="24"/>
        </w:rPr>
        <w:t>This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r>
        <w:rPr>
          <w:szCs w:val="24"/>
        </w:rPr>
        <w:t>(i</w:t>
      </w:r>
      <w:r w:rsidR="00647D65">
        <w:rPr>
          <w:szCs w:val="24"/>
        </w:rPr>
        <w:t>v</w:t>
      </w:r>
      <w:r>
        <w:rPr>
          <w:szCs w:val="24"/>
        </w:rPr>
        <w:t>)</w:t>
      </w:r>
      <w:r>
        <w:rPr>
          <w:szCs w:val="24"/>
        </w:rPr>
        <w:tab/>
        <w:t xml:space="preserve">If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486636">
        <w:tc>
          <w:tcPr>
            <w:tcW w:w="9576" w:type="dxa"/>
            <w:shd w:val="clear" w:color="auto" w:fill="E0E0E0"/>
          </w:tcPr>
          <w:p w14:paraId="1B2AA8E0" w14:textId="6BD4DCC7" w:rsidR="00452059" w:rsidRDefault="00452059" w:rsidP="00486636">
            <w:pPr>
              <w:pStyle w:val="Instructions"/>
              <w:spacing w:before="120"/>
              <w:ind w:left="0" w:firstLine="0"/>
            </w:pPr>
            <w:bookmarkStart w:id="106" w:name="_Toc141777776"/>
            <w:bookmarkStart w:id="107" w:name="_Toc203961357"/>
            <w:bookmarkStart w:id="108" w:name="_Toc400968483"/>
            <w:bookmarkStart w:id="109" w:name="_Toc402362731"/>
            <w:bookmarkStart w:id="110" w:name="_Toc405554797"/>
            <w:bookmarkStart w:id="111" w:name="_Toc458771456"/>
            <w:bookmarkStart w:id="112" w:name="_Toc458771579"/>
            <w:bookmarkStart w:id="113"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4" w:name="_Toc65157804"/>
            <w:r w:rsidRPr="0003648D">
              <w:lastRenderedPageBreak/>
              <w:t>8.1.1.2.1.6</w:t>
            </w:r>
            <w:r w:rsidRPr="0003648D">
              <w:tab/>
            </w:r>
            <w:r>
              <w:t>ERCOT Contingency Reserve Service</w:t>
            </w:r>
            <w:r w:rsidRPr="0003648D">
              <w:t xml:space="preserve"> Qualification</w:t>
            </w:r>
            <w:bookmarkEnd w:id="114"/>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lastRenderedPageBreak/>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1DE5291" w14:textId="77777777" w:rsidR="00581280" w:rsidRPr="00EB6A56" w:rsidRDefault="000963FF" w:rsidP="00612850">
      <w:pPr>
        <w:pStyle w:val="H4"/>
        <w:spacing w:before="480"/>
        <w:ind w:left="1267" w:hanging="1267"/>
        <w:rPr>
          <w:b/>
        </w:rPr>
      </w:pPr>
      <w:bookmarkStart w:id="115" w:name="_Toc65157805"/>
      <w:r w:rsidRPr="00EB6A56">
        <w:rPr>
          <w:b/>
        </w:rPr>
        <w:lastRenderedPageBreak/>
        <w:t>8.1.1.3</w:t>
      </w:r>
      <w:r w:rsidRPr="00EB6A56">
        <w:rPr>
          <w:b/>
        </w:rPr>
        <w:tab/>
        <w:t>Ancillary Service Capacity Compliance Criteria</w:t>
      </w:r>
      <w:bookmarkEnd w:id="106"/>
      <w:bookmarkEnd w:id="107"/>
      <w:bookmarkEnd w:id="108"/>
      <w:bookmarkEnd w:id="109"/>
      <w:bookmarkEnd w:id="110"/>
      <w:bookmarkEnd w:id="111"/>
      <w:bookmarkEnd w:id="112"/>
      <w:bookmarkEnd w:id="113"/>
      <w:bookmarkEnd w:id="115"/>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16" w:name="_Toc141777777"/>
            <w:bookmarkStart w:id="117" w:name="_Toc203961358"/>
            <w:bookmarkStart w:id="118" w:name="_Toc400968484"/>
            <w:bookmarkStart w:id="119" w:name="_Toc402362732"/>
            <w:bookmarkStart w:id="120" w:name="_Toc405554798"/>
            <w:bookmarkStart w:id="121" w:name="_Toc458771457"/>
            <w:bookmarkStart w:id="122" w:name="_Toc458771580"/>
            <w:bookmarkStart w:id="123"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24" w:name="_Toc65157806"/>
            <w:r w:rsidRPr="00D11044">
              <w:rPr>
                <w:b/>
              </w:rPr>
              <w:t>8.1.1.3</w:t>
            </w:r>
            <w:r w:rsidRPr="00D11044">
              <w:rPr>
                <w:b/>
              </w:rPr>
              <w:tab/>
              <w:t>Ancillary Service Capacity Compliance Criteria</w:t>
            </w:r>
            <w:bookmarkEnd w:id="124"/>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25" w:name="_Toc65157807"/>
      <w:r w:rsidRPr="00EB6A56">
        <w:rPr>
          <w:b/>
        </w:rPr>
        <w:lastRenderedPageBreak/>
        <w:t>8.1.1.3.1</w:t>
      </w:r>
      <w:r w:rsidRPr="00EB6A56">
        <w:rPr>
          <w:b/>
        </w:rPr>
        <w:tab/>
        <w:t>Regulation Service Capacity Monitoring Criteria</w:t>
      </w:r>
      <w:bookmarkEnd w:id="116"/>
      <w:bookmarkEnd w:id="117"/>
      <w:bookmarkEnd w:id="118"/>
      <w:bookmarkEnd w:id="119"/>
      <w:bookmarkEnd w:id="120"/>
      <w:bookmarkEnd w:id="121"/>
      <w:bookmarkEnd w:id="122"/>
      <w:bookmarkEnd w:id="123"/>
      <w:bookmarkEnd w:id="125"/>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26" w:name="_Toc141777778"/>
            <w:bookmarkStart w:id="127" w:name="_Toc203961359"/>
            <w:bookmarkStart w:id="128" w:name="_Toc400968485"/>
            <w:bookmarkStart w:id="129" w:name="_Toc402362733"/>
            <w:bookmarkStart w:id="130" w:name="_Toc405554799"/>
            <w:bookmarkStart w:id="131" w:name="_Toc458771458"/>
            <w:bookmarkStart w:id="132" w:name="_Toc458771581"/>
            <w:bookmarkStart w:id="133"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34" w:name="_Toc65157808"/>
      <w:r w:rsidRPr="00EB6A56">
        <w:rPr>
          <w:b/>
        </w:rPr>
        <w:lastRenderedPageBreak/>
        <w:t>8.1.1.3.2</w:t>
      </w:r>
      <w:r w:rsidRPr="00EB6A56">
        <w:rPr>
          <w:b/>
        </w:rPr>
        <w:tab/>
        <w:t>Responsive Reserve Capacity Monitoring Criteria</w:t>
      </w:r>
      <w:bookmarkEnd w:id="126"/>
      <w:bookmarkEnd w:id="127"/>
      <w:bookmarkEnd w:id="128"/>
      <w:bookmarkEnd w:id="129"/>
      <w:bookmarkEnd w:id="130"/>
      <w:bookmarkEnd w:id="131"/>
      <w:bookmarkEnd w:id="132"/>
      <w:bookmarkEnd w:id="133"/>
      <w:bookmarkEnd w:id="134"/>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35" w:name="_Toc141777779"/>
            <w:bookmarkStart w:id="136" w:name="_Toc203961360"/>
            <w:bookmarkStart w:id="137" w:name="_Toc400968486"/>
            <w:bookmarkStart w:id="138" w:name="_Toc402362734"/>
            <w:bookmarkStart w:id="139" w:name="_Toc405554800"/>
            <w:bookmarkStart w:id="140" w:name="_Toc458771459"/>
            <w:bookmarkStart w:id="141" w:name="_Toc458771582"/>
            <w:bookmarkStart w:id="142"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3" w:name="_Toc65157809"/>
            <w:r w:rsidRPr="00497B63">
              <w:rPr>
                <w:b/>
                <w:szCs w:val="26"/>
              </w:rPr>
              <w:t>8.1.1.3.2</w:t>
            </w:r>
            <w:r w:rsidRPr="00497B63">
              <w:rPr>
                <w:b/>
                <w:szCs w:val="26"/>
              </w:rPr>
              <w:tab/>
              <w:t>Responsive Reserve Capacity Monitoring Criteria</w:t>
            </w:r>
            <w:bookmarkEnd w:id="143"/>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44" w:name="_Toc65157810"/>
      <w:r w:rsidRPr="00EB6A56">
        <w:rPr>
          <w:b/>
        </w:rPr>
        <w:lastRenderedPageBreak/>
        <w:t>8.1.1.3.3</w:t>
      </w:r>
      <w:r w:rsidRPr="00EB6A56">
        <w:rPr>
          <w:b/>
        </w:rPr>
        <w:tab/>
        <w:t>Non-Spinning Reserve Capacity Monitoring Criteria</w:t>
      </w:r>
      <w:bookmarkEnd w:id="135"/>
      <w:bookmarkEnd w:id="136"/>
      <w:bookmarkEnd w:id="137"/>
      <w:bookmarkEnd w:id="138"/>
      <w:bookmarkEnd w:id="139"/>
      <w:bookmarkEnd w:id="140"/>
      <w:bookmarkEnd w:id="141"/>
      <w:bookmarkEnd w:id="142"/>
      <w:bookmarkEnd w:id="144"/>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45" w:name="_Toc141777780"/>
            <w:bookmarkStart w:id="146" w:name="_Toc203961361"/>
            <w:bookmarkStart w:id="147" w:name="_Toc400968487"/>
            <w:bookmarkStart w:id="148" w:name="_Toc402362735"/>
            <w:bookmarkStart w:id="149" w:name="_Toc405554801"/>
            <w:bookmarkStart w:id="150" w:name="_Toc458771460"/>
            <w:bookmarkStart w:id="151" w:name="_Toc458771583"/>
            <w:bookmarkStart w:id="152"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3"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3"/>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lastRenderedPageBreak/>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54"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5"/>
      <w:bookmarkEnd w:id="146"/>
      <w:bookmarkEnd w:id="147"/>
      <w:bookmarkEnd w:id="148"/>
      <w:bookmarkEnd w:id="149"/>
      <w:bookmarkEnd w:id="150"/>
      <w:bookmarkEnd w:id="151"/>
      <w:bookmarkEnd w:id="152"/>
      <w:bookmarkEnd w:id="154"/>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55" w:name="_Toc141777781"/>
      <w:bookmarkStart w:id="156" w:name="_Toc203961362"/>
      <w:bookmarkStart w:id="157" w:name="_Toc400968488"/>
      <w:bookmarkStart w:id="158" w:name="_Toc402362736"/>
      <w:bookmarkStart w:id="159" w:name="_Toc405554802"/>
      <w:bookmarkStart w:id="160" w:name="_Toc458771461"/>
      <w:bookmarkStart w:id="161" w:name="_Toc458771584"/>
      <w:bookmarkStart w:id="162" w:name="_Toc460939763"/>
      <w:bookmarkStart w:id="163"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55"/>
      <w:bookmarkEnd w:id="156"/>
      <w:r w:rsidRPr="00EB6A56">
        <w:rPr>
          <w:b/>
        </w:rPr>
        <w:t>Performance</w:t>
      </w:r>
      <w:bookmarkEnd w:id="157"/>
      <w:bookmarkEnd w:id="158"/>
      <w:bookmarkEnd w:id="159"/>
      <w:bookmarkEnd w:id="160"/>
      <w:bookmarkEnd w:id="161"/>
      <w:bookmarkEnd w:id="162"/>
      <w:bookmarkEnd w:id="163"/>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lastRenderedPageBreak/>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lastRenderedPageBreak/>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lastRenderedPageBreak/>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lastRenderedPageBreak/>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lastRenderedPageBreak/>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lastRenderedPageBreak/>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w:t>
      </w:r>
      <w:r w:rsidR="0018536A" w:rsidRPr="006945A2">
        <w:lastRenderedPageBreak/>
        <w:t xml:space="preserve">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w:t>
      </w:r>
      <w:r w:rsidR="00313644">
        <w:lastRenderedPageBreak/>
        <w:t>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w:t>
      </w:r>
      <w:r w:rsidRPr="00180221">
        <w:lastRenderedPageBreak/>
        <w:t>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8F1FDF8" w:rsidR="00365E28" w:rsidRDefault="00365E28" w:rsidP="00C20CCB">
            <w:pPr>
              <w:pStyle w:val="Instructions"/>
              <w:spacing w:before="120"/>
              <w:ind w:left="0" w:firstLine="0"/>
            </w:pPr>
            <w:bookmarkStart w:id="164" w:name="_Toc141777782"/>
            <w:bookmarkStart w:id="165" w:name="_Toc203961363"/>
            <w:bookmarkStart w:id="166" w:name="_Toc400968489"/>
            <w:bookmarkStart w:id="167" w:name="_Toc402362737"/>
            <w:bookmarkStart w:id="168" w:name="_Toc405554803"/>
            <w:bookmarkStart w:id="169" w:name="_Toc458771462"/>
            <w:bookmarkStart w:id="170" w:name="_Toc458771585"/>
            <w:bookmarkStart w:id="171" w:name="_Toc460939764"/>
            <w:r>
              <w:t>[NPRR863, NPRR879, NPRR963, NPRR965, NPRR1000, NPRR1011</w:t>
            </w:r>
            <w:r w:rsidR="00F62B5E">
              <w:t xml:space="preserve">, </w:t>
            </w:r>
            <w:r w:rsidR="00852AD7">
              <w:t xml:space="preserve">NPRR1014, </w:t>
            </w:r>
            <w:r w:rsidR="00F62B5E">
              <w:t>NPRR1029</w:t>
            </w:r>
            <w:r w:rsidR="00B26658">
              <w:t>, and NPRR1040</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or upon system implementation of NPRR1000 for NPRR1046</w:t>
            </w:r>
            <w:r>
              <w:t>:]</w:t>
            </w:r>
          </w:p>
          <w:p w14:paraId="67E824F7" w14:textId="75CCE34A" w:rsidR="00365E28" w:rsidRDefault="00365E28" w:rsidP="00C20CCB">
            <w:pPr>
              <w:pStyle w:val="H5"/>
              <w:rPr>
                <w:b/>
              </w:rPr>
            </w:pPr>
            <w:bookmarkStart w:id="172" w:name="_Toc60045918"/>
            <w:bookmarkStart w:id="173"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2"/>
            <w:r w:rsidR="00B26658" w:rsidRPr="00B26658">
              <w:rPr>
                <w:b/>
              </w:rPr>
              <w:t>, and Ancillary Service Capacity Performance Metrics</w:t>
            </w:r>
            <w:bookmarkEnd w:id="173"/>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77777777" w:rsidR="00260984" w:rsidRPr="00497B63" w:rsidRDefault="00260984" w:rsidP="00260984">
            <w:pPr>
              <w:spacing w:after="240"/>
              <w:ind w:left="1440"/>
              <w:rPr>
                <w:b/>
                <w:iCs/>
              </w:rPr>
            </w:pPr>
            <w:r w:rsidRPr="00497B63">
              <w:rPr>
                <w:b/>
                <w:iCs/>
              </w:rPr>
              <w:t>GREDP (MW) = ABS(ATG – AEPFR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w:t>
            </w:r>
            <w:r w:rsidRPr="00497B63">
              <w:rPr>
                <w:iCs/>
              </w:rPr>
              <w:lastRenderedPageBreak/>
              <w:t xml:space="preserve">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77777777"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017F21EA"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77777777"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77777777"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13296BEF"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w:t>
            </w:r>
            <w:r w:rsidRPr="00E10CD4">
              <w:rPr>
                <w:iCs/>
              </w:rPr>
              <w:lastRenderedPageBreak/>
              <w:t xml:space="preserve">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74" w:name="_Toc65157815"/>
      <w:r w:rsidRPr="00EB6A56">
        <w:rPr>
          <w:b/>
        </w:rPr>
        <w:lastRenderedPageBreak/>
        <w:t>8.1.1.4.2</w:t>
      </w:r>
      <w:r w:rsidRPr="00EB6A56">
        <w:rPr>
          <w:b/>
        </w:rPr>
        <w:tab/>
        <w:t>Responsive Reserve Energy Deployment Criteria</w:t>
      </w:r>
      <w:bookmarkEnd w:id="164"/>
      <w:bookmarkEnd w:id="165"/>
      <w:bookmarkEnd w:id="166"/>
      <w:bookmarkEnd w:id="167"/>
      <w:bookmarkEnd w:id="168"/>
      <w:bookmarkEnd w:id="169"/>
      <w:bookmarkEnd w:id="170"/>
      <w:bookmarkEnd w:id="171"/>
      <w:bookmarkEnd w:id="174"/>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lastRenderedPageBreak/>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w:t>
      </w:r>
      <w:r w:rsidRPr="0003648D">
        <w:lastRenderedPageBreak/>
        <w:t xml:space="preserve">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75" w:name="_Toc400968490"/>
            <w:bookmarkStart w:id="176" w:name="_Toc402362738"/>
            <w:bookmarkStart w:id="177" w:name="_Toc405554804"/>
            <w:bookmarkStart w:id="178" w:name="_Toc458771463"/>
            <w:bookmarkStart w:id="179" w:name="_Toc458771586"/>
            <w:bookmarkStart w:id="180"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1" w:name="_Toc60045920"/>
            <w:bookmarkStart w:id="182" w:name="_Toc65157816"/>
            <w:r w:rsidRPr="00497B63">
              <w:rPr>
                <w:b/>
                <w:szCs w:val="26"/>
              </w:rPr>
              <w:t>8.1.1.4.2</w:t>
            </w:r>
            <w:r w:rsidRPr="00497B63">
              <w:rPr>
                <w:b/>
                <w:szCs w:val="26"/>
              </w:rPr>
              <w:tab/>
              <w:t>Responsive Reserve Energy Deployment Criteria</w:t>
            </w:r>
            <w:bookmarkEnd w:id="181"/>
            <w:bookmarkEnd w:id="182"/>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lastRenderedPageBreak/>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3" w:name="_Toc65157817"/>
      <w:r w:rsidRPr="00EB6A56">
        <w:rPr>
          <w:b/>
        </w:rPr>
        <w:lastRenderedPageBreak/>
        <w:t>8.1.1.4.3</w:t>
      </w:r>
      <w:r w:rsidRPr="00EB6A56">
        <w:rPr>
          <w:b/>
        </w:rPr>
        <w:tab/>
        <w:t>Non-Spinning Reserve Service Energy Deployment Criteria</w:t>
      </w:r>
      <w:bookmarkEnd w:id="175"/>
      <w:bookmarkEnd w:id="176"/>
      <w:bookmarkEnd w:id="177"/>
      <w:bookmarkEnd w:id="178"/>
      <w:bookmarkEnd w:id="179"/>
      <w:bookmarkEnd w:id="180"/>
      <w:bookmarkEnd w:id="183"/>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lastRenderedPageBreak/>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7A1A4685" w:rsidR="00C07D55" w:rsidRDefault="00C07D55" w:rsidP="00C20CCB">
            <w:pPr>
              <w:pStyle w:val="Instructions"/>
              <w:spacing w:before="120"/>
              <w:ind w:left="0" w:firstLine="0"/>
            </w:pPr>
            <w:r>
              <w:t>[NPRR1011</w:t>
            </w:r>
            <w:r w:rsidR="0054605E">
              <w:t xml:space="preserve"> and NPRR1093</w:t>
            </w:r>
            <w:r>
              <w:t xml:space="preserve">:  Replace </w:t>
            </w:r>
            <w:r w:rsidR="0054605E">
              <w:t xml:space="preserve">applicable portions of </w:t>
            </w:r>
            <w:r>
              <w:t>Section 8.1.1.4.3 above with the following upon system implementation of the Real-Time Co-Optimization (RTC) project</w:t>
            </w:r>
            <w:r w:rsidR="0054605E">
              <w:t xml:space="preserve"> for NPRR1011; or upon system implementation for NPRR1093</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84" w:name="_Toc60045922"/>
            <w:bookmarkStart w:id="185" w:name="_Toc65157818"/>
            <w:r w:rsidRPr="00497B63">
              <w:rPr>
                <w:b/>
                <w:szCs w:val="26"/>
              </w:rPr>
              <w:t>8.1.1.4.3</w:t>
            </w:r>
            <w:r w:rsidRPr="00497B63">
              <w:rPr>
                <w:b/>
                <w:szCs w:val="26"/>
              </w:rPr>
              <w:tab/>
              <w:t>Non-Spinning Reserve Service Energy Deployment Criteria</w:t>
            </w:r>
            <w:bookmarkEnd w:id="184"/>
            <w:bookmarkEnd w:id="185"/>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lastRenderedPageBreak/>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w:t>
            </w:r>
            <w:r w:rsidRPr="0003648D">
              <w:lastRenderedPageBreak/>
              <w:t xml:space="preserve">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86" w:name="_Toc400968493"/>
            <w:bookmarkStart w:id="187" w:name="_Toc402362741"/>
            <w:bookmarkStart w:id="188" w:name="_Toc405554807"/>
            <w:bookmarkStart w:id="189" w:name="_Toc458771464"/>
            <w:bookmarkStart w:id="190" w:name="_Toc458771587"/>
            <w:bookmarkStart w:id="191"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2"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2"/>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lastRenderedPageBreak/>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3" w:name="_Toc65157820"/>
      <w:r>
        <w:lastRenderedPageBreak/>
        <w:t>8.1.2</w:t>
      </w:r>
      <w:r>
        <w:tab/>
        <w:t>Current Operating Plan (COP) Performance Requirements</w:t>
      </w:r>
      <w:bookmarkEnd w:id="186"/>
      <w:bookmarkEnd w:id="187"/>
      <w:bookmarkEnd w:id="188"/>
      <w:bookmarkEnd w:id="189"/>
      <w:bookmarkEnd w:id="190"/>
      <w:bookmarkEnd w:id="191"/>
      <w:bookmarkEnd w:id="193"/>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lastRenderedPageBreak/>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194" w:name="_Toc400968494"/>
      <w:bookmarkStart w:id="195" w:name="_Toc402362742"/>
      <w:bookmarkStart w:id="196" w:name="_Toc405554808"/>
      <w:bookmarkStart w:id="197" w:name="_Toc458771465"/>
      <w:bookmarkStart w:id="198" w:name="_Toc458771588"/>
      <w:bookmarkStart w:id="199" w:name="_Toc460939767"/>
      <w:bookmarkStart w:id="200" w:name="_Toc65157821"/>
      <w:bookmarkStart w:id="201" w:name="_Toc203961366"/>
      <w:r w:rsidRPr="00C83EFD">
        <w:rPr>
          <w:b/>
          <w:bCs/>
          <w:i/>
        </w:rPr>
        <w:t>8.1.3</w:t>
      </w:r>
      <w:r w:rsidRPr="00C83EFD">
        <w:rPr>
          <w:b/>
          <w:bCs/>
          <w:i/>
        </w:rPr>
        <w:tab/>
        <w:t>Emergency Response Service Performance and Testing</w:t>
      </w:r>
      <w:bookmarkEnd w:id="194"/>
      <w:bookmarkEnd w:id="195"/>
      <w:bookmarkEnd w:id="196"/>
      <w:bookmarkEnd w:id="197"/>
      <w:bookmarkEnd w:id="198"/>
      <w:bookmarkEnd w:id="199"/>
      <w:bookmarkEnd w:id="200"/>
    </w:p>
    <w:p w14:paraId="60F7B7BE" w14:textId="77777777" w:rsidR="00FD224B" w:rsidRPr="00801B63" w:rsidRDefault="00801B63" w:rsidP="005009BA">
      <w:pPr>
        <w:pStyle w:val="BodyTextNumbered"/>
        <w:widowControl w:val="0"/>
        <w:rPr>
          <w:iCs w:val="0"/>
        </w:rPr>
      </w:pPr>
      <w:bookmarkStart w:id="202" w:name="_Toc326126978"/>
      <w:bookmarkStart w:id="203" w:name="_Toc328122005"/>
      <w:bookmarkStart w:id="204" w:name="_Toc331567377"/>
      <w:bookmarkStart w:id="205" w:name="_Toc333407320"/>
      <w:bookmarkStart w:id="206"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1"/>
      <w:bookmarkEnd w:id="202"/>
      <w:bookmarkEnd w:id="203"/>
      <w:bookmarkEnd w:id="204"/>
      <w:bookmarkEnd w:id="205"/>
      <w:bookmarkEnd w:id="206"/>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07" w:name="_Toc400968495"/>
      <w:bookmarkStart w:id="208" w:name="_Toc402362743"/>
      <w:bookmarkStart w:id="209" w:name="_Toc405554809"/>
      <w:bookmarkStart w:id="210" w:name="_Toc458771466"/>
      <w:bookmarkStart w:id="211" w:name="_Toc458771589"/>
      <w:bookmarkStart w:id="212" w:name="_Toc460939768"/>
      <w:bookmarkStart w:id="213" w:name="_Toc65157822"/>
      <w:bookmarkStart w:id="214" w:name="_Toc203961367"/>
      <w:r w:rsidRPr="003E32DD">
        <w:rPr>
          <w:b/>
          <w:bCs/>
          <w:snapToGrid w:val="0"/>
        </w:rPr>
        <w:t>8.1.3.1</w:t>
      </w:r>
      <w:r w:rsidRPr="003E32DD">
        <w:rPr>
          <w:b/>
          <w:bCs/>
          <w:snapToGrid w:val="0"/>
        </w:rPr>
        <w:tab/>
        <w:t>Performance Criteria for Emergency Response Service Resources</w:t>
      </w:r>
      <w:bookmarkEnd w:id="207"/>
      <w:bookmarkEnd w:id="208"/>
      <w:bookmarkEnd w:id="209"/>
      <w:bookmarkEnd w:id="210"/>
      <w:bookmarkEnd w:id="211"/>
      <w:bookmarkEnd w:id="212"/>
      <w:bookmarkEnd w:id="213"/>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15" w:name="_Toc326126980"/>
      <w:bookmarkStart w:id="216" w:name="_Toc328122007"/>
      <w:bookmarkStart w:id="217" w:name="_Toc331567379"/>
      <w:bookmarkStart w:id="218" w:name="_Toc333407322"/>
      <w:bookmarkStart w:id="219" w:name="_Toc341692935"/>
      <w:bookmarkStart w:id="220" w:name="_Toc367966976"/>
      <w:bookmarkStart w:id="221" w:name="_Toc378573851"/>
      <w:bookmarkStart w:id="222" w:name="_Toc378573933"/>
      <w:r w:rsidRPr="00AA5201">
        <w:rPr>
          <w:iCs/>
        </w:rPr>
        <w:t>(c)</w:t>
      </w:r>
      <w:r w:rsidRPr="00AA5201">
        <w:rPr>
          <w:iCs/>
        </w:rPr>
        <w:tab/>
        <w:t>To measure and verify the ERS Resource’s performance, as compared to its contracted capacity, during an ERS deployment event or test.</w:t>
      </w:r>
      <w:bookmarkEnd w:id="214"/>
      <w:bookmarkEnd w:id="215"/>
      <w:bookmarkEnd w:id="216"/>
      <w:bookmarkEnd w:id="217"/>
      <w:bookmarkEnd w:id="218"/>
      <w:bookmarkEnd w:id="219"/>
      <w:bookmarkEnd w:id="220"/>
      <w:bookmarkEnd w:id="221"/>
      <w:bookmarkEnd w:id="222"/>
    </w:p>
    <w:p w14:paraId="28131645" w14:textId="77777777" w:rsidR="00FD224B" w:rsidRPr="00EB6A56" w:rsidRDefault="005A4B0A" w:rsidP="00F129AA">
      <w:pPr>
        <w:pStyle w:val="H5"/>
        <w:ind w:left="1627" w:hanging="1627"/>
        <w:rPr>
          <w:b/>
        </w:rPr>
      </w:pPr>
      <w:bookmarkStart w:id="223" w:name="_Toc400968496"/>
      <w:bookmarkStart w:id="224" w:name="_Toc402362744"/>
      <w:bookmarkStart w:id="225" w:name="_Toc405554810"/>
      <w:bookmarkStart w:id="226" w:name="_Toc458771467"/>
      <w:bookmarkStart w:id="227" w:name="_Toc458771590"/>
      <w:bookmarkStart w:id="228" w:name="_Toc460939769"/>
      <w:bookmarkStart w:id="229" w:name="_Toc65157823"/>
      <w:r w:rsidRPr="00EB6A56">
        <w:rPr>
          <w:b/>
        </w:rPr>
        <w:t>8.1.3.1.1</w:t>
      </w:r>
      <w:r w:rsidRPr="00EB6A56">
        <w:rPr>
          <w:b/>
        </w:rPr>
        <w:tab/>
        <w:t>Baseline</w:t>
      </w:r>
      <w:r w:rsidR="00DF03F9">
        <w:rPr>
          <w:b/>
        </w:rPr>
        <w:t>s</w:t>
      </w:r>
      <w:r w:rsidRPr="00EB6A56">
        <w:rPr>
          <w:b/>
        </w:rPr>
        <w:t xml:space="preserve"> for Emergency Response Service Loads</w:t>
      </w:r>
      <w:bookmarkEnd w:id="223"/>
      <w:bookmarkEnd w:id="224"/>
      <w:bookmarkEnd w:id="225"/>
      <w:bookmarkEnd w:id="226"/>
      <w:bookmarkEnd w:id="227"/>
      <w:bookmarkEnd w:id="228"/>
      <w:bookmarkEnd w:id="229"/>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 xml:space="preserve">The “ERS Default Baseline” requires an ERS Load to reduce its Load by its </w:t>
      </w:r>
      <w:r w:rsidRPr="003E32DD">
        <w:rPr>
          <w:iCs/>
        </w:rPr>
        <w:lastRenderedPageBreak/>
        <w:t>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lastRenderedPageBreak/>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w:t>
      </w:r>
      <w:r>
        <w:rPr>
          <w:iCs/>
        </w:rPr>
        <w:lastRenderedPageBreak/>
        <w:t>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0" w:name="_Toc400968497"/>
      <w:bookmarkStart w:id="231" w:name="_Toc402362745"/>
      <w:bookmarkStart w:id="232" w:name="_Toc405554811"/>
      <w:bookmarkStart w:id="233" w:name="_Toc458771468"/>
      <w:bookmarkStart w:id="234" w:name="_Toc458771591"/>
      <w:bookmarkStart w:id="235" w:name="_Toc460939770"/>
      <w:bookmarkStart w:id="236" w:name="_Toc65157824"/>
      <w:r w:rsidRPr="00EB6A56">
        <w:rPr>
          <w:b/>
        </w:rPr>
        <w:t>8.1.3.1.2</w:t>
      </w:r>
      <w:r w:rsidRPr="00EB6A56">
        <w:rPr>
          <w:b/>
        </w:rPr>
        <w:tab/>
        <w:t>Performance Evaluation for Emergency Response Service Generators</w:t>
      </w:r>
      <w:bookmarkEnd w:id="230"/>
      <w:bookmarkEnd w:id="231"/>
      <w:bookmarkEnd w:id="232"/>
      <w:bookmarkEnd w:id="233"/>
      <w:bookmarkEnd w:id="234"/>
      <w:bookmarkEnd w:id="235"/>
      <w:bookmarkEnd w:id="236"/>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lastRenderedPageBreak/>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37" w:name="_Toc400968498"/>
      <w:bookmarkStart w:id="238" w:name="_Toc402362746"/>
      <w:bookmarkStart w:id="239" w:name="_Toc405554812"/>
      <w:bookmarkStart w:id="240" w:name="_Toc458771469"/>
      <w:bookmarkStart w:id="241" w:name="_Toc458771592"/>
      <w:bookmarkStart w:id="242" w:name="_Toc460939771"/>
      <w:bookmarkStart w:id="243" w:name="_Toc65157825"/>
      <w:r w:rsidRPr="00EB6A56">
        <w:rPr>
          <w:b/>
        </w:rPr>
        <w:lastRenderedPageBreak/>
        <w:t>8.1.3.1.3</w:t>
      </w:r>
      <w:r w:rsidRPr="00EB6A56">
        <w:rPr>
          <w:b/>
        </w:rPr>
        <w:tab/>
        <w:t>Availability Criteria for Emergency Response Service Resources</w:t>
      </w:r>
      <w:bookmarkEnd w:id="237"/>
      <w:bookmarkEnd w:id="238"/>
      <w:bookmarkEnd w:id="239"/>
      <w:bookmarkEnd w:id="240"/>
      <w:bookmarkEnd w:id="241"/>
      <w:bookmarkEnd w:id="242"/>
      <w:bookmarkEnd w:id="243"/>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44" w:name="_Toc400968499"/>
      <w:bookmarkStart w:id="245" w:name="_Toc402362747"/>
      <w:bookmarkStart w:id="246" w:name="_Toc405554813"/>
      <w:bookmarkStart w:id="247" w:name="_Toc458771470"/>
      <w:bookmarkStart w:id="248" w:name="_Toc458771593"/>
      <w:bookmarkStart w:id="249" w:name="_Toc460939772"/>
      <w:bookmarkStart w:id="250" w:name="_Toc65157826"/>
      <w:bookmarkStart w:id="251" w:name="_Hlk88554290"/>
      <w:r w:rsidRPr="00C83EFD">
        <w:t>8.1.3.1.3.1</w:t>
      </w:r>
      <w:r w:rsidRPr="00C83EFD">
        <w:tab/>
        <w:t>Time Period Availability Calculations for Emergency Response Service Loads</w:t>
      </w:r>
      <w:bookmarkEnd w:id="244"/>
      <w:bookmarkEnd w:id="245"/>
      <w:bookmarkEnd w:id="246"/>
      <w:bookmarkEnd w:id="247"/>
      <w:bookmarkEnd w:id="248"/>
      <w:bookmarkEnd w:id="249"/>
      <w:bookmarkEnd w:id="250"/>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52" w:name="_Toc400968500"/>
      <w:bookmarkStart w:id="253" w:name="_Toc402362748"/>
      <w:bookmarkStart w:id="254" w:name="_Toc405554814"/>
      <w:bookmarkStart w:id="255" w:name="_Toc458771472"/>
      <w:bookmarkStart w:id="256" w:name="_Toc458771595"/>
      <w:bookmarkStart w:id="257" w:name="_Toc460939773"/>
      <w:bookmarkStart w:id="258" w:name="_Toc65157827"/>
      <w:r w:rsidRPr="00C83EFD">
        <w:t>8.1.3.1.3.2</w:t>
      </w:r>
      <w:r w:rsidRPr="00C83EFD">
        <w:tab/>
        <w:t>Time Period Availability Calculations for Emergency Response Service Generators</w:t>
      </w:r>
      <w:bookmarkEnd w:id="252"/>
      <w:bookmarkEnd w:id="253"/>
      <w:bookmarkEnd w:id="254"/>
      <w:bookmarkEnd w:id="255"/>
      <w:bookmarkEnd w:id="256"/>
      <w:bookmarkEnd w:id="257"/>
      <w:bookmarkEnd w:id="258"/>
    </w:p>
    <w:p w14:paraId="653D0CD4" w14:textId="3DC6E1F1" w:rsidR="006D1196" w:rsidRPr="003273EF" w:rsidRDefault="006D1196" w:rsidP="00524FC1">
      <w:pPr>
        <w:spacing w:after="240"/>
        <w:ind w:left="720" w:hanging="720"/>
      </w:pPr>
      <w:bookmarkStart w:id="259" w:name="_Toc458771473"/>
      <w:bookmarkStart w:id="260"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t>
      </w:r>
      <w:r w:rsidRPr="00B36D5A">
        <w:rPr>
          <w:szCs w:val="24"/>
        </w:rPr>
        <w:lastRenderedPageBreak/>
        <w:t xml:space="preserve">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59"/>
      <w:bookmarkEnd w:id="260"/>
    </w:p>
    <w:p w14:paraId="5F8128FA" w14:textId="4AA4598E" w:rsidR="005A4B0A" w:rsidRPr="00C83EFD" w:rsidRDefault="005A4B0A" w:rsidP="00136F95">
      <w:pPr>
        <w:pStyle w:val="H6"/>
        <w:rPr>
          <w:b w:val="0"/>
          <w:bCs w:val="0"/>
        </w:rPr>
      </w:pPr>
      <w:bookmarkStart w:id="261" w:name="_Toc400968501"/>
      <w:bookmarkStart w:id="262" w:name="_Toc402362749"/>
      <w:bookmarkStart w:id="263" w:name="_Toc405554815"/>
      <w:bookmarkStart w:id="264" w:name="_Toc458771474"/>
      <w:bookmarkStart w:id="265" w:name="_Toc458771597"/>
      <w:bookmarkStart w:id="266" w:name="_Toc460939774"/>
      <w:bookmarkStart w:id="267" w:name="_Toc65157828"/>
      <w:r w:rsidRPr="00C83EFD">
        <w:t>8.1.3.1.3.3</w:t>
      </w:r>
      <w:r w:rsidRPr="00C83EFD">
        <w:tab/>
        <w:t>Contract Period Availability Calculations for Emergency Response Service Resources</w:t>
      </w:r>
      <w:bookmarkEnd w:id="261"/>
      <w:bookmarkEnd w:id="262"/>
      <w:bookmarkEnd w:id="263"/>
      <w:bookmarkEnd w:id="264"/>
      <w:bookmarkEnd w:id="265"/>
      <w:bookmarkEnd w:id="266"/>
      <w:bookmarkEnd w:id="267"/>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lastRenderedPageBreak/>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lastRenderedPageBreak/>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68" w:name="_Toc400968502"/>
      <w:bookmarkStart w:id="269" w:name="_Toc402362750"/>
      <w:bookmarkStart w:id="270" w:name="_Toc405554816"/>
      <w:bookmarkStart w:id="271" w:name="_Toc458771475"/>
      <w:bookmarkStart w:id="272" w:name="_Toc458771598"/>
      <w:bookmarkStart w:id="273" w:name="_Toc460939775"/>
      <w:bookmarkStart w:id="274" w:name="_Toc65157829"/>
      <w:r w:rsidRPr="00EB6A56">
        <w:rPr>
          <w:b/>
        </w:rPr>
        <w:t>8.1.3.1.4</w:t>
      </w:r>
      <w:r w:rsidRPr="00EB6A56">
        <w:rPr>
          <w:b/>
        </w:rPr>
        <w:tab/>
        <w:t>Event Performance Criteria for Emergency Response Service Resources</w:t>
      </w:r>
      <w:bookmarkEnd w:id="268"/>
      <w:bookmarkEnd w:id="269"/>
      <w:bookmarkEnd w:id="270"/>
      <w:bookmarkEnd w:id="271"/>
      <w:bookmarkEnd w:id="272"/>
      <w:bookmarkEnd w:id="273"/>
      <w:bookmarkEnd w:id="274"/>
    </w:p>
    <w:p w14:paraId="3EDA0159" w14:textId="77777777" w:rsidR="00C8068A" w:rsidRPr="00AA1B94" w:rsidRDefault="00C8068A" w:rsidP="00C8068A">
      <w:pPr>
        <w:keepNext/>
        <w:widowControl w:val="0"/>
        <w:spacing w:after="240"/>
        <w:ind w:left="720" w:hanging="720"/>
        <w:rPr>
          <w:iCs/>
        </w:rPr>
      </w:pPr>
      <w:bookmarkStart w:id="275" w:name="_Toc326126990"/>
      <w:bookmarkStart w:id="276" w:name="_Toc328122017"/>
      <w:bookmarkStart w:id="277" w:name="_Toc331567389"/>
      <w:bookmarkStart w:id="278" w:name="_Toc333407332"/>
      <w:bookmarkStart w:id="279" w:name="_Toc341692945"/>
      <w:bookmarkStart w:id="280" w:name="_Toc367966986"/>
      <w:bookmarkStart w:id="281" w:name="_Toc378573942"/>
      <w:r w:rsidRPr="00AA1B94">
        <w:rPr>
          <w:iCs/>
        </w:rPr>
        <w:t>(1)</w:t>
      </w:r>
      <w:r w:rsidRPr="00AA1B94">
        <w:rPr>
          <w:iCs/>
        </w:rPr>
        <w:tab/>
        <w:t xml:space="preserve">No later than 45 days after the end of an ERS Standard Contract Term in which one or more ERS deployment events occurred, ERCOT shall provide each QSE representing ERS Resources with an event performance report containing the results of ERCOT’s </w:t>
      </w:r>
      <w:r w:rsidRPr="00AA1B94">
        <w:rPr>
          <w:iCs/>
        </w:rPr>
        <w:lastRenderedPageBreak/>
        <w:t>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lastRenderedPageBreak/>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lastRenderedPageBreak/>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 xml:space="preserve">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w:t>
      </w:r>
      <w:r w:rsidRPr="00894ACB">
        <w:rPr>
          <w:iCs/>
        </w:rPr>
        <w:lastRenderedPageBreak/>
        <w:t>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82" w:name="_Toc400968503"/>
      <w:bookmarkStart w:id="283" w:name="_Toc402362751"/>
      <w:bookmarkStart w:id="284" w:name="_Toc405554817"/>
      <w:bookmarkStart w:id="285" w:name="_Toc458771476"/>
      <w:bookmarkStart w:id="286" w:name="_Toc458771599"/>
      <w:bookmarkStart w:id="287" w:name="_Toc460939776"/>
      <w:bookmarkStart w:id="288" w:name="_Toc203961368"/>
      <w:bookmarkEnd w:id="275"/>
      <w:bookmarkEnd w:id="276"/>
      <w:bookmarkEnd w:id="277"/>
      <w:bookmarkEnd w:id="278"/>
      <w:bookmarkEnd w:id="279"/>
      <w:bookmarkEnd w:id="280"/>
      <w:bookmarkEnd w:id="281"/>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89" w:name="_Toc65157830"/>
      <w:bookmarkStart w:id="290" w:name="_Hlk86304862"/>
      <w:r w:rsidRPr="00C83EFD">
        <w:rPr>
          <w:b/>
          <w:bCs/>
          <w:snapToGrid w:val="0"/>
        </w:rPr>
        <w:t>8.1.3.2</w:t>
      </w:r>
      <w:r w:rsidRPr="00C83EFD">
        <w:rPr>
          <w:b/>
          <w:bCs/>
          <w:snapToGrid w:val="0"/>
        </w:rPr>
        <w:tab/>
        <w:t>Testing of Emergency Response Service Resources</w:t>
      </w:r>
      <w:bookmarkEnd w:id="282"/>
      <w:bookmarkEnd w:id="283"/>
      <w:bookmarkEnd w:id="284"/>
      <w:bookmarkEnd w:id="285"/>
      <w:bookmarkEnd w:id="286"/>
      <w:bookmarkEnd w:id="287"/>
      <w:bookmarkEnd w:id="289"/>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lastRenderedPageBreak/>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 xml:space="preserve">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w:t>
      </w:r>
      <w:r w:rsidRPr="00201E51">
        <w:lastRenderedPageBreak/>
        <w:t>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lastRenderedPageBreak/>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1" w:name="_Toc400968504"/>
      <w:bookmarkStart w:id="292" w:name="_Toc402362752"/>
      <w:bookmarkStart w:id="293" w:name="_Toc405554818"/>
      <w:bookmarkStart w:id="294" w:name="_Toc458771477"/>
      <w:bookmarkStart w:id="295" w:name="_Toc458771600"/>
      <w:bookmarkStart w:id="296" w:name="_Toc460939777"/>
      <w:bookmarkStart w:id="297" w:name="_Toc203961369"/>
      <w:bookmarkEnd w:id="288"/>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98" w:name="_Toc65157831"/>
      <w:bookmarkEnd w:id="290"/>
      <w:bookmarkEnd w:id="251"/>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1"/>
      <w:bookmarkEnd w:id="292"/>
      <w:bookmarkEnd w:id="293"/>
      <w:bookmarkEnd w:id="294"/>
      <w:bookmarkEnd w:id="295"/>
      <w:bookmarkEnd w:id="296"/>
      <w:bookmarkEnd w:id="298"/>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99" w:name="_Toc400968505"/>
      <w:bookmarkStart w:id="300" w:name="_Toc402362753"/>
      <w:bookmarkStart w:id="301" w:name="_Toc405554819"/>
      <w:bookmarkStart w:id="302" w:name="_Toc458771478"/>
      <w:bookmarkStart w:id="303" w:name="_Toc458771601"/>
      <w:bookmarkStart w:id="304" w:name="_Toc460939778"/>
      <w:bookmarkStart w:id="305"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99"/>
      <w:bookmarkEnd w:id="300"/>
      <w:bookmarkEnd w:id="301"/>
      <w:bookmarkEnd w:id="302"/>
      <w:bookmarkEnd w:id="303"/>
      <w:bookmarkEnd w:id="304"/>
      <w:bookmarkEnd w:id="305"/>
    </w:p>
    <w:p w14:paraId="4FA0E8C9" w14:textId="77777777" w:rsidR="00A1635B" w:rsidRPr="00201E51" w:rsidRDefault="00A1635B" w:rsidP="00A1635B">
      <w:pPr>
        <w:spacing w:after="240"/>
        <w:ind w:left="720" w:hanging="720"/>
        <w:rPr>
          <w:iCs/>
        </w:rPr>
      </w:pPr>
      <w:r w:rsidRPr="00201E51">
        <w:t>(1)</w:t>
      </w:r>
      <w:r w:rsidRPr="00201E51">
        <w:tab/>
      </w:r>
      <w:r w:rsidRPr="00201E51">
        <w:rPr>
          <w:iCs/>
        </w:rPr>
        <w:t xml:space="preserve">If a QSE’s portfolio-level availability factor and event performance factors as calculated in Section 8.1.3.3.3, Performance Criteria for Qualified Scheduling Entities Representing Non Weather-Sensitive Emergency Response Service Resources, both equal or exceed </w:t>
      </w:r>
      <w:r w:rsidRPr="00201E51">
        <w:rPr>
          <w:iCs/>
        </w:rPr>
        <w:lastRenderedPageBreak/>
        <w:t>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 xml:space="preserve">interval </w:t>
      </w:r>
      <w:r w:rsidRPr="00201E51">
        <w:rPr>
          <w:iCs/>
        </w:rPr>
        <w:lastRenderedPageBreak/>
        <w:t>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w:t>
      </w:r>
      <w:r w:rsidRPr="003E6359">
        <w:lastRenderedPageBreak/>
        <w:t>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 xml:space="preserve">no availability for the remainder of the Standard Contract Term </w:t>
      </w:r>
      <w:r w:rsidRPr="00201E51">
        <w:lastRenderedPageBreak/>
        <w:t>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06" w:name="_Toc400968506"/>
      <w:bookmarkStart w:id="307" w:name="_Toc402362754"/>
      <w:bookmarkStart w:id="308" w:name="_Toc405554820"/>
      <w:bookmarkStart w:id="309" w:name="_Toc458771479"/>
      <w:bookmarkStart w:id="310" w:name="_Toc458771602"/>
      <w:bookmarkStart w:id="311"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2"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06"/>
      <w:bookmarkEnd w:id="307"/>
      <w:bookmarkEnd w:id="308"/>
      <w:bookmarkEnd w:id="309"/>
      <w:bookmarkEnd w:id="310"/>
      <w:bookmarkEnd w:id="311"/>
      <w:bookmarkEnd w:id="312"/>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lastRenderedPageBreak/>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 xml:space="preserve">)(a), (b), or (d) </w:t>
      </w:r>
      <w:r w:rsidRPr="00C3728E">
        <w:rPr>
          <w:iCs/>
        </w:rPr>
        <w:lastRenderedPageBreak/>
        <w:t>above, ERCOT shall re-compute the QSE’s final portfolio-level event performance factor using each ERS Load’s adjusted baselines.</w:t>
      </w:r>
      <w:bookmarkStart w:id="313" w:name="_Toc378573948"/>
      <w:bookmarkStart w:id="314" w:name="_Toc378857301"/>
      <w:bookmarkStart w:id="315" w:name="_Toc381079310"/>
      <w:bookmarkStart w:id="316" w:name="_Toc400968507"/>
      <w:bookmarkStart w:id="317" w:name="_Toc402362755"/>
      <w:bookmarkStart w:id="318" w:name="_Toc405554821"/>
      <w:bookmarkStart w:id="319" w:name="_Toc458771480"/>
      <w:bookmarkStart w:id="320" w:name="_Toc458771603"/>
      <w:bookmarkStart w:id="321" w:name="_Toc460939780"/>
      <w:bookmarkEnd w:id="297"/>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2" w:name="_Toc65157834"/>
      <w:bookmarkStart w:id="323"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3"/>
      <w:bookmarkEnd w:id="314"/>
      <w:bookmarkEnd w:id="315"/>
      <w:bookmarkEnd w:id="316"/>
      <w:bookmarkEnd w:id="317"/>
      <w:bookmarkEnd w:id="318"/>
      <w:bookmarkEnd w:id="319"/>
      <w:bookmarkEnd w:id="320"/>
      <w:bookmarkEnd w:id="321"/>
      <w:bookmarkEnd w:id="322"/>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w:t>
      </w:r>
      <w:r w:rsidRPr="00D02CB9">
        <w:rPr>
          <w:szCs w:val="24"/>
        </w:rPr>
        <w:lastRenderedPageBreak/>
        <w:t>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w:t>
      </w:r>
      <w:r w:rsidRPr="00D02CB9">
        <w:rPr>
          <w:szCs w:val="24"/>
        </w:rPr>
        <w:lastRenderedPageBreak/>
        <w:t xml:space="preserve">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24" w:name="_Toc400968508"/>
      <w:bookmarkStart w:id="325" w:name="_Toc402362756"/>
      <w:bookmarkStart w:id="326" w:name="_Toc405554822"/>
      <w:bookmarkStart w:id="327" w:name="_Toc458771481"/>
      <w:bookmarkStart w:id="328" w:name="_Toc458771604"/>
      <w:bookmarkStart w:id="329" w:name="_Toc460939781"/>
      <w:bookmarkStart w:id="330" w:name="_Toc65157835"/>
      <w:bookmarkEnd w:id="323"/>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Weather-</w:t>
      </w:r>
      <w:r>
        <w:rPr>
          <w:b/>
          <w:bCs/>
          <w:i/>
          <w:iCs/>
        </w:rPr>
        <w:lastRenderedPageBreak/>
        <w:t xml:space="preserve">Sensitive </w:t>
      </w:r>
      <w:r w:rsidRPr="00BC1C0B">
        <w:rPr>
          <w:b/>
          <w:bCs/>
          <w:i/>
          <w:iCs/>
        </w:rPr>
        <w:t xml:space="preserve">Emergency Response Service </w:t>
      </w:r>
      <w:r w:rsidRPr="00BC1C0B">
        <w:rPr>
          <w:b/>
          <w:i/>
        </w:rPr>
        <w:t>Loads</w:t>
      </w:r>
      <w:bookmarkEnd w:id="324"/>
      <w:bookmarkEnd w:id="325"/>
      <w:bookmarkEnd w:id="326"/>
      <w:bookmarkEnd w:id="327"/>
      <w:bookmarkEnd w:id="328"/>
      <w:bookmarkEnd w:id="329"/>
      <w:bookmarkEnd w:id="330"/>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1" w:name="_Toc400968509"/>
      <w:bookmarkStart w:id="332" w:name="_Toc402362757"/>
      <w:bookmarkStart w:id="333" w:name="_Toc405554823"/>
      <w:bookmarkStart w:id="334" w:name="_Toc458771482"/>
      <w:bookmarkStart w:id="335" w:name="_Toc458771605"/>
      <w:bookmarkStart w:id="336" w:name="_Toc460939782"/>
      <w:bookmarkStart w:id="337" w:name="_Toc65157836"/>
      <w:bookmarkStart w:id="338" w:name="_Toc203961370"/>
      <w:r w:rsidRPr="00C83EFD">
        <w:rPr>
          <w:b/>
          <w:bCs/>
          <w:snapToGrid w:val="0"/>
        </w:rPr>
        <w:lastRenderedPageBreak/>
        <w:t>8.1.3.4</w:t>
      </w:r>
      <w:r w:rsidRPr="00C83EFD">
        <w:rPr>
          <w:b/>
          <w:bCs/>
          <w:snapToGrid w:val="0"/>
        </w:rPr>
        <w:tab/>
        <w:t>ERCOT Data Collection for Emergency Response Service</w:t>
      </w:r>
      <w:bookmarkEnd w:id="331"/>
      <w:bookmarkEnd w:id="332"/>
      <w:bookmarkEnd w:id="333"/>
      <w:bookmarkEnd w:id="334"/>
      <w:bookmarkEnd w:id="335"/>
      <w:bookmarkEnd w:id="336"/>
      <w:bookmarkEnd w:id="337"/>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38"/>
    </w:p>
    <w:p w14:paraId="032DD499" w14:textId="77777777" w:rsidR="00FD224B" w:rsidRDefault="000963FF" w:rsidP="003F77C7">
      <w:pPr>
        <w:pStyle w:val="H2"/>
        <w:ind w:left="907" w:hanging="907"/>
      </w:pPr>
      <w:bookmarkStart w:id="339" w:name="_Toc141777785"/>
      <w:bookmarkStart w:id="340" w:name="_Toc203961371"/>
      <w:bookmarkStart w:id="341" w:name="_Toc400968510"/>
      <w:bookmarkStart w:id="342" w:name="_Toc402362758"/>
      <w:bookmarkStart w:id="343" w:name="_Toc405554824"/>
      <w:bookmarkStart w:id="344" w:name="_Toc458771483"/>
      <w:bookmarkStart w:id="345" w:name="_Toc458771606"/>
      <w:bookmarkStart w:id="346" w:name="_Toc460939783"/>
      <w:bookmarkStart w:id="347" w:name="_Toc505095207"/>
      <w:bookmarkStart w:id="348" w:name="_Toc505095427"/>
      <w:bookmarkStart w:id="349" w:name="_Toc65157837"/>
      <w:r>
        <w:t>8.2</w:t>
      </w:r>
      <w:r>
        <w:tab/>
        <w:t>ERCOT Performance Monitoring</w:t>
      </w:r>
      <w:bookmarkEnd w:id="339"/>
      <w:bookmarkEnd w:id="340"/>
      <w:bookmarkEnd w:id="341"/>
      <w:bookmarkEnd w:id="342"/>
      <w:bookmarkEnd w:id="343"/>
      <w:bookmarkEnd w:id="344"/>
      <w:bookmarkEnd w:id="345"/>
      <w:bookmarkEnd w:id="346"/>
      <w:bookmarkEnd w:id="347"/>
      <w:bookmarkEnd w:id="348"/>
      <w:bookmarkEnd w:id="349"/>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lastRenderedPageBreak/>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0" w:name="_Toc141777786"/>
      <w:bookmarkStart w:id="351" w:name="_Toc203961372"/>
      <w:bookmarkStart w:id="352" w:name="_Toc400968512"/>
      <w:bookmarkStart w:id="353" w:name="_Toc402362760"/>
      <w:bookmarkStart w:id="354" w:name="_Toc405554826"/>
      <w:bookmarkStart w:id="355" w:name="_Toc458771485"/>
      <w:bookmarkStart w:id="356" w:name="_Toc458771608"/>
      <w:bookmarkStart w:id="357" w:name="_Toc460939785"/>
      <w:bookmarkStart w:id="358" w:name="_Toc65157838"/>
      <w:r>
        <w:lastRenderedPageBreak/>
        <w:t>8.3</w:t>
      </w:r>
      <w:r>
        <w:tab/>
        <w:t>TSP Performance Monitoring and Compliance</w:t>
      </w:r>
      <w:bookmarkEnd w:id="350"/>
      <w:bookmarkEnd w:id="351"/>
      <w:bookmarkEnd w:id="352"/>
      <w:bookmarkEnd w:id="353"/>
      <w:bookmarkEnd w:id="354"/>
      <w:bookmarkEnd w:id="355"/>
      <w:bookmarkEnd w:id="356"/>
      <w:bookmarkEnd w:id="357"/>
      <w:bookmarkEnd w:id="358"/>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5B591B8C"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Pr="00816D3B">
              <w:t>]</w:t>
            </w:r>
          </w:p>
          <w:p w14:paraId="15C3B3DE" w14:textId="77777777" w:rsidR="007639FA" w:rsidRPr="008A1D3F" w:rsidRDefault="007639FA" w:rsidP="008A1D3F">
            <w:pPr>
              <w:spacing w:before="240" w:after="240"/>
              <w:rPr>
                <w:b/>
              </w:rPr>
            </w:pPr>
            <w:bookmarkStart w:id="359" w:name="_Toc381079317"/>
            <w:bookmarkStart w:id="360" w:name="_Toc389042193"/>
            <w:bookmarkStart w:id="361" w:name="_Toc390435477"/>
            <w:bookmarkStart w:id="362" w:name="_Toc391534091"/>
            <w:bookmarkStart w:id="363" w:name="_Toc400968513"/>
            <w:bookmarkStart w:id="364" w:name="_Toc402362761"/>
            <w:bookmarkStart w:id="365" w:name="_Toc402363377"/>
            <w:bookmarkStart w:id="366" w:name="_Toc405554827"/>
            <w:bookmarkStart w:id="367" w:name="_Toc406594239"/>
            <w:bookmarkStart w:id="368" w:name="_Toc416429418"/>
            <w:bookmarkStart w:id="369" w:name="_Toc423094468"/>
            <w:bookmarkStart w:id="370" w:name="_Toc427076126"/>
            <w:bookmarkStart w:id="371" w:name="_Toc430078251"/>
            <w:bookmarkStart w:id="372" w:name="_Toc432405967"/>
            <w:bookmarkStart w:id="373" w:name="_Toc433097723"/>
            <w:bookmarkStart w:id="374" w:name="_Toc438017564"/>
            <w:bookmarkStart w:id="375" w:name="_Toc440631064"/>
            <w:bookmarkStart w:id="376" w:name="_Toc442356410"/>
            <w:bookmarkStart w:id="377" w:name="_Toc447619660"/>
            <w:bookmarkStart w:id="378" w:name="_Toc452971786"/>
            <w:bookmarkStart w:id="379" w:name="_Toc458771486"/>
            <w:bookmarkStart w:id="380" w:name="_Toc458771609"/>
            <w:bookmarkStart w:id="381" w:name="_Toc458771662"/>
            <w:bookmarkStart w:id="382" w:name="_Toc460939786"/>
            <w:bookmarkStart w:id="383" w:name="_Toc461101811"/>
            <w:bookmarkStart w:id="384"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85" w:name="_Toc141777787"/>
      <w:bookmarkStart w:id="386" w:name="_Toc203961373"/>
      <w:bookmarkStart w:id="387" w:name="_Toc400968514"/>
      <w:bookmarkStart w:id="388" w:name="_Toc402362762"/>
      <w:bookmarkStart w:id="389" w:name="_Toc405554828"/>
      <w:bookmarkStart w:id="390" w:name="_Toc458771487"/>
      <w:bookmarkStart w:id="391" w:name="_Toc458771610"/>
      <w:bookmarkStart w:id="392" w:name="_Toc460939787"/>
      <w:bookmarkStart w:id="393" w:name="_Toc65157839"/>
      <w:r>
        <w:t>8.4</w:t>
      </w:r>
      <w:r>
        <w:tab/>
        <w:t>ERCOT Response to Market Non-</w:t>
      </w:r>
      <w:bookmarkEnd w:id="385"/>
      <w:bookmarkEnd w:id="386"/>
      <w:r>
        <w:t>Performance</w:t>
      </w:r>
      <w:bookmarkEnd w:id="387"/>
      <w:bookmarkEnd w:id="388"/>
      <w:bookmarkEnd w:id="389"/>
      <w:bookmarkEnd w:id="390"/>
      <w:bookmarkEnd w:id="391"/>
      <w:bookmarkEnd w:id="392"/>
      <w:bookmarkEnd w:id="393"/>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lastRenderedPageBreak/>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94" w:name="_Toc117048409"/>
      <w:bookmarkStart w:id="395" w:name="_Toc141777788"/>
      <w:bookmarkStart w:id="396" w:name="_Toc203961374"/>
      <w:bookmarkStart w:id="397" w:name="_Toc400968515"/>
      <w:bookmarkStart w:id="398" w:name="_Toc402362763"/>
      <w:bookmarkStart w:id="399" w:name="_Toc405554829"/>
      <w:bookmarkStart w:id="400" w:name="_Toc458771488"/>
      <w:bookmarkStart w:id="401" w:name="_Toc458771611"/>
      <w:bookmarkStart w:id="402" w:name="_Toc460939788"/>
      <w:bookmarkStart w:id="403" w:name="_Toc65157840"/>
      <w:r>
        <w:t>8.5</w:t>
      </w:r>
      <w:r>
        <w:tab/>
      </w:r>
      <w:r w:rsidR="0023073A">
        <w:t xml:space="preserve">Primary </w:t>
      </w:r>
      <w:r>
        <w:t>Frequency Response Requirements and Monitoring</w:t>
      </w:r>
      <w:bookmarkEnd w:id="394"/>
      <w:bookmarkEnd w:id="395"/>
      <w:bookmarkEnd w:id="396"/>
      <w:bookmarkEnd w:id="397"/>
      <w:bookmarkEnd w:id="398"/>
      <w:bookmarkEnd w:id="399"/>
      <w:bookmarkEnd w:id="400"/>
      <w:bookmarkEnd w:id="401"/>
      <w:bookmarkEnd w:id="402"/>
      <w:bookmarkEnd w:id="403"/>
    </w:p>
    <w:p w14:paraId="3119B85A" w14:textId="77777777" w:rsidR="00581280" w:rsidRDefault="000963FF">
      <w:pPr>
        <w:pStyle w:val="H3"/>
      </w:pPr>
      <w:bookmarkStart w:id="404" w:name="_Toc117048410"/>
      <w:bookmarkStart w:id="405" w:name="_Toc141777789"/>
      <w:bookmarkStart w:id="406" w:name="_Toc203961375"/>
      <w:bookmarkStart w:id="407" w:name="_Toc400968516"/>
      <w:bookmarkStart w:id="408" w:name="_Toc402362764"/>
      <w:bookmarkStart w:id="409" w:name="_Toc405554830"/>
      <w:bookmarkStart w:id="410" w:name="_Toc458771489"/>
      <w:bookmarkStart w:id="411" w:name="_Toc458771612"/>
      <w:bookmarkStart w:id="412" w:name="_Toc460939789"/>
      <w:bookmarkStart w:id="413" w:name="_Toc65157841"/>
      <w:r>
        <w:t>8.5.1</w:t>
      </w:r>
      <w:r>
        <w:tab/>
        <w:t>Generation Resource and QSE Participation</w:t>
      </w:r>
      <w:bookmarkEnd w:id="404"/>
      <w:bookmarkEnd w:id="405"/>
      <w:bookmarkEnd w:id="406"/>
      <w:bookmarkEnd w:id="407"/>
      <w:bookmarkEnd w:id="408"/>
      <w:bookmarkEnd w:id="409"/>
      <w:bookmarkEnd w:id="410"/>
      <w:bookmarkEnd w:id="411"/>
      <w:bookmarkEnd w:id="412"/>
      <w:bookmarkEnd w:id="4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14" w:name="_Toc117048411"/>
            <w:bookmarkStart w:id="415" w:name="_Toc141777790"/>
            <w:bookmarkStart w:id="416" w:name="_Toc203961376"/>
            <w:bookmarkStart w:id="417" w:name="_Toc400968517"/>
            <w:bookmarkStart w:id="418" w:name="_Toc402362765"/>
            <w:bookmarkStart w:id="419" w:name="_Toc405554831"/>
            <w:bookmarkStart w:id="420" w:name="_Toc458771490"/>
            <w:bookmarkStart w:id="421" w:name="_Toc458771613"/>
            <w:bookmarkStart w:id="422"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3" w:name="_Toc60045946"/>
            <w:bookmarkStart w:id="424" w:name="_Toc65157842"/>
            <w:r>
              <w:t>8.5.1</w:t>
            </w:r>
            <w:r>
              <w:tab/>
              <w:t>Generation Resource, Energy Storage Resource, and QSE Participation</w:t>
            </w:r>
            <w:bookmarkEnd w:id="423"/>
            <w:bookmarkEnd w:id="424"/>
          </w:p>
        </w:tc>
      </w:tr>
    </w:tbl>
    <w:p w14:paraId="42C218BB" w14:textId="77777777" w:rsidR="00581280" w:rsidRPr="00EB6A56" w:rsidRDefault="000963FF" w:rsidP="0062463B">
      <w:pPr>
        <w:pStyle w:val="H4"/>
        <w:spacing w:before="480"/>
        <w:rPr>
          <w:b/>
        </w:rPr>
      </w:pPr>
      <w:bookmarkStart w:id="425" w:name="_Toc65157843"/>
      <w:r w:rsidRPr="00EB6A56">
        <w:rPr>
          <w:b/>
        </w:rPr>
        <w:t>8.5.1.1</w:t>
      </w:r>
      <w:r w:rsidRPr="00EB6A56">
        <w:rPr>
          <w:b/>
        </w:rPr>
        <w:tab/>
        <w:t>Governor in Service</w:t>
      </w:r>
      <w:bookmarkEnd w:id="414"/>
      <w:bookmarkEnd w:id="415"/>
      <w:bookmarkEnd w:id="416"/>
      <w:bookmarkEnd w:id="417"/>
      <w:bookmarkEnd w:id="418"/>
      <w:bookmarkEnd w:id="419"/>
      <w:bookmarkEnd w:id="420"/>
      <w:bookmarkEnd w:id="421"/>
      <w:bookmarkEnd w:id="422"/>
      <w:bookmarkEnd w:id="425"/>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26" w:name="_Toc117048412"/>
            <w:bookmarkStart w:id="427" w:name="_Toc141777791"/>
            <w:bookmarkStart w:id="428" w:name="_Toc203961377"/>
            <w:bookmarkStart w:id="429" w:name="_Toc400968518"/>
            <w:bookmarkStart w:id="430" w:name="_Toc402362766"/>
            <w:bookmarkStart w:id="431" w:name="_Toc405554832"/>
            <w:bookmarkStart w:id="432" w:name="_Toc458771491"/>
            <w:bookmarkStart w:id="433" w:name="_Toc458771614"/>
            <w:bookmarkStart w:id="434"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w:t>
            </w:r>
            <w:r w:rsidRPr="0003648D">
              <w:rPr>
                <w:iCs w:val="0"/>
              </w:rPr>
              <w:lastRenderedPageBreak/>
              <w:t xml:space="preserve">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3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3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36"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26"/>
      <w:bookmarkEnd w:id="427"/>
      <w:bookmarkEnd w:id="428"/>
      <w:bookmarkEnd w:id="429"/>
      <w:bookmarkEnd w:id="430"/>
      <w:bookmarkEnd w:id="431"/>
      <w:bookmarkEnd w:id="432"/>
      <w:bookmarkEnd w:id="433"/>
      <w:bookmarkEnd w:id="434"/>
      <w:bookmarkEnd w:id="436"/>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 xml:space="preserve">overnor modeling information required in the ERCOT planning criteria must be determined from actual Generation Resource testing described in the </w:t>
      </w:r>
      <w:r>
        <w:lastRenderedPageBreak/>
        <w:t>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37" w:name="_Toc400968519"/>
            <w:bookmarkStart w:id="438" w:name="_Toc402362767"/>
            <w:bookmarkStart w:id="439" w:name="_Toc405554833"/>
            <w:bookmarkStart w:id="440" w:name="_Toc458771492"/>
            <w:bookmarkStart w:id="441" w:name="_Toc458771615"/>
            <w:bookmarkStart w:id="442"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3"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37"/>
      <w:bookmarkEnd w:id="438"/>
      <w:bookmarkEnd w:id="439"/>
      <w:bookmarkEnd w:id="440"/>
      <w:bookmarkEnd w:id="441"/>
      <w:bookmarkEnd w:id="442"/>
      <w:bookmarkEnd w:id="44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2011 acquire that capability.  Those WGRs that cannot technically be retrofitted with Primary Frequency </w:t>
      </w:r>
      <w:r w:rsidR="0023073A" w:rsidRPr="00EF2440">
        <w:rPr>
          <w:iCs w:val="0"/>
        </w:rPr>
        <w:lastRenderedPageBreak/>
        <w:t>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44" w:name="_Toc117048413"/>
      <w:bookmarkStart w:id="445" w:name="_Toc141777792"/>
      <w:bookmarkStart w:id="446" w:name="_Toc203961378"/>
      <w:bookmarkStart w:id="447" w:name="_Toc400968520"/>
      <w:bookmarkStart w:id="448" w:name="_Toc402362768"/>
      <w:bookmarkStart w:id="449" w:name="_Toc405554834"/>
      <w:bookmarkStart w:id="450" w:name="_Toc458771493"/>
      <w:bookmarkStart w:id="451" w:name="_Toc458771616"/>
      <w:bookmarkStart w:id="452" w:name="_Toc460939793"/>
      <w:bookmarkStart w:id="453" w:name="_Toc65157846"/>
      <w:r>
        <w:t>8.5.2</w:t>
      </w:r>
      <w:r>
        <w:tab/>
        <w:t xml:space="preserve">Primary Frequency </w:t>
      </w:r>
      <w:r w:rsidR="00C7240F">
        <w:t xml:space="preserve">Response </w:t>
      </w:r>
      <w:r>
        <w:t>Measurements</w:t>
      </w:r>
      <w:bookmarkEnd w:id="444"/>
      <w:bookmarkEnd w:id="445"/>
      <w:bookmarkEnd w:id="446"/>
      <w:bookmarkEnd w:id="447"/>
      <w:bookmarkEnd w:id="448"/>
      <w:bookmarkEnd w:id="449"/>
      <w:bookmarkEnd w:id="450"/>
      <w:bookmarkEnd w:id="451"/>
      <w:bookmarkEnd w:id="452"/>
      <w:bookmarkEnd w:id="453"/>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lastRenderedPageBreak/>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54" w:name="_Toc117048414"/>
            <w:bookmarkStart w:id="455" w:name="_Toc141777793"/>
            <w:bookmarkStart w:id="456" w:name="_Toc203961379"/>
            <w:bookmarkStart w:id="457" w:name="_Toc400968521"/>
            <w:bookmarkStart w:id="458" w:name="_Toc402362769"/>
            <w:bookmarkStart w:id="459" w:name="_Toc405554835"/>
            <w:bookmarkStart w:id="460" w:name="_Toc458771495"/>
            <w:bookmarkStart w:id="461" w:name="_Toc458771618"/>
            <w:bookmarkStart w:id="462"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63" w:name="_Toc65157847"/>
      <w:r w:rsidRPr="00EB6A56">
        <w:rPr>
          <w:b/>
        </w:rPr>
        <w:t>8.5.2.1</w:t>
      </w:r>
      <w:r w:rsidRPr="00EB6A56">
        <w:rPr>
          <w:b/>
        </w:rPr>
        <w:tab/>
        <w:t>ERCOT Required Primary Frequency Response</w:t>
      </w:r>
      <w:bookmarkEnd w:id="454"/>
      <w:bookmarkEnd w:id="455"/>
      <w:bookmarkEnd w:id="456"/>
      <w:bookmarkEnd w:id="457"/>
      <w:bookmarkEnd w:id="458"/>
      <w:bookmarkEnd w:id="459"/>
      <w:bookmarkEnd w:id="460"/>
      <w:bookmarkEnd w:id="461"/>
      <w:bookmarkEnd w:id="462"/>
      <w:bookmarkEnd w:id="463"/>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lastRenderedPageBreak/>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64" w:name="_Toc117048415"/>
            <w:bookmarkStart w:id="465" w:name="_Toc141777794"/>
            <w:bookmarkStart w:id="466" w:name="_Toc203961380"/>
            <w:bookmarkStart w:id="467" w:name="_Toc400968522"/>
            <w:bookmarkStart w:id="468" w:name="_Toc402362770"/>
            <w:bookmarkStart w:id="469" w:name="_Toc405554836"/>
            <w:bookmarkStart w:id="470" w:name="_Toc458771497"/>
            <w:bookmarkStart w:id="471" w:name="_Toc458771620"/>
            <w:bookmarkStart w:id="472"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3" w:name="_Toc65157848"/>
      <w:r w:rsidRPr="00EB6A56">
        <w:rPr>
          <w:b/>
        </w:rPr>
        <w:t>8.5.2.2</w:t>
      </w:r>
      <w:r w:rsidRPr="00EB6A56">
        <w:rPr>
          <w:b/>
        </w:rPr>
        <w:tab/>
        <w:t>ERCOT Data Collection</w:t>
      </w:r>
      <w:bookmarkEnd w:id="464"/>
      <w:bookmarkEnd w:id="465"/>
      <w:bookmarkEnd w:id="466"/>
      <w:bookmarkEnd w:id="467"/>
      <w:bookmarkEnd w:id="468"/>
      <w:bookmarkEnd w:id="469"/>
      <w:bookmarkEnd w:id="470"/>
      <w:bookmarkEnd w:id="471"/>
      <w:bookmarkEnd w:id="472"/>
      <w:bookmarkEnd w:id="47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D3599" w14:textId="418B0D32" w:rsidR="0067535E" w:rsidRPr="006A2B5D" w:rsidRDefault="0067535E">
    <w:pPr>
      <w:pStyle w:val="Footer"/>
      <w:spacing w:before="0" w:after="0"/>
      <w:rPr>
        <w:lang w:val="en-US"/>
      </w:rPr>
    </w:pPr>
    <w:r>
      <w:t xml:space="preserve">ERCOT Nodal Protocols – </w:t>
    </w:r>
    <w:r w:rsidR="00EE7418">
      <w:rPr>
        <w:lang w:val="en-US"/>
      </w:rPr>
      <w:t>January</w:t>
    </w:r>
    <w:r>
      <w:rPr>
        <w:lang w:val="en-US"/>
      </w:rPr>
      <w:t xml:space="preserve"> 1, 202</w:t>
    </w:r>
    <w:r w:rsidR="00EE7418">
      <w:rPr>
        <w:lang w:val="en-US"/>
      </w:rPr>
      <w:t>2</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8D323" w14:textId="56BE2850" w:rsidR="0067535E" w:rsidRDefault="0067535E">
    <w:pPr>
      <w:pStyle w:val="Footer"/>
      <w:tabs>
        <w:tab w:val="left" w:pos="5550"/>
      </w:tabs>
      <w:spacing w:before="0" w:after="0"/>
      <w:rPr>
        <w:rStyle w:val="PageNumber"/>
        <w:smallCaps w:val="0"/>
        <w:sz w:val="24"/>
      </w:rPr>
    </w:pPr>
    <w:r>
      <w:t xml:space="preserve">ERCOT Nodal Protocols – </w:t>
    </w:r>
    <w:r w:rsidR="00EE7418">
      <w:rPr>
        <w:lang w:val="en-US"/>
      </w:rPr>
      <w:t>January</w:t>
    </w:r>
    <w:r>
      <w:rPr>
        <w:lang w:val="en-US"/>
      </w:rPr>
      <w:t xml:space="preserve"> 1, 202</w:t>
    </w:r>
    <w:r w:rsidR="00EE7418">
      <w:rPr>
        <w:lang w:val="en-US"/>
      </w:rPr>
      <w:t>2</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2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43F3"/>
    <w:rsid w:val="002D4658"/>
    <w:rsid w:val="002D4FA2"/>
    <w:rsid w:val="002D62B2"/>
    <w:rsid w:val="002D6D05"/>
    <w:rsid w:val="002D7EDB"/>
    <w:rsid w:val="002E045D"/>
    <w:rsid w:val="002E0A3E"/>
    <w:rsid w:val="002E38F8"/>
    <w:rsid w:val="002E5168"/>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23C"/>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979"/>
    <w:rsid w:val="00413D86"/>
    <w:rsid w:val="004145FE"/>
    <w:rsid w:val="00414813"/>
    <w:rsid w:val="00414AEE"/>
    <w:rsid w:val="004154B4"/>
    <w:rsid w:val="00415ECA"/>
    <w:rsid w:val="00421BE7"/>
    <w:rsid w:val="0042444B"/>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97882"/>
    <w:rsid w:val="004A133C"/>
    <w:rsid w:val="004A3180"/>
    <w:rsid w:val="004A605C"/>
    <w:rsid w:val="004A6E38"/>
    <w:rsid w:val="004B65EA"/>
    <w:rsid w:val="004B66DF"/>
    <w:rsid w:val="004C083F"/>
    <w:rsid w:val="004C18AA"/>
    <w:rsid w:val="004C19B7"/>
    <w:rsid w:val="004C26DF"/>
    <w:rsid w:val="004C571D"/>
    <w:rsid w:val="004C77EF"/>
    <w:rsid w:val="004C7A28"/>
    <w:rsid w:val="004D05A6"/>
    <w:rsid w:val="004D0E49"/>
    <w:rsid w:val="004D43FC"/>
    <w:rsid w:val="004D46DE"/>
    <w:rsid w:val="004D48AC"/>
    <w:rsid w:val="004E418C"/>
    <w:rsid w:val="004E4493"/>
    <w:rsid w:val="004E57FA"/>
    <w:rsid w:val="004E6487"/>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6498"/>
    <w:rsid w:val="00856514"/>
    <w:rsid w:val="00856A9A"/>
    <w:rsid w:val="0085714F"/>
    <w:rsid w:val="00857B39"/>
    <w:rsid w:val="00860FD8"/>
    <w:rsid w:val="00862382"/>
    <w:rsid w:val="00864E7A"/>
    <w:rsid w:val="00865EB0"/>
    <w:rsid w:val="00866756"/>
    <w:rsid w:val="00870F4D"/>
    <w:rsid w:val="00873A96"/>
    <w:rsid w:val="00874506"/>
    <w:rsid w:val="00874580"/>
    <w:rsid w:val="008749DF"/>
    <w:rsid w:val="00874EE8"/>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4DC6"/>
    <w:rsid w:val="00C85612"/>
    <w:rsid w:val="00C8635C"/>
    <w:rsid w:val="00C86EDC"/>
    <w:rsid w:val="00C872FB"/>
    <w:rsid w:val="00C94DAD"/>
    <w:rsid w:val="00C95B7C"/>
    <w:rsid w:val="00C9633E"/>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227E"/>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70427"/>
    <w:rsid w:val="00D71B42"/>
    <w:rsid w:val="00D73591"/>
    <w:rsid w:val="00D7386F"/>
    <w:rsid w:val="00D75A0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3A84"/>
    <w:rsid w:val="00EC6C43"/>
    <w:rsid w:val="00EC6E8F"/>
    <w:rsid w:val="00EC7809"/>
    <w:rsid w:val="00EC7F92"/>
    <w:rsid w:val="00ED388A"/>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252F0"/>
    <w:rsid w:val="00F25622"/>
    <w:rsid w:val="00F2572A"/>
    <w:rsid w:val="00F33990"/>
    <w:rsid w:val="00F33AEA"/>
    <w:rsid w:val="00F3432C"/>
    <w:rsid w:val="00F35015"/>
    <w:rsid w:val="00F35BB3"/>
    <w:rsid w:val="00F37ECA"/>
    <w:rsid w:val="00F42EA6"/>
    <w:rsid w:val="00F4477A"/>
    <w:rsid w:val="00F44EC1"/>
    <w:rsid w:val="00F45936"/>
    <w:rsid w:val="00F46664"/>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103</Pages>
  <Words>40100</Words>
  <Characters>220164</Characters>
  <Application>Microsoft Office Word</Application>
  <DocSecurity>0</DocSecurity>
  <Lines>5950</Lines>
  <Paragraphs>3718</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256546</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2021-12-22T16:05:00Z</dcterms:created>
  <dcterms:modified xsi:type="dcterms:W3CDTF">2021-12-22T16:06:00Z</dcterms:modified>
</cp:coreProperties>
</file>