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C57F" w14:textId="3F0B61C3" w:rsidR="00846975" w:rsidRPr="0078758B" w:rsidRDefault="007A38A7" w:rsidP="00322D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u w:val="single"/>
        </w:rPr>
      </w:pPr>
      <w:r w:rsidRPr="0078758B">
        <w:rPr>
          <w:rFonts w:ascii="Times New Roman" w:hAnsi="Times New Roman" w:cs="Times New Roman"/>
          <w:b/>
          <w:caps/>
          <w:u w:val="single"/>
        </w:rPr>
        <w:t xml:space="preserve">REQUEST FOR INFORMATION </w:t>
      </w:r>
      <w:r w:rsidR="00322DCA">
        <w:rPr>
          <w:rFonts w:ascii="Times New Roman" w:hAnsi="Times New Roman" w:cs="Times New Roman"/>
          <w:b/>
          <w:caps/>
          <w:u w:val="single"/>
        </w:rPr>
        <w:t xml:space="preserve">(RFI) </w:t>
      </w:r>
      <w:r w:rsidR="00597ED5" w:rsidRPr="0078758B">
        <w:rPr>
          <w:rFonts w:ascii="Times New Roman" w:hAnsi="Times New Roman" w:cs="Times New Roman"/>
          <w:b/>
          <w:caps/>
          <w:u w:val="single"/>
        </w:rPr>
        <w:t>to</w:t>
      </w:r>
      <w:r w:rsidRPr="0078758B">
        <w:rPr>
          <w:rFonts w:ascii="Times New Roman" w:hAnsi="Times New Roman" w:cs="Times New Roman"/>
          <w:b/>
          <w:caps/>
          <w:u w:val="single"/>
        </w:rPr>
        <w:t xml:space="preserve"> </w:t>
      </w:r>
      <w:r w:rsidR="00846975" w:rsidRPr="0078758B">
        <w:rPr>
          <w:rFonts w:ascii="Times New Roman" w:hAnsi="Times New Roman" w:cs="Times New Roman"/>
          <w:b/>
          <w:caps/>
          <w:u w:val="single"/>
        </w:rPr>
        <w:t>Interconnecting Entities (IE</w:t>
      </w:r>
      <w:r w:rsidR="009C217B" w:rsidRPr="0078758B">
        <w:rPr>
          <w:rFonts w:ascii="Times New Roman" w:hAnsi="Times New Roman" w:cs="Times New Roman"/>
          <w:b/>
          <w:u w:val="single"/>
        </w:rPr>
        <w:t>s</w:t>
      </w:r>
      <w:r w:rsidR="00846975" w:rsidRPr="0078758B">
        <w:rPr>
          <w:rFonts w:ascii="Times New Roman" w:hAnsi="Times New Roman" w:cs="Times New Roman"/>
          <w:b/>
          <w:caps/>
          <w:u w:val="single"/>
        </w:rPr>
        <w:t xml:space="preserve">) Regarding </w:t>
      </w:r>
      <w:r w:rsidR="00322DCA">
        <w:rPr>
          <w:rFonts w:ascii="Times New Roman" w:hAnsi="Times New Roman" w:cs="Times New Roman"/>
          <w:b/>
          <w:caps/>
          <w:u w:val="single"/>
        </w:rPr>
        <w:t xml:space="preserve">COMPLIANCE WITH </w:t>
      </w:r>
      <w:r w:rsidR="00846975" w:rsidRPr="0078758B">
        <w:rPr>
          <w:rFonts w:ascii="Times New Roman" w:hAnsi="Times New Roman" w:cs="Times New Roman"/>
          <w:b/>
          <w:caps/>
          <w:u w:val="single"/>
        </w:rPr>
        <w:t xml:space="preserve">the </w:t>
      </w:r>
      <w:bookmarkStart w:id="0" w:name="_Hlk81394595"/>
      <w:r w:rsidR="00846975" w:rsidRPr="0078758B">
        <w:rPr>
          <w:rFonts w:ascii="Times New Roman" w:hAnsi="Times New Roman" w:cs="Times New Roman"/>
          <w:b/>
          <w:caps/>
          <w:u w:val="single"/>
        </w:rPr>
        <w:t>Lone Star Infrastructure Protection Act</w:t>
      </w:r>
      <w:bookmarkEnd w:id="0"/>
    </w:p>
    <w:p w14:paraId="636B81F3" w14:textId="2DED686F" w:rsidR="00846975" w:rsidRPr="0078758B" w:rsidRDefault="00846975" w:rsidP="008469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07CC3721" w14:textId="79EBA11E" w:rsidR="00597ED5" w:rsidRPr="0078758B" w:rsidRDefault="00597ED5" w:rsidP="00597E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8758B">
        <w:rPr>
          <w:rFonts w:ascii="Times New Roman" w:hAnsi="Times New Roman" w:cs="Times New Roman"/>
          <w:b/>
          <w:u w:val="single"/>
        </w:rPr>
        <w:t>Background Information</w:t>
      </w:r>
      <w:r w:rsidR="000A6C16" w:rsidRPr="0078758B">
        <w:rPr>
          <w:rFonts w:ascii="Times New Roman" w:hAnsi="Times New Roman" w:cs="Times New Roman"/>
          <w:b/>
          <w:u w:val="single"/>
        </w:rPr>
        <w:t xml:space="preserve"> </w:t>
      </w:r>
    </w:p>
    <w:p w14:paraId="1ADBBCE4" w14:textId="77777777" w:rsidR="00597ED5" w:rsidRPr="0078758B" w:rsidRDefault="00597ED5" w:rsidP="00597ED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u w:val="single"/>
        </w:rPr>
      </w:pPr>
    </w:p>
    <w:p w14:paraId="2AA2C6EE" w14:textId="43F3FA55" w:rsidR="00FA2003" w:rsidRPr="0078758B" w:rsidRDefault="00FA2003" w:rsidP="00C8401A">
      <w:pPr>
        <w:ind w:firstLine="720"/>
        <w:jc w:val="both"/>
        <w:rPr>
          <w:rFonts w:ascii="Times New Roman" w:hAnsi="Times New Roman" w:cs="Times New Roman"/>
          <w:bCs/>
        </w:rPr>
      </w:pPr>
      <w:r w:rsidRPr="0078758B">
        <w:rPr>
          <w:rFonts w:ascii="Times New Roman" w:hAnsi="Times New Roman" w:cs="Times New Roman"/>
          <w:bCs/>
        </w:rPr>
        <w:t>The Texas Legislature recently passed the Lone Star Infrastructure Protection Act,</w:t>
      </w:r>
      <w:r w:rsidRPr="0078758B">
        <w:rPr>
          <w:rStyle w:val="FootnoteReference"/>
          <w:rFonts w:ascii="Times New Roman" w:hAnsi="Times New Roman" w:cs="Times New Roman"/>
          <w:bCs/>
        </w:rPr>
        <w:footnoteReference w:id="1"/>
      </w:r>
      <w:r w:rsidRPr="0078758B">
        <w:rPr>
          <w:rFonts w:ascii="Times New Roman" w:hAnsi="Times New Roman" w:cs="Times New Roman"/>
          <w:bCs/>
        </w:rPr>
        <w:t xml:space="preserve"> Senate Bill 2116, 87</w:t>
      </w:r>
      <w:r w:rsidRPr="0078758B">
        <w:rPr>
          <w:rFonts w:ascii="Times New Roman" w:hAnsi="Times New Roman" w:cs="Times New Roman"/>
          <w:bCs/>
          <w:vertAlign w:val="superscript"/>
        </w:rPr>
        <w:t>th</w:t>
      </w:r>
      <w:r w:rsidRPr="0078758B">
        <w:rPr>
          <w:rFonts w:ascii="Times New Roman" w:hAnsi="Times New Roman" w:cs="Times New Roman"/>
          <w:bCs/>
        </w:rPr>
        <w:t xml:space="preserve"> Regular Session (the “Act”)</w:t>
      </w:r>
      <w:r w:rsidR="00C8401A" w:rsidRPr="0078758B">
        <w:rPr>
          <w:rFonts w:ascii="Times New Roman" w:hAnsi="Times New Roman" w:cs="Times New Roman"/>
          <w:bCs/>
        </w:rPr>
        <w:t>,</w:t>
      </w:r>
      <w:r w:rsidRPr="0078758B">
        <w:rPr>
          <w:rFonts w:ascii="Times New Roman" w:hAnsi="Times New Roman" w:cs="Times New Roman"/>
          <w:bCs/>
        </w:rPr>
        <w:t xml:space="preserve"> which was signed by Governor Abbott on June 18, 2021, with immediate effect.</w:t>
      </w:r>
      <w:r w:rsidRPr="0078758B">
        <w:rPr>
          <w:rStyle w:val="FootnoteReference"/>
          <w:rFonts w:ascii="Times New Roman" w:hAnsi="Times New Roman" w:cs="Times New Roman"/>
          <w:bCs/>
        </w:rPr>
        <w:footnoteReference w:id="2"/>
      </w:r>
      <w:r w:rsidRPr="0078758B">
        <w:rPr>
          <w:rFonts w:ascii="Times New Roman" w:hAnsi="Times New Roman" w:cs="Times New Roman"/>
          <w:bCs/>
        </w:rPr>
        <w:t xml:space="preserve">  The Act prohibits business and governmental entities from entering into an agreement that would grant direct or remote access to critical infrastructure with foreign companies from certain countries.</w:t>
      </w:r>
      <w:r w:rsidR="008809DB">
        <w:rPr>
          <w:rStyle w:val="FootnoteReference"/>
          <w:rFonts w:ascii="Times New Roman" w:hAnsi="Times New Roman" w:cs="Times New Roman"/>
          <w:bCs/>
        </w:rPr>
        <w:footnoteReference w:id="3"/>
      </w:r>
      <w:r w:rsidRPr="0078758B">
        <w:rPr>
          <w:rFonts w:ascii="Times New Roman" w:hAnsi="Times New Roman" w:cs="Times New Roman"/>
          <w:bCs/>
        </w:rPr>
        <w:t xml:space="preserve">  The electric grid is included in the definition of “critical infrastructure.”  </w:t>
      </w:r>
      <w:r w:rsidR="001C3D7C" w:rsidRPr="0078758B">
        <w:rPr>
          <w:rFonts w:ascii="Times New Roman" w:hAnsi="Times New Roman" w:cs="Times New Roman"/>
          <w:bCs/>
        </w:rPr>
        <w:t xml:space="preserve">Permitting an entity to interconnect a </w:t>
      </w:r>
      <w:r w:rsidRPr="0078758B">
        <w:rPr>
          <w:rFonts w:ascii="Times New Roman" w:hAnsi="Times New Roman" w:cs="Times New Roman"/>
          <w:bCs/>
        </w:rPr>
        <w:t xml:space="preserve">Generation Resource </w:t>
      </w:r>
      <w:r w:rsidR="001C3D7C" w:rsidRPr="0078758B">
        <w:rPr>
          <w:rFonts w:ascii="Times New Roman" w:hAnsi="Times New Roman" w:cs="Times New Roman"/>
          <w:bCs/>
        </w:rPr>
        <w:t xml:space="preserve">to the ERCOT System would constitute granting access to the </w:t>
      </w:r>
      <w:r w:rsidRPr="0078758B">
        <w:rPr>
          <w:rFonts w:ascii="Times New Roman" w:hAnsi="Times New Roman" w:cs="Times New Roman"/>
          <w:bCs/>
        </w:rPr>
        <w:t>“electric grid.”</w:t>
      </w:r>
      <w:r w:rsidR="001C3D7C" w:rsidRPr="0078758B">
        <w:rPr>
          <w:rStyle w:val="FootnoteReference"/>
          <w:rFonts w:ascii="Times New Roman" w:hAnsi="Times New Roman" w:cs="Times New Roman"/>
          <w:bCs/>
        </w:rPr>
        <w:footnoteReference w:id="4"/>
      </w:r>
      <w:r w:rsidRPr="0078758B">
        <w:rPr>
          <w:rFonts w:ascii="Times New Roman" w:hAnsi="Times New Roman" w:cs="Times New Roman"/>
          <w:bCs/>
        </w:rPr>
        <w:t xml:space="preserve">  </w:t>
      </w:r>
      <w:r w:rsidR="00846975" w:rsidRPr="0078758B">
        <w:rPr>
          <w:rFonts w:ascii="Times New Roman" w:hAnsi="Times New Roman" w:cs="Times New Roman"/>
          <w:bCs/>
        </w:rPr>
        <w:t>T</w:t>
      </w:r>
      <w:r w:rsidRPr="0078758B">
        <w:rPr>
          <w:rFonts w:ascii="Times New Roman" w:hAnsi="Times New Roman" w:cs="Times New Roman"/>
          <w:bCs/>
        </w:rPr>
        <w:t xml:space="preserve">o ensure compliance with the Act, ERCOT is reviewing the ownership of all Interconnecting Entities (IEs) that have </w:t>
      </w:r>
      <w:r w:rsidR="0078758B">
        <w:rPr>
          <w:rFonts w:ascii="Times New Roman" w:hAnsi="Times New Roman" w:cs="Times New Roman"/>
          <w:bCs/>
        </w:rPr>
        <w:t xml:space="preserve">proposed </w:t>
      </w:r>
      <w:r w:rsidR="00357D85">
        <w:rPr>
          <w:rFonts w:ascii="Times New Roman" w:hAnsi="Times New Roman" w:cs="Times New Roman"/>
          <w:bCs/>
        </w:rPr>
        <w:t>G</w:t>
      </w:r>
      <w:r w:rsidR="0078758B">
        <w:rPr>
          <w:rFonts w:ascii="Times New Roman" w:hAnsi="Times New Roman" w:cs="Times New Roman"/>
          <w:bCs/>
        </w:rPr>
        <w:t xml:space="preserve">eneration </w:t>
      </w:r>
      <w:r w:rsidR="00357D85">
        <w:rPr>
          <w:rFonts w:ascii="Times New Roman" w:hAnsi="Times New Roman" w:cs="Times New Roman"/>
          <w:bCs/>
        </w:rPr>
        <w:br/>
        <w:t>R</w:t>
      </w:r>
      <w:r w:rsidR="0078758B">
        <w:rPr>
          <w:rFonts w:ascii="Times New Roman" w:hAnsi="Times New Roman" w:cs="Times New Roman"/>
          <w:bCs/>
        </w:rPr>
        <w:t xml:space="preserve">esource </w:t>
      </w:r>
      <w:r w:rsidRPr="0078758B">
        <w:rPr>
          <w:rFonts w:ascii="Times New Roman" w:hAnsi="Times New Roman" w:cs="Times New Roman"/>
          <w:bCs/>
        </w:rPr>
        <w:t xml:space="preserve">projects pending in ERCOT’s interconnection process. </w:t>
      </w:r>
    </w:p>
    <w:p w14:paraId="473E19ED" w14:textId="0B9CB3BC" w:rsidR="00C946BC" w:rsidRPr="0078758B" w:rsidRDefault="00C946BC" w:rsidP="00C8401A">
      <w:pPr>
        <w:ind w:firstLine="720"/>
        <w:jc w:val="both"/>
        <w:rPr>
          <w:rFonts w:ascii="Times New Roman" w:hAnsi="Times New Roman" w:cs="Times New Roman"/>
        </w:rPr>
      </w:pPr>
      <w:r w:rsidRPr="0078758B">
        <w:rPr>
          <w:rFonts w:ascii="Times New Roman" w:hAnsi="Times New Roman" w:cs="Times New Roman"/>
          <w:bCs/>
        </w:rPr>
        <w:t xml:space="preserve">The Act prohibits ERCOT from entering into an agreement that would grant </w:t>
      </w:r>
      <w:r w:rsidR="005419BF" w:rsidRPr="0078758B">
        <w:rPr>
          <w:rFonts w:ascii="Times New Roman" w:hAnsi="Times New Roman" w:cs="Times New Roman"/>
          <w:bCs/>
        </w:rPr>
        <w:t xml:space="preserve">access to the ERCOT System </w:t>
      </w:r>
      <w:r w:rsidRPr="0078758B">
        <w:rPr>
          <w:rFonts w:ascii="Times New Roman" w:hAnsi="Times New Roman" w:cs="Times New Roman"/>
          <w:bCs/>
        </w:rPr>
        <w:t>with companies</w:t>
      </w:r>
      <w:r w:rsidR="0047658F">
        <w:rPr>
          <w:rStyle w:val="FootnoteReference"/>
          <w:rFonts w:ascii="Times New Roman" w:hAnsi="Times New Roman" w:cs="Times New Roman"/>
          <w:bCs/>
        </w:rPr>
        <w:footnoteReference w:id="5"/>
      </w:r>
      <w:r w:rsidRPr="0078758B">
        <w:rPr>
          <w:rFonts w:ascii="Times New Roman" w:hAnsi="Times New Roman" w:cs="Times New Roman"/>
          <w:bCs/>
        </w:rPr>
        <w:t xml:space="preserve"> that are: </w:t>
      </w:r>
    </w:p>
    <w:p w14:paraId="658CCBDA" w14:textId="0D1945A7" w:rsidR="005C0B99" w:rsidRPr="00FC39EE" w:rsidRDefault="005C0B99" w:rsidP="00FC39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bookmarkStart w:id="1" w:name="_Hlk81321257"/>
      <w:r w:rsidRPr="00FC39EE">
        <w:rPr>
          <w:rFonts w:ascii="Times New Roman" w:hAnsi="Times New Roman" w:cs="Times New Roman"/>
          <w:b/>
          <w:bCs/>
        </w:rPr>
        <w:t>owned by or the majority of stock or other ownership interest of the company is held or controlled by:</w:t>
      </w:r>
    </w:p>
    <w:p w14:paraId="2D13683F" w14:textId="77777777" w:rsidR="00FC39EE" w:rsidRDefault="005C0B99" w:rsidP="00FC39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FC39EE">
        <w:rPr>
          <w:rFonts w:ascii="Times New Roman" w:hAnsi="Times New Roman" w:cs="Times New Roman"/>
          <w:b/>
          <w:bCs/>
        </w:rPr>
        <w:t>individuals who are citizens of China, Iran, North Korea, Russia, or a designated country;</w:t>
      </w:r>
      <w:r w:rsidR="00DD2705" w:rsidRPr="0078758B">
        <w:rPr>
          <w:rStyle w:val="FootnoteReference"/>
          <w:rFonts w:ascii="Times New Roman" w:hAnsi="Times New Roman" w:cs="Times New Roman"/>
          <w:b/>
          <w:bCs/>
        </w:rPr>
        <w:footnoteReference w:id="6"/>
      </w:r>
      <w:r w:rsidRPr="00FC39EE">
        <w:rPr>
          <w:rFonts w:ascii="Times New Roman" w:hAnsi="Times New Roman" w:cs="Times New Roman"/>
          <w:b/>
          <w:bCs/>
        </w:rPr>
        <w:t xml:space="preserve"> or</w:t>
      </w:r>
    </w:p>
    <w:p w14:paraId="615AC0F0" w14:textId="0CF84FA0" w:rsidR="005C0B99" w:rsidRPr="00FC39EE" w:rsidRDefault="005C0B99" w:rsidP="00FC39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FC39EE">
        <w:rPr>
          <w:rFonts w:ascii="Times New Roman" w:hAnsi="Times New Roman" w:cs="Times New Roman"/>
          <w:b/>
          <w:bCs/>
        </w:rPr>
        <w:t>a company or other entity, including a governmental entity, that is owned or controlled by citizens of or is directly controlled by the government of China, Iran, North Korea, Russia, or a designated country; or</w:t>
      </w:r>
    </w:p>
    <w:p w14:paraId="71A89392" w14:textId="6EA82408" w:rsidR="005C0B99" w:rsidRPr="00FC39EE" w:rsidRDefault="005C0B99" w:rsidP="00FC39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FC39EE">
        <w:rPr>
          <w:rFonts w:ascii="Times New Roman" w:hAnsi="Times New Roman" w:cs="Times New Roman"/>
          <w:b/>
          <w:bCs/>
        </w:rPr>
        <w:t>headquartered in China, Iran, North Korea, Russia, or a designated country.</w:t>
      </w:r>
    </w:p>
    <w:bookmarkEnd w:id="1"/>
    <w:p w14:paraId="6B3246D1" w14:textId="201B60C7" w:rsidR="005C0B99" w:rsidRPr="00FC39EE" w:rsidRDefault="005C0B99" w:rsidP="00FC39EE">
      <w:pPr>
        <w:jc w:val="both"/>
        <w:rPr>
          <w:rFonts w:ascii="Times New Roman" w:hAnsi="Times New Roman" w:cs="Times New Roman"/>
        </w:rPr>
      </w:pPr>
      <w:r w:rsidRPr="00FC39EE">
        <w:rPr>
          <w:rFonts w:ascii="Times New Roman" w:hAnsi="Times New Roman" w:cs="Times New Roman"/>
        </w:rPr>
        <w:t xml:space="preserve">The prohibition described </w:t>
      </w:r>
      <w:r w:rsidR="00C946BC" w:rsidRPr="00FC39EE">
        <w:rPr>
          <w:rFonts w:ascii="Times New Roman" w:hAnsi="Times New Roman" w:cs="Times New Roman"/>
        </w:rPr>
        <w:t>above</w:t>
      </w:r>
      <w:r w:rsidRPr="00FC39EE">
        <w:rPr>
          <w:rFonts w:ascii="Times New Roman" w:hAnsi="Times New Roman" w:cs="Times New Roman"/>
        </w:rPr>
        <w:t xml:space="preserve"> applies regardless of whether:</w:t>
      </w:r>
    </w:p>
    <w:p w14:paraId="02D3A6A8" w14:textId="7DCCCE82" w:rsidR="005C0B99" w:rsidRPr="00FC39EE" w:rsidRDefault="005C0B99" w:rsidP="00FC39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FC39EE">
        <w:rPr>
          <w:rFonts w:ascii="Times New Roman" w:hAnsi="Times New Roman" w:cs="Times New Roman"/>
          <w:b/>
          <w:bCs/>
        </w:rPr>
        <w:t>the company's or its parent company's securities are publicly traded; or</w:t>
      </w:r>
    </w:p>
    <w:p w14:paraId="0CAD2FB6" w14:textId="7C87C45D" w:rsidR="005C0B99" w:rsidRPr="00FC39EE" w:rsidRDefault="005C0B99" w:rsidP="00FC39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FC39EE">
        <w:rPr>
          <w:rFonts w:ascii="Times New Roman" w:hAnsi="Times New Roman" w:cs="Times New Roman"/>
          <w:b/>
          <w:bCs/>
        </w:rPr>
        <w:t>the company or its parent company is listed on a public stock exchange as:</w:t>
      </w:r>
    </w:p>
    <w:p w14:paraId="6B0C00D4" w14:textId="70B7197B" w:rsidR="005C0B99" w:rsidRPr="00FC39EE" w:rsidRDefault="005C0B99" w:rsidP="00FC39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FC39EE">
        <w:rPr>
          <w:rFonts w:ascii="Times New Roman" w:hAnsi="Times New Roman" w:cs="Times New Roman"/>
          <w:b/>
          <w:bCs/>
        </w:rPr>
        <w:t>a Chinese, Iranian, North Korean, or Russian company; or</w:t>
      </w:r>
    </w:p>
    <w:p w14:paraId="245ED075" w14:textId="50B26603" w:rsidR="002A04FF" w:rsidRPr="00FC39EE" w:rsidRDefault="005C0B99" w:rsidP="00FC39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FC39EE">
        <w:rPr>
          <w:rFonts w:ascii="Times New Roman" w:hAnsi="Times New Roman" w:cs="Times New Roman"/>
          <w:b/>
          <w:bCs/>
        </w:rPr>
        <w:t>a company of a designated country.</w:t>
      </w:r>
    </w:p>
    <w:p w14:paraId="4A5D5F01" w14:textId="26BBCD91" w:rsidR="00597ED5" w:rsidRPr="0078758B" w:rsidRDefault="002A04FF" w:rsidP="00726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2A04FF">
        <w:rPr>
          <w:rFonts w:ascii="Times New Roman" w:hAnsi="Times New Roman" w:cs="Times New Roman"/>
        </w:rPr>
        <w:t xml:space="preserve">The Act </w:t>
      </w:r>
      <w:r w:rsidR="0072631F">
        <w:rPr>
          <w:rFonts w:ascii="Times New Roman" w:hAnsi="Times New Roman" w:cs="Times New Roman"/>
        </w:rPr>
        <w:t xml:space="preserve">further </w:t>
      </w:r>
      <w:r w:rsidRPr="002A04FF">
        <w:rPr>
          <w:rFonts w:ascii="Times New Roman" w:hAnsi="Times New Roman" w:cs="Times New Roman"/>
        </w:rPr>
        <w:t xml:space="preserve">prohibits </w:t>
      </w:r>
      <w:r w:rsidR="005B1B28">
        <w:rPr>
          <w:rFonts w:ascii="Times New Roman" w:hAnsi="Times New Roman" w:cs="Times New Roman"/>
        </w:rPr>
        <w:t>ERCOT from entering into an</w:t>
      </w:r>
      <w:r w:rsidR="00027702">
        <w:rPr>
          <w:rFonts w:ascii="Times New Roman" w:hAnsi="Times New Roman" w:cs="Times New Roman"/>
        </w:rPr>
        <w:t xml:space="preserve"> agreement that would grant access to the ERCOT System if </w:t>
      </w:r>
      <w:r w:rsidRPr="002A04FF">
        <w:rPr>
          <w:rFonts w:ascii="Times New Roman" w:hAnsi="Times New Roman" w:cs="Times New Roman"/>
        </w:rPr>
        <w:t xml:space="preserve">the project </w:t>
      </w:r>
      <w:r w:rsidR="005B1B28">
        <w:rPr>
          <w:rFonts w:ascii="Times New Roman" w:hAnsi="Times New Roman" w:cs="Times New Roman"/>
        </w:rPr>
        <w:t xml:space="preserve">would be </w:t>
      </w:r>
      <w:r w:rsidRPr="002A04FF">
        <w:rPr>
          <w:rFonts w:ascii="Times New Roman" w:hAnsi="Times New Roman" w:cs="Times New Roman"/>
        </w:rPr>
        <w:t xml:space="preserve">located on real property that is owned or controlled by a company that meets the above criteria. </w:t>
      </w:r>
      <w:r w:rsidR="00DD2705" w:rsidRPr="0078758B">
        <w:rPr>
          <w:rFonts w:ascii="Times New Roman" w:hAnsi="Times New Roman" w:cs="Times New Roman"/>
        </w:rPr>
        <w:t>This</w:t>
      </w:r>
      <w:r w:rsidR="00322DCA">
        <w:rPr>
          <w:rFonts w:ascii="Times New Roman" w:hAnsi="Times New Roman" w:cs="Times New Roman"/>
        </w:rPr>
        <w:t xml:space="preserve"> </w:t>
      </w:r>
      <w:r w:rsidR="00DD2705" w:rsidRPr="0078758B">
        <w:rPr>
          <w:rFonts w:ascii="Times New Roman" w:hAnsi="Times New Roman" w:cs="Times New Roman"/>
        </w:rPr>
        <w:t xml:space="preserve">RFI </w:t>
      </w:r>
      <w:r w:rsidR="0078758B" w:rsidRPr="0078758B">
        <w:rPr>
          <w:rFonts w:ascii="Times New Roman" w:hAnsi="Times New Roman" w:cs="Times New Roman"/>
        </w:rPr>
        <w:t xml:space="preserve">requests that each </w:t>
      </w:r>
      <w:r w:rsidR="000A6C16" w:rsidRPr="0078758B">
        <w:rPr>
          <w:rFonts w:ascii="Times New Roman" w:hAnsi="Times New Roman" w:cs="Times New Roman"/>
        </w:rPr>
        <w:t xml:space="preserve">IE </w:t>
      </w:r>
      <w:r w:rsidR="0078758B" w:rsidRPr="0078758B">
        <w:rPr>
          <w:rFonts w:ascii="Times New Roman" w:hAnsi="Times New Roman" w:cs="Times New Roman"/>
        </w:rPr>
        <w:t xml:space="preserve">execute an attestation form </w:t>
      </w:r>
      <w:r w:rsidR="003B73FF">
        <w:rPr>
          <w:rFonts w:ascii="Times New Roman" w:hAnsi="Times New Roman" w:cs="Times New Roman"/>
        </w:rPr>
        <w:t xml:space="preserve">regarding </w:t>
      </w:r>
      <w:r w:rsidR="000A6C16" w:rsidRPr="0078758B">
        <w:rPr>
          <w:rFonts w:ascii="Times New Roman" w:hAnsi="Times New Roman" w:cs="Times New Roman"/>
        </w:rPr>
        <w:t>compl</w:t>
      </w:r>
      <w:r w:rsidR="0078758B" w:rsidRPr="0078758B">
        <w:rPr>
          <w:rFonts w:ascii="Times New Roman" w:hAnsi="Times New Roman" w:cs="Times New Roman"/>
        </w:rPr>
        <w:t>i</w:t>
      </w:r>
      <w:r w:rsidR="003B73FF">
        <w:rPr>
          <w:rFonts w:ascii="Times New Roman" w:hAnsi="Times New Roman" w:cs="Times New Roman"/>
        </w:rPr>
        <w:t>ance</w:t>
      </w:r>
      <w:r w:rsidR="0078758B" w:rsidRPr="0078758B">
        <w:rPr>
          <w:rFonts w:ascii="Times New Roman" w:hAnsi="Times New Roman" w:cs="Times New Roman"/>
        </w:rPr>
        <w:t xml:space="preserve"> with </w:t>
      </w:r>
      <w:r w:rsidR="000A6C16" w:rsidRPr="0078758B">
        <w:rPr>
          <w:rFonts w:ascii="Times New Roman" w:hAnsi="Times New Roman" w:cs="Times New Roman"/>
        </w:rPr>
        <w:t>the Act.</w:t>
      </w:r>
      <w:r w:rsidR="000A6C16" w:rsidRPr="0078758B">
        <w:rPr>
          <w:rStyle w:val="FootnoteReference"/>
          <w:rFonts w:ascii="Times New Roman" w:hAnsi="Times New Roman" w:cs="Times New Roman"/>
        </w:rPr>
        <w:footnoteReference w:id="7"/>
      </w:r>
      <w:r w:rsidR="000A6C16" w:rsidRPr="0078758B">
        <w:rPr>
          <w:rFonts w:ascii="Times New Roman" w:hAnsi="Times New Roman" w:cs="Times New Roman"/>
        </w:rPr>
        <w:t xml:space="preserve">  </w:t>
      </w:r>
      <w:r w:rsidR="000A6C16" w:rsidRPr="009A04AD">
        <w:rPr>
          <w:rFonts w:ascii="Times New Roman" w:hAnsi="Times New Roman" w:cs="Times New Roman"/>
        </w:rPr>
        <w:t xml:space="preserve">If an </w:t>
      </w:r>
      <w:r w:rsidR="0078758B" w:rsidRPr="009A04AD">
        <w:rPr>
          <w:rFonts w:ascii="Times New Roman" w:hAnsi="Times New Roman" w:cs="Times New Roman"/>
        </w:rPr>
        <w:t>attestation reflects that an</w:t>
      </w:r>
      <w:r w:rsidR="00240DDC">
        <w:rPr>
          <w:rFonts w:ascii="Times New Roman" w:hAnsi="Times New Roman" w:cs="Times New Roman"/>
        </w:rPr>
        <w:t>y of the statutory criteria apply to</w:t>
      </w:r>
      <w:r w:rsidR="0078758B" w:rsidRPr="009A04AD">
        <w:rPr>
          <w:rFonts w:ascii="Times New Roman" w:hAnsi="Times New Roman" w:cs="Times New Roman"/>
        </w:rPr>
        <w:t xml:space="preserve"> IE</w:t>
      </w:r>
      <w:r w:rsidR="000A6C16" w:rsidRPr="009A04AD">
        <w:rPr>
          <w:rFonts w:ascii="Times New Roman" w:hAnsi="Times New Roman" w:cs="Times New Roman"/>
        </w:rPr>
        <w:t>, ERCO</w:t>
      </w:r>
      <w:r w:rsidR="009A04AD" w:rsidRPr="009A04AD">
        <w:rPr>
          <w:rFonts w:ascii="Times New Roman" w:hAnsi="Times New Roman" w:cs="Times New Roman"/>
        </w:rPr>
        <w:t xml:space="preserve">T </w:t>
      </w:r>
      <w:r w:rsidR="00586F66">
        <w:rPr>
          <w:rFonts w:ascii="Times New Roman" w:hAnsi="Times New Roman" w:cs="Times New Roman"/>
        </w:rPr>
        <w:t xml:space="preserve">may </w:t>
      </w:r>
      <w:r w:rsidR="009A04AD" w:rsidRPr="009A04AD">
        <w:rPr>
          <w:rFonts w:ascii="Times New Roman" w:hAnsi="Times New Roman" w:cs="Times New Roman"/>
        </w:rPr>
        <w:t>provide notice of potential cancel</w:t>
      </w:r>
      <w:r>
        <w:rPr>
          <w:rFonts w:ascii="Times New Roman" w:hAnsi="Times New Roman" w:cs="Times New Roman"/>
        </w:rPr>
        <w:t>l</w:t>
      </w:r>
      <w:r w:rsidR="009A04AD" w:rsidRPr="009A04AD">
        <w:rPr>
          <w:rFonts w:ascii="Times New Roman" w:hAnsi="Times New Roman" w:cs="Times New Roman"/>
        </w:rPr>
        <w:t xml:space="preserve">ation </w:t>
      </w:r>
      <w:r w:rsidR="000E6B31">
        <w:rPr>
          <w:rFonts w:ascii="Times New Roman" w:hAnsi="Times New Roman" w:cs="Times New Roman"/>
        </w:rPr>
        <w:lastRenderedPageBreak/>
        <w:t>in accordance with the</w:t>
      </w:r>
      <w:r w:rsidR="009A04AD" w:rsidRPr="009A04AD">
        <w:rPr>
          <w:rFonts w:ascii="Times New Roman" w:hAnsi="Times New Roman" w:cs="Times New Roman"/>
        </w:rPr>
        <w:t xml:space="preserve"> </w:t>
      </w:r>
      <w:r w:rsidR="000E6B31">
        <w:rPr>
          <w:rFonts w:ascii="Times New Roman" w:hAnsi="Times New Roman" w:cs="Times New Roman"/>
        </w:rPr>
        <w:t>process established in the</w:t>
      </w:r>
      <w:r w:rsidR="009A04AD" w:rsidRPr="009A04AD">
        <w:rPr>
          <w:rFonts w:ascii="Times New Roman" w:hAnsi="Times New Roman" w:cs="Times New Roman"/>
        </w:rPr>
        <w:t xml:space="preserve"> ERCOT Planning Guide, Section 5.7.7</w:t>
      </w:r>
      <w:r w:rsidR="000E6B31">
        <w:rPr>
          <w:rFonts w:ascii="Times New Roman" w:hAnsi="Times New Roman" w:cs="Times New Roman"/>
        </w:rPr>
        <w:t xml:space="preserve">, </w:t>
      </w:r>
      <w:r w:rsidR="000E6B31" w:rsidRPr="000E6B31">
        <w:rPr>
          <w:rFonts w:ascii="Times New Roman" w:hAnsi="Times New Roman" w:cs="Times New Roman"/>
        </w:rPr>
        <w:t>Cancellation of a Project Due to Failure to Comply with Requirements</w:t>
      </w:r>
      <w:r w:rsidR="000E6B31">
        <w:rPr>
          <w:rFonts w:ascii="Times New Roman" w:hAnsi="Times New Roman" w:cs="Times New Roman"/>
        </w:rPr>
        <w:t>.</w:t>
      </w:r>
      <w:r w:rsidR="000E6B31" w:rsidRPr="000E6B31">
        <w:rPr>
          <w:rFonts w:ascii="Times New Roman" w:hAnsi="Times New Roman" w:cs="Times New Roman"/>
        </w:rPr>
        <w:t xml:space="preserve"> </w:t>
      </w:r>
      <w:r w:rsidR="000E6B31">
        <w:rPr>
          <w:rFonts w:ascii="Times New Roman" w:hAnsi="Times New Roman" w:cs="Times New Roman"/>
        </w:rPr>
        <w:t xml:space="preserve"> </w:t>
      </w:r>
      <w:r w:rsidR="000A6C16" w:rsidRPr="009A04AD">
        <w:rPr>
          <w:rFonts w:ascii="Times New Roman" w:hAnsi="Times New Roman" w:cs="Times New Roman"/>
        </w:rPr>
        <w:t xml:space="preserve">If an IE does not timely </w:t>
      </w:r>
      <w:r w:rsidR="0078758B" w:rsidRPr="009A04AD">
        <w:rPr>
          <w:rFonts w:ascii="Times New Roman" w:hAnsi="Times New Roman" w:cs="Times New Roman"/>
        </w:rPr>
        <w:t xml:space="preserve">submit the attestation and </w:t>
      </w:r>
      <w:r w:rsidR="000A6C16" w:rsidRPr="009A04AD">
        <w:rPr>
          <w:rFonts w:ascii="Times New Roman" w:hAnsi="Times New Roman" w:cs="Times New Roman"/>
        </w:rPr>
        <w:t>achieve compliance with the Act, the IE’s project will be canceled.</w:t>
      </w:r>
      <w:r w:rsidR="000A6C16" w:rsidRPr="0078758B">
        <w:rPr>
          <w:rFonts w:ascii="Times New Roman" w:hAnsi="Times New Roman" w:cs="Times New Roman"/>
        </w:rPr>
        <w:t xml:space="preserve"> </w:t>
      </w:r>
    </w:p>
    <w:p w14:paraId="0FD5D85A" w14:textId="6CF9CF95" w:rsidR="00597ED5" w:rsidRPr="0078758B" w:rsidRDefault="00597ED5" w:rsidP="00332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78758B">
        <w:rPr>
          <w:rFonts w:ascii="Times New Roman" w:hAnsi="Times New Roman" w:cs="Times New Roman"/>
          <w:b/>
          <w:bCs/>
          <w:u w:val="single"/>
        </w:rPr>
        <w:t xml:space="preserve">RFI Instructions </w:t>
      </w:r>
      <w:r w:rsidR="0033268F" w:rsidRPr="0078758B">
        <w:rPr>
          <w:rFonts w:ascii="Times New Roman" w:hAnsi="Times New Roman" w:cs="Times New Roman"/>
          <w:b/>
          <w:bCs/>
          <w:u w:val="single"/>
        </w:rPr>
        <w:t xml:space="preserve">and Attestation Form </w:t>
      </w:r>
    </w:p>
    <w:p w14:paraId="0683E04E" w14:textId="3E14E39E" w:rsidR="00DC5D69" w:rsidRPr="00DC5D69" w:rsidRDefault="005419BF" w:rsidP="00DC5D69">
      <w:pPr>
        <w:ind w:firstLine="720"/>
        <w:jc w:val="both"/>
        <w:rPr>
          <w:rFonts w:ascii="Times New Roman" w:hAnsi="Times New Roman" w:cs="Times New Roman"/>
          <w:b/>
          <w:bCs/>
        </w:rPr>
      </w:pPr>
      <w:bookmarkStart w:id="2" w:name="_Hlk89334323"/>
      <w:r w:rsidRPr="0078758B">
        <w:rPr>
          <w:rFonts w:ascii="Times New Roman" w:hAnsi="Times New Roman" w:cs="Times New Roman"/>
        </w:rPr>
        <w:t xml:space="preserve">Please </w:t>
      </w:r>
      <w:r w:rsidR="00E25A03">
        <w:rPr>
          <w:rFonts w:ascii="Times New Roman" w:hAnsi="Times New Roman" w:cs="Times New Roman"/>
        </w:rPr>
        <w:t xml:space="preserve">complete </w:t>
      </w:r>
      <w:r w:rsidR="00417897" w:rsidRPr="0078758B">
        <w:rPr>
          <w:rFonts w:ascii="Times New Roman" w:hAnsi="Times New Roman" w:cs="Times New Roman"/>
        </w:rPr>
        <w:t xml:space="preserve">the attestation </w:t>
      </w:r>
      <w:r w:rsidR="00356F0C" w:rsidRPr="0078758B">
        <w:rPr>
          <w:rFonts w:ascii="Times New Roman" w:hAnsi="Times New Roman" w:cs="Times New Roman"/>
        </w:rPr>
        <w:t xml:space="preserve">form </w:t>
      </w:r>
      <w:r w:rsidR="00625E27">
        <w:rPr>
          <w:rFonts w:ascii="Times New Roman" w:hAnsi="Times New Roman" w:cs="Times New Roman"/>
        </w:rPr>
        <w:t>on the following pag</w:t>
      </w:r>
      <w:r w:rsidR="00E25A03">
        <w:rPr>
          <w:rFonts w:ascii="Times New Roman" w:hAnsi="Times New Roman" w:cs="Times New Roman"/>
        </w:rPr>
        <w:t>e and r</w:t>
      </w:r>
      <w:r w:rsidR="00417897" w:rsidRPr="0078758B">
        <w:rPr>
          <w:rFonts w:ascii="Times New Roman" w:hAnsi="Times New Roman" w:cs="Times New Roman"/>
        </w:rPr>
        <w:t xml:space="preserve">eturn the executed attestation to ERCOT via email to: </w:t>
      </w:r>
      <w:r w:rsidR="00C51953">
        <w:rPr>
          <w:rFonts w:ascii="Times New Roman" w:hAnsi="Times New Roman" w:cs="Times New Roman"/>
        </w:rPr>
        <w:t>LSIPA</w:t>
      </w:r>
      <w:r w:rsidR="00417897" w:rsidRPr="0078758B">
        <w:rPr>
          <w:rFonts w:ascii="Times New Roman" w:hAnsi="Times New Roman" w:cs="Times New Roman"/>
        </w:rPr>
        <w:t xml:space="preserve">@ercot.com. </w:t>
      </w:r>
      <w:r w:rsidR="001932CE" w:rsidRPr="0078758B">
        <w:rPr>
          <w:rFonts w:ascii="Times New Roman" w:hAnsi="Times New Roman" w:cs="Times New Roman"/>
        </w:rPr>
        <w:t xml:space="preserve"> </w:t>
      </w:r>
      <w:r w:rsidR="003731A8">
        <w:rPr>
          <w:rFonts w:ascii="Times New Roman" w:hAnsi="Times New Roman" w:cs="Times New Roman"/>
          <w:b/>
          <w:bCs/>
        </w:rPr>
        <w:t>E</w:t>
      </w:r>
      <w:r w:rsidR="00F76DA2" w:rsidRPr="0078758B">
        <w:rPr>
          <w:rFonts w:ascii="Times New Roman" w:hAnsi="Times New Roman" w:cs="Times New Roman"/>
          <w:b/>
          <w:bCs/>
        </w:rPr>
        <w:t>xecuted attestation</w:t>
      </w:r>
      <w:r w:rsidR="003731A8">
        <w:rPr>
          <w:rFonts w:ascii="Times New Roman" w:hAnsi="Times New Roman" w:cs="Times New Roman"/>
          <w:b/>
          <w:bCs/>
        </w:rPr>
        <w:t>s</w:t>
      </w:r>
      <w:r w:rsidR="005A6772" w:rsidRPr="0078758B">
        <w:rPr>
          <w:rFonts w:ascii="Times New Roman" w:hAnsi="Times New Roman" w:cs="Times New Roman"/>
          <w:b/>
          <w:bCs/>
        </w:rPr>
        <w:t xml:space="preserve"> </w:t>
      </w:r>
      <w:r w:rsidR="00D00F88">
        <w:rPr>
          <w:rFonts w:ascii="Times New Roman" w:hAnsi="Times New Roman" w:cs="Times New Roman"/>
          <w:b/>
          <w:bCs/>
        </w:rPr>
        <w:t>must be received by ERCOT</w:t>
      </w:r>
      <w:r w:rsidR="00F76DA2" w:rsidRPr="0078758B">
        <w:rPr>
          <w:rFonts w:ascii="Times New Roman" w:hAnsi="Times New Roman" w:cs="Times New Roman"/>
          <w:b/>
          <w:bCs/>
        </w:rPr>
        <w:t xml:space="preserve"> no later than</w:t>
      </w:r>
      <w:r w:rsidR="00A16131">
        <w:rPr>
          <w:rFonts w:ascii="Times New Roman" w:hAnsi="Times New Roman" w:cs="Times New Roman"/>
          <w:b/>
          <w:bCs/>
        </w:rPr>
        <w:t xml:space="preserve"> January 14, </w:t>
      </w:r>
      <w:r w:rsidR="00F76DA2" w:rsidRPr="0078758B">
        <w:rPr>
          <w:rFonts w:ascii="Times New Roman" w:hAnsi="Times New Roman" w:cs="Times New Roman"/>
          <w:b/>
          <w:bCs/>
        </w:rPr>
        <w:t>202</w:t>
      </w:r>
      <w:r w:rsidR="00C77814">
        <w:rPr>
          <w:rFonts w:ascii="Times New Roman" w:hAnsi="Times New Roman" w:cs="Times New Roman"/>
          <w:b/>
          <w:bCs/>
        </w:rPr>
        <w:t>2</w:t>
      </w:r>
      <w:r w:rsidR="00F76DA2" w:rsidRPr="0078758B">
        <w:rPr>
          <w:rFonts w:ascii="Times New Roman" w:hAnsi="Times New Roman" w:cs="Times New Roman"/>
          <w:b/>
          <w:bCs/>
        </w:rPr>
        <w:t xml:space="preserve">.  </w:t>
      </w:r>
      <w:r w:rsidR="001932CE" w:rsidRPr="0078758B">
        <w:rPr>
          <w:rFonts w:ascii="Times New Roman" w:hAnsi="Times New Roman" w:cs="Times New Roman"/>
          <w:b/>
          <w:bCs/>
        </w:rPr>
        <w:t xml:space="preserve"> </w:t>
      </w:r>
    </w:p>
    <w:bookmarkEnd w:id="2"/>
    <w:p w14:paraId="29C1E9F6" w14:textId="16F1B13D" w:rsidR="00DC5D69" w:rsidRDefault="00DC5D69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1293C50" w14:textId="35FBAA05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2B65D4F" w14:textId="79264ADB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D12A560" w14:textId="5F5F2A6A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EB1CD7" w14:textId="36BE595E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F774F41" w14:textId="5F283DDD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DA2B8B" w14:textId="3DC52852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FA8ADCD" w14:textId="15206D6A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8122A1E" w14:textId="0BE673A1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2EE99D8" w14:textId="3690A958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6BD5F72" w14:textId="0A038763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46D94D1" w14:textId="3AF2E414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324980E" w14:textId="7DE9FAD1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482ACD" w14:textId="2F9EAC27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3F180D" w14:textId="108A9A4B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4DF48E" w14:textId="39ABC61A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DDB971C" w14:textId="3C40C179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B4B108E" w14:textId="29C6EA02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F0C2112" w14:textId="1F5DA148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60116A7" w14:textId="52CEFA28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95FA32D" w14:textId="1503DC9A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032BEF6" w14:textId="45D4B3FD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C09DBD6" w14:textId="71435BEF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02ACCB2" w14:textId="44FB9FA8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428C574" w14:textId="2B2BA951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50B486A" w14:textId="5CE5E8FE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B2833FB" w14:textId="505F30F9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E6A5FB" w14:textId="217A931C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66A55A3" w14:textId="68643E75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8BCEC3D" w14:textId="32BFC2EB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1A57449" w14:textId="436ACFDD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3B525BA" w14:textId="07755113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B40D29" w14:textId="62F1C6D8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0663B96" w14:textId="77777777" w:rsidR="00322DCA" w:rsidRDefault="00322DCA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93C2A2A" w14:textId="142A9807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117074E" w14:textId="2B800F1B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AD05B7E" w14:textId="4F67F1CC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1B3EF5B" w14:textId="4EF26481" w:rsidR="002B2014" w:rsidRDefault="002B2014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40678A9" w14:textId="474FD664" w:rsidR="002B2014" w:rsidRDefault="002B2014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CE0A2DA" w14:textId="30D46DF2" w:rsidR="002B2014" w:rsidRDefault="002B2014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8AB434" w14:textId="4430202F" w:rsidR="002B2014" w:rsidRDefault="002B2014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54F7721" w14:textId="77777777" w:rsidR="002B2014" w:rsidRDefault="002B2014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52A6D0E" w14:textId="07A68E8D" w:rsidR="00625E27" w:rsidRDefault="00625E27" w:rsidP="0084697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58DC11C" w14:textId="77777777" w:rsidR="00625E27" w:rsidRPr="0078758B" w:rsidRDefault="00625E27" w:rsidP="00D00F8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6EA8021" w14:textId="77777777" w:rsidR="00DC5D69" w:rsidRPr="00DC5D69" w:rsidRDefault="00DC5D69" w:rsidP="00DC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5D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ATTESTATION REGARDING COMPLIANCE WITH </w:t>
      </w:r>
    </w:p>
    <w:p w14:paraId="5D423B1E" w14:textId="77777777" w:rsidR="00DC5D69" w:rsidRPr="00DC5D69" w:rsidRDefault="00DC5D69" w:rsidP="00DC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DC5D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Pr="00DC5D69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Lone Star Infrastructure Protection Act</w:t>
      </w:r>
    </w:p>
    <w:p w14:paraId="50E2E02A" w14:textId="77777777" w:rsidR="00DC5D69" w:rsidRPr="00DC5D69" w:rsidRDefault="00DC5D69" w:rsidP="00DC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E852C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BEC65" w14:textId="54D3B1E9" w:rsidR="00DC5D69" w:rsidRPr="00DC5D69" w:rsidRDefault="00DC5D69" w:rsidP="00F26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81561910"/>
      <w:r w:rsidRPr="00DC5D69">
        <w:rPr>
          <w:rFonts w:ascii="Times New Roman" w:eastAsia="Times New Roman" w:hAnsi="Times New Roman" w:cs="Times New Roman"/>
          <w:b/>
          <w:sz w:val="24"/>
          <w:szCs w:val="24"/>
        </w:rPr>
        <w:t>Interconnecting Entity (IE)</w:t>
      </w:r>
      <w:r w:rsidR="00974D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E3A1B" w:rsidRPr="000A0421">
        <w:rPr>
          <w:rFonts w:ascii="Cambria" w:hAnsi="Cambri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7E3A1B" w:rsidRPr="000A0421">
        <w:rPr>
          <w:rFonts w:ascii="Cambria" w:hAnsi="Cambria"/>
        </w:rPr>
        <w:instrText xml:space="preserve"> FORMTEXT </w:instrText>
      </w:r>
      <w:r w:rsidR="007E3A1B" w:rsidRPr="000A0421">
        <w:rPr>
          <w:rFonts w:ascii="Cambria" w:hAnsi="Cambria"/>
        </w:rPr>
      </w:r>
      <w:r w:rsidR="007E3A1B" w:rsidRPr="000A0421">
        <w:rPr>
          <w:rFonts w:ascii="Cambria" w:hAnsi="Cambria"/>
        </w:rPr>
        <w:fldChar w:fldCharType="separate"/>
      </w:r>
      <w:r w:rsidR="007E3A1B" w:rsidRPr="000A0421">
        <w:rPr>
          <w:rFonts w:ascii="Cambria" w:hAnsi="Cambria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/>
        </w:rPr>
        <w:fldChar w:fldCharType="end"/>
      </w:r>
      <w:bookmarkEnd w:id="4"/>
      <w:r w:rsidR="00974DF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</w:p>
    <w:bookmarkEnd w:id="3"/>
    <w:p w14:paraId="66C8AD4A" w14:textId="13E5C40F" w:rsidR="00DC5D69" w:rsidRPr="00DC5D69" w:rsidRDefault="00DC5D69" w:rsidP="00DC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b/>
          <w:sz w:val="24"/>
          <w:szCs w:val="24"/>
        </w:rPr>
        <w:t>IE’s Interconnection Request (INR) number:</w:t>
      </w:r>
      <w:r w:rsidR="00974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3A1B" w:rsidRPr="000A0421">
        <w:rPr>
          <w:rFonts w:ascii="Cambria" w:hAnsi="Cambri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E3A1B" w:rsidRPr="000A0421">
        <w:rPr>
          <w:rFonts w:ascii="Cambria" w:hAnsi="Cambria"/>
        </w:rPr>
        <w:instrText xml:space="preserve"> FORMTEXT </w:instrText>
      </w:r>
      <w:r w:rsidR="007E3A1B" w:rsidRPr="000A0421">
        <w:rPr>
          <w:rFonts w:ascii="Cambria" w:hAnsi="Cambria"/>
        </w:rPr>
      </w:r>
      <w:r w:rsidR="007E3A1B" w:rsidRPr="000A0421">
        <w:rPr>
          <w:rFonts w:ascii="Cambria" w:hAnsi="Cambria"/>
        </w:rPr>
        <w:fldChar w:fldCharType="separate"/>
      </w:r>
      <w:r w:rsidR="007E3A1B" w:rsidRPr="000A0421">
        <w:rPr>
          <w:rFonts w:ascii="Cambria" w:hAnsi="Cambria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/>
        </w:rPr>
        <w:fldChar w:fldCharType="end"/>
      </w:r>
    </w:p>
    <w:p w14:paraId="31A417D8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37C87" w14:textId="1D7221F1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Check the </w:t>
      </w:r>
      <w:r w:rsidR="003F4409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>box that applie</w:t>
      </w:r>
      <w:r w:rsidR="003F44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5081">
        <w:rPr>
          <w:rFonts w:ascii="Times New Roman" w:eastAsia="Times New Roman" w:hAnsi="Times New Roman" w:cs="Times New Roman"/>
          <w:sz w:val="24"/>
          <w:szCs w:val="24"/>
        </w:rPr>
        <w:t xml:space="preserve"> [do </w:t>
      </w:r>
      <w:r w:rsidR="00235081" w:rsidRPr="00F26FC8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235081">
        <w:rPr>
          <w:rFonts w:ascii="Times New Roman" w:eastAsia="Times New Roman" w:hAnsi="Times New Roman" w:cs="Times New Roman"/>
          <w:sz w:val="24"/>
          <w:szCs w:val="24"/>
        </w:rPr>
        <w:t xml:space="preserve"> check both boxes]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3D36AF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5540B" w14:textId="3EFBC3D9" w:rsidR="00323C1D" w:rsidRDefault="00DD1438" w:rsidP="00DC5D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85025333"/>
      <w:r>
        <w:rPr>
          <w:rFonts w:ascii="Times New Roman" w:eastAsia="Calibri" w:hAnsi="Times New Roman" w:cs="Times New Roman"/>
          <w:sz w:val="24"/>
          <w:szCs w:val="24"/>
        </w:rPr>
        <w:t xml:space="preserve">With respect to the </w:t>
      </w:r>
      <w:r w:rsidR="00B43B9D">
        <w:rPr>
          <w:rFonts w:ascii="Times New Roman" w:eastAsia="Calibri" w:hAnsi="Times New Roman" w:cs="Times New Roman"/>
          <w:sz w:val="24"/>
          <w:szCs w:val="24"/>
        </w:rPr>
        <w:t xml:space="preserve">above referenced IE and </w:t>
      </w:r>
      <w:r>
        <w:rPr>
          <w:rFonts w:ascii="Times New Roman" w:eastAsia="Calibri" w:hAnsi="Times New Roman" w:cs="Times New Roman"/>
          <w:sz w:val="24"/>
          <w:szCs w:val="24"/>
        </w:rPr>
        <w:t>INR number</w:t>
      </w:r>
      <w:r w:rsidR="00B43B9D" w:rsidRPr="00B43B9D">
        <w:t xml:space="preserve"> </w:t>
      </w:r>
      <w:r w:rsidR="00B43B9D" w:rsidRPr="00F26FC8">
        <w:rPr>
          <w:rFonts w:ascii="Times New Roman" w:hAnsi="Times New Roman" w:cs="Times New Roman"/>
          <w:sz w:val="24"/>
          <w:szCs w:val="24"/>
        </w:rPr>
        <w:t xml:space="preserve">and </w:t>
      </w:r>
      <w:r w:rsidR="00B43B9D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B43B9D">
        <w:rPr>
          <w:rFonts w:ascii="Times New Roman" w:eastAsia="Calibri" w:hAnsi="Times New Roman" w:cs="Times New Roman"/>
          <w:sz w:val="24"/>
          <w:szCs w:val="24"/>
        </w:rPr>
        <w:t>each</w:t>
      </w:r>
      <w:r w:rsidR="00B43B9D" w:rsidRPr="00B43B9D">
        <w:rPr>
          <w:rFonts w:ascii="Times New Roman" w:eastAsia="Calibri" w:hAnsi="Times New Roman" w:cs="Times New Roman"/>
          <w:sz w:val="24"/>
          <w:szCs w:val="24"/>
        </w:rPr>
        <w:t xml:space="preserve"> Entity with an ownership interest in the real property to be utilized by the above referenced IE’s project (“Property Owner”)</w:t>
      </w:r>
      <w:r w:rsidR="00B43B9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hereby attest that</w:t>
      </w:r>
      <w:r w:rsidR="00323C1D">
        <w:rPr>
          <w:rFonts w:ascii="Times New Roman" w:eastAsia="Calibri" w:hAnsi="Times New Roman" w:cs="Times New Roman"/>
          <w:sz w:val="24"/>
          <w:szCs w:val="24"/>
        </w:rPr>
        <w:t>:</w:t>
      </w:r>
      <w:r w:rsidR="00DC5D69" w:rsidRPr="00DC5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C1D">
        <w:rPr>
          <w:rFonts w:ascii="Times New Roman" w:eastAsia="Calibri" w:hAnsi="Times New Roman" w:cs="Times New Roman"/>
          <w:sz w:val="24"/>
          <w:szCs w:val="24"/>
        </w:rPr>
        <w:tab/>
      </w:r>
    </w:p>
    <w:p w14:paraId="3E8D55EE" w14:textId="77777777" w:rsidR="008C7683" w:rsidRDefault="008C7683" w:rsidP="00323C1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4E2B4675" w14:textId="7DC43299" w:rsidR="00323C1D" w:rsidRDefault="00DC5D69" w:rsidP="00F26FC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5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FORMCHECKBOX </w:instrText>
      </w:r>
      <w:r w:rsidR="00BF67BA">
        <w:rPr>
          <w:rFonts w:ascii="Times New Roman" w:eastAsia="Calibri" w:hAnsi="Times New Roman" w:cs="Times New Roman"/>
          <w:sz w:val="24"/>
          <w:szCs w:val="24"/>
          <w:lang w:val="x-none" w:eastAsia="x-none"/>
        </w:rPr>
      </w:r>
      <w:r w:rsidR="00BF67B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Pr="00DC5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r w:rsidRPr="00DC5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081">
        <w:rPr>
          <w:rFonts w:ascii="Times New Roman" w:eastAsia="Calibri" w:hAnsi="Times New Roman" w:cs="Times New Roman"/>
          <w:sz w:val="24"/>
          <w:szCs w:val="24"/>
        </w:rPr>
        <w:t>N</w:t>
      </w:r>
      <w:r w:rsidR="00CF2F3D">
        <w:rPr>
          <w:rFonts w:ascii="Times New Roman" w:eastAsia="Calibri" w:hAnsi="Times New Roman" w:cs="Times New Roman"/>
          <w:sz w:val="24"/>
          <w:szCs w:val="24"/>
        </w:rPr>
        <w:t>ONE</w:t>
      </w:r>
      <w:r w:rsidR="00235081">
        <w:rPr>
          <w:rFonts w:ascii="Times New Roman" w:eastAsia="Calibri" w:hAnsi="Times New Roman" w:cs="Times New Roman"/>
          <w:sz w:val="24"/>
          <w:szCs w:val="24"/>
        </w:rPr>
        <w:t xml:space="preserve"> of the</w:t>
      </w:r>
      <w:r w:rsidR="00323C1D">
        <w:rPr>
          <w:rFonts w:ascii="Times New Roman" w:eastAsia="Calibri" w:hAnsi="Times New Roman" w:cs="Times New Roman"/>
          <w:sz w:val="24"/>
          <w:szCs w:val="24"/>
        </w:rPr>
        <w:t xml:space="preserve"> following statements in paragraphs (A)-(C) are TRUE</w:t>
      </w:r>
      <w:r w:rsidR="00B43B9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1B8FD0" w14:textId="77777777" w:rsidR="008C7683" w:rsidRDefault="008C7683" w:rsidP="008C768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7CA4A" w14:textId="0EBEAC43" w:rsidR="00DC5D69" w:rsidRDefault="00DC5D69" w:rsidP="00F26FC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5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FORMCHECKBOX </w:instrText>
      </w:r>
      <w:r w:rsidR="00BF67BA">
        <w:rPr>
          <w:rFonts w:ascii="Times New Roman" w:eastAsia="Calibri" w:hAnsi="Times New Roman" w:cs="Times New Roman"/>
          <w:sz w:val="24"/>
          <w:szCs w:val="24"/>
          <w:lang w:val="x-none" w:eastAsia="x-none"/>
        </w:rPr>
      </w:r>
      <w:r w:rsidR="00BF67B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Pr="00DC5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r w:rsidRPr="00DC5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C1D">
        <w:rPr>
          <w:rFonts w:ascii="Times New Roman" w:eastAsia="Calibri" w:hAnsi="Times New Roman" w:cs="Times New Roman"/>
          <w:sz w:val="24"/>
          <w:szCs w:val="24"/>
        </w:rPr>
        <w:t>O</w:t>
      </w:r>
      <w:r w:rsidR="00CF2F3D">
        <w:rPr>
          <w:rFonts w:ascii="Times New Roman" w:eastAsia="Calibri" w:hAnsi="Times New Roman" w:cs="Times New Roman"/>
          <w:sz w:val="24"/>
          <w:szCs w:val="24"/>
        </w:rPr>
        <w:t>NE</w:t>
      </w:r>
      <w:r w:rsidR="00235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F3D">
        <w:rPr>
          <w:rFonts w:ascii="Times New Roman" w:eastAsia="Calibri" w:hAnsi="Times New Roman" w:cs="Times New Roman"/>
          <w:sz w:val="24"/>
          <w:szCs w:val="24"/>
        </w:rPr>
        <w:t>OR MORE</w:t>
      </w:r>
      <w:r w:rsidR="00235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C1D">
        <w:rPr>
          <w:rFonts w:ascii="Times New Roman" w:eastAsia="Calibri" w:hAnsi="Times New Roman" w:cs="Times New Roman"/>
          <w:sz w:val="24"/>
          <w:szCs w:val="24"/>
        </w:rPr>
        <w:t xml:space="preserve">of the following statements </w:t>
      </w:r>
      <w:r w:rsidR="00B43B9D" w:rsidRPr="00B43B9D">
        <w:rPr>
          <w:rFonts w:ascii="Times New Roman" w:eastAsia="Calibri" w:hAnsi="Times New Roman" w:cs="Times New Roman"/>
          <w:sz w:val="24"/>
          <w:szCs w:val="24"/>
        </w:rPr>
        <w:t xml:space="preserve">in paragraphs (A)-(C) </w:t>
      </w:r>
      <w:r w:rsidR="00323C1D">
        <w:rPr>
          <w:rFonts w:ascii="Times New Roman" w:eastAsia="Calibri" w:hAnsi="Times New Roman" w:cs="Times New Roman"/>
          <w:sz w:val="24"/>
          <w:szCs w:val="24"/>
        </w:rPr>
        <w:t>are TRUE</w:t>
      </w:r>
      <w:r w:rsidR="00B43B9D">
        <w:rPr>
          <w:rFonts w:ascii="Times New Roman" w:eastAsia="Calibri" w:hAnsi="Times New Roman" w:cs="Times New Roman"/>
          <w:sz w:val="24"/>
          <w:szCs w:val="24"/>
        </w:rPr>
        <w:t>.</w:t>
      </w:r>
      <w:bookmarkStart w:id="6" w:name="_Hlk86153527"/>
      <w:bookmarkEnd w:id="5"/>
    </w:p>
    <w:p w14:paraId="3B3D26AA" w14:textId="77777777" w:rsidR="008C7683" w:rsidRPr="00DC5D69" w:rsidRDefault="008C7683" w:rsidP="00F26FC8">
      <w:pPr>
        <w:spacing w:after="0" w:line="24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6"/>
    <w:p w14:paraId="50C85651" w14:textId="6846B46A" w:rsidR="00DC5D69" w:rsidRPr="00DC5D69" w:rsidRDefault="00DC5D69" w:rsidP="00F26FC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A)  the IE</w:t>
      </w:r>
      <w:bookmarkStart w:id="7" w:name="_Hlk86154642"/>
      <w:r w:rsidR="003F4409">
        <w:rPr>
          <w:rFonts w:ascii="Times New Roman" w:eastAsia="Times New Roman" w:hAnsi="Times New Roman" w:cs="Times New Roman"/>
          <w:sz w:val="24"/>
          <w:szCs w:val="24"/>
        </w:rPr>
        <w:t xml:space="preserve"> or Property Owner</w:t>
      </w:r>
      <w:r w:rsidR="008C7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8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8C7683" w:rsidRPr="008C7683">
        <w:rPr>
          <w:rFonts w:ascii="Times New Roman" w:eastAsia="Times New Roman" w:hAnsi="Times New Roman" w:cs="Times New Roman"/>
          <w:sz w:val="24"/>
          <w:szCs w:val="24"/>
        </w:rPr>
        <w:t>a wholly</w:t>
      </w:r>
      <w:r w:rsidR="0087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83" w:rsidRPr="008C7683">
        <w:rPr>
          <w:rFonts w:ascii="Times New Roman" w:eastAsia="Times New Roman" w:hAnsi="Times New Roman" w:cs="Times New Roman"/>
          <w:sz w:val="24"/>
          <w:szCs w:val="24"/>
        </w:rPr>
        <w:t xml:space="preserve">owned subsidiary, majority-owned subsidiary, parent company, or affiliate of </w:t>
      </w:r>
      <w:bookmarkEnd w:id="7"/>
      <w:r w:rsidR="00CF2F3D">
        <w:rPr>
          <w:rFonts w:ascii="Times New Roman" w:eastAsia="Times New Roman" w:hAnsi="Times New Roman" w:cs="Times New Roman"/>
          <w:sz w:val="24"/>
          <w:szCs w:val="24"/>
        </w:rPr>
        <w:t>the IE or Property Owner,</w:t>
      </w:r>
      <w:r w:rsidR="003F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>is owned by:</w:t>
      </w:r>
    </w:p>
    <w:p w14:paraId="30A44EAC" w14:textId="756D6DB5" w:rsidR="00DC5D69" w:rsidRPr="00DC5D69" w:rsidRDefault="00DC5D69" w:rsidP="00DC5D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(i)  individuals who are citizens of China, Iran, North Korea, Russia, or a designated country;</w:t>
      </w:r>
      <w:r w:rsidR="00A16131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8"/>
      </w: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14:paraId="2A6AEFE2" w14:textId="77777777" w:rsidR="00DC5D69" w:rsidRPr="00DC5D69" w:rsidRDefault="00DC5D69" w:rsidP="00DC5D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(ii)  a company or other entity, including a governmental entity, that is owned or controlled by citizens of or is directly controlled by the government of China, Iran, North Korea, Russia, or a designated country; or</w:t>
      </w:r>
    </w:p>
    <w:p w14:paraId="63816AF2" w14:textId="77777777" w:rsidR="00DC5D69" w:rsidRPr="00DC5D69" w:rsidRDefault="00DC5D69" w:rsidP="00DC5D6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0A871" w14:textId="5B2651B0" w:rsidR="00DC5D69" w:rsidRPr="00DC5D69" w:rsidRDefault="00DC5D69" w:rsidP="00F26FC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B) the majority of stock or other ownership interest of the IE</w:t>
      </w:r>
      <w:r w:rsidR="00CF2F3D">
        <w:rPr>
          <w:rFonts w:ascii="Times New Roman" w:eastAsia="Times New Roman" w:hAnsi="Times New Roman" w:cs="Times New Roman"/>
          <w:sz w:val="24"/>
          <w:szCs w:val="24"/>
        </w:rPr>
        <w:t xml:space="preserve"> or Property Owner</w:t>
      </w:r>
      <w:r w:rsidR="003F4409" w:rsidRPr="003F4409">
        <w:rPr>
          <w:rFonts w:ascii="Times New Roman" w:eastAsia="Times New Roman" w:hAnsi="Times New Roman" w:cs="Times New Roman"/>
          <w:sz w:val="24"/>
          <w:szCs w:val="24"/>
        </w:rPr>
        <w:t>, or a wholly</w:t>
      </w:r>
      <w:r w:rsidR="0087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409" w:rsidRPr="003F4409">
        <w:rPr>
          <w:rFonts w:ascii="Times New Roman" w:eastAsia="Times New Roman" w:hAnsi="Times New Roman" w:cs="Times New Roman"/>
          <w:sz w:val="24"/>
          <w:szCs w:val="24"/>
        </w:rPr>
        <w:t xml:space="preserve">owned subsidiary, majority-owned subsidiary, parent company, or affiliate of the above referenced IE or Property Owner 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>is held or controlled by:</w:t>
      </w:r>
    </w:p>
    <w:p w14:paraId="097AF1C9" w14:textId="77777777" w:rsidR="00DC5D69" w:rsidRPr="00DC5D69" w:rsidRDefault="00DC5D69" w:rsidP="00DC5D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(i)  individuals who are citizens of China, Iran, North Korea, Russia, or a designated country; or</w:t>
      </w:r>
    </w:p>
    <w:p w14:paraId="4C9A73E0" w14:textId="77777777" w:rsidR="00DC5D69" w:rsidRPr="00DC5D69" w:rsidRDefault="00DC5D69" w:rsidP="00DC5D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(ii)  a company or other entity, including a governmental entity, that is owned or controlled by citizens of or is directly controlled by the government of China, Iran, North Korea, Russia, or a designated country; or</w:t>
      </w:r>
    </w:p>
    <w:p w14:paraId="5C5C39A1" w14:textId="77777777" w:rsidR="00DC5D69" w:rsidRPr="00DC5D69" w:rsidRDefault="00DC5D69" w:rsidP="00DC5D6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BCCD9" w14:textId="249A69BA" w:rsidR="00DC5D69" w:rsidRPr="00DC5D69" w:rsidRDefault="00DC5D69" w:rsidP="00F26FC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C) the IE </w:t>
      </w:r>
      <w:r w:rsidR="003F4409">
        <w:rPr>
          <w:rFonts w:ascii="Times New Roman" w:eastAsia="Times New Roman" w:hAnsi="Times New Roman" w:cs="Times New Roman"/>
          <w:sz w:val="24"/>
          <w:szCs w:val="24"/>
        </w:rPr>
        <w:t>or Property Owner,</w:t>
      </w:r>
      <w:r w:rsidR="003F4409" w:rsidRPr="00DC5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40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F4409" w:rsidRPr="008C7683">
        <w:rPr>
          <w:rFonts w:ascii="Times New Roman" w:eastAsia="Times New Roman" w:hAnsi="Times New Roman" w:cs="Times New Roman"/>
          <w:sz w:val="24"/>
          <w:szCs w:val="24"/>
        </w:rPr>
        <w:t>a wholly</w:t>
      </w:r>
      <w:r w:rsidR="0087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409" w:rsidRPr="008C7683">
        <w:rPr>
          <w:rFonts w:ascii="Times New Roman" w:eastAsia="Times New Roman" w:hAnsi="Times New Roman" w:cs="Times New Roman"/>
          <w:sz w:val="24"/>
          <w:szCs w:val="24"/>
        </w:rPr>
        <w:t xml:space="preserve">owned subsidiary, majority-owned subsidiary, parent company, or affiliate of </w:t>
      </w:r>
      <w:r w:rsidR="00CF2F3D">
        <w:rPr>
          <w:rFonts w:ascii="Times New Roman" w:eastAsia="Times New Roman" w:hAnsi="Times New Roman" w:cs="Times New Roman"/>
          <w:sz w:val="24"/>
          <w:szCs w:val="24"/>
        </w:rPr>
        <w:t xml:space="preserve">the IE or Property Owner 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>is headquartered in China, Iran, North Korea, Russia, or a designated country.</w:t>
      </w:r>
    </w:p>
    <w:p w14:paraId="1A8E883C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9EEE9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F244E" w14:textId="3E707230" w:rsid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9842F" w14:textId="05B0FCBC" w:rsidR="00DE6883" w:rsidRDefault="00DE6883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C5CEF" w14:textId="3B0D76E5" w:rsidR="00DE6883" w:rsidRDefault="00DE6883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7006B" w14:textId="51F7B873" w:rsidR="00B2687C" w:rsidRDefault="00B2687C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BFABB" w14:textId="747EA16F" w:rsidR="00B2687C" w:rsidRDefault="00B2687C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426CC" w14:textId="77777777" w:rsidR="00B2687C" w:rsidRDefault="00B2687C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A72FB" w14:textId="77777777" w:rsidR="00DE6883" w:rsidRDefault="00DE6883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EED98" w14:textId="77777777" w:rsidR="00625E27" w:rsidRPr="00DC5D69" w:rsidRDefault="00625E27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09EFF" w14:textId="68838032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If you checked the </w:t>
      </w:r>
      <w:r w:rsidR="00CF2F3D"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box </w:t>
      </w:r>
      <w:r w:rsidR="00CF2F3D">
        <w:rPr>
          <w:rFonts w:ascii="Times New Roman" w:eastAsia="Times New Roman" w:hAnsi="Times New Roman" w:cs="Times New Roman"/>
          <w:sz w:val="24"/>
          <w:szCs w:val="24"/>
        </w:rPr>
        <w:t>above (</w:t>
      </w:r>
      <w:r w:rsidR="00F742A3">
        <w:rPr>
          <w:rFonts w:ascii="Times New Roman" w:eastAsia="Times New Roman" w:hAnsi="Times New Roman" w:cs="Times New Roman"/>
          <w:sz w:val="24"/>
          <w:szCs w:val="24"/>
        </w:rPr>
        <w:t xml:space="preserve">i.e., </w:t>
      </w:r>
      <w:r w:rsidR="00CF2F3D">
        <w:rPr>
          <w:rFonts w:ascii="Times New Roman" w:eastAsia="Times New Roman" w:hAnsi="Times New Roman" w:cs="Times New Roman"/>
          <w:sz w:val="24"/>
          <w:szCs w:val="24"/>
        </w:rPr>
        <w:t xml:space="preserve">ONE OR MORE statements are </w:t>
      </w:r>
      <w:r w:rsidR="00235081">
        <w:rPr>
          <w:rFonts w:ascii="Times New Roman" w:eastAsia="Times New Roman" w:hAnsi="Times New Roman" w:cs="Times New Roman"/>
          <w:sz w:val="24"/>
          <w:szCs w:val="24"/>
        </w:rPr>
        <w:t>TRUE</w:t>
      </w:r>
      <w:r w:rsidR="00CF2F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>, then please provide the following additional information:</w:t>
      </w:r>
    </w:p>
    <w:p w14:paraId="73909498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41B94" w14:textId="443EF50D" w:rsidR="00A709E8" w:rsidRPr="00DC5D69" w:rsidRDefault="00DC5D69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Name(s) of the entities or individuals that have a majority ownership interest in the IE: </w:t>
      </w:r>
      <w:r w:rsidR="007E3A1B" w:rsidRPr="000A0421">
        <w:rPr>
          <w:rFonts w:ascii="Cambria" w:hAnsi="Cambri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E3A1B" w:rsidRPr="000A0421">
        <w:rPr>
          <w:rFonts w:ascii="Cambria" w:hAnsi="Cambria"/>
        </w:rPr>
        <w:instrText xml:space="preserve"> FORMTEXT </w:instrText>
      </w:r>
      <w:r w:rsidR="007E3A1B" w:rsidRPr="000A0421">
        <w:rPr>
          <w:rFonts w:ascii="Cambria" w:hAnsi="Cambria"/>
        </w:rPr>
      </w:r>
      <w:r w:rsidR="007E3A1B" w:rsidRPr="000A0421">
        <w:rPr>
          <w:rFonts w:ascii="Cambria" w:hAnsi="Cambria"/>
        </w:rPr>
        <w:fldChar w:fldCharType="separate"/>
      </w:r>
      <w:r w:rsidR="001A5FAF">
        <w:rPr>
          <w:rFonts w:ascii="Cambria" w:hAnsi="Cambria"/>
        </w:rPr>
        <w:t> </w:t>
      </w:r>
      <w:r w:rsidR="001A5FAF">
        <w:rPr>
          <w:rFonts w:ascii="Cambria" w:hAnsi="Cambria"/>
        </w:rPr>
        <w:t> </w:t>
      </w:r>
      <w:r w:rsidR="001A5FAF">
        <w:rPr>
          <w:rFonts w:ascii="Cambria" w:hAnsi="Cambria"/>
        </w:rPr>
        <w:t> </w:t>
      </w:r>
      <w:r w:rsidR="001A5FAF">
        <w:rPr>
          <w:rFonts w:ascii="Cambria" w:hAnsi="Cambria"/>
        </w:rPr>
        <w:t> </w:t>
      </w:r>
      <w:r w:rsidR="001A5FAF">
        <w:rPr>
          <w:rFonts w:ascii="Cambria" w:hAnsi="Cambria"/>
        </w:rPr>
        <w:t> </w:t>
      </w:r>
      <w:r w:rsidR="007E3A1B" w:rsidRPr="000A0421">
        <w:rPr>
          <w:rFonts w:ascii="Cambria" w:hAnsi="Cambria"/>
        </w:rPr>
        <w:fldChar w:fldCharType="end"/>
      </w:r>
    </w:p>
    <w:p w14:paraId="00F2CD80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9B584" w14:textId="0D225DDD" w:rsidR="00A709E8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Country of citizenship and/or headquarter</w:t>
      </w:r>
      <w:r w:rsidR="00DE688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 location for each entity or individual listed: </w:t>
      </w:r>
      <w:r w:rsidR="007E3A1B" w:rsidRPr="000A0421">
        <w:rPr>
          <w:rFonts w:ascii="Cambria" w:hAnsi="Cambri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E3A1B" w:rsidRPr="000A0421">
        <w:rPr>
          <w:rFonts w:ascii="Cambria" w:hAnsi="Cambria"/>
        </w:rPr>
        <w:instrText xml:space="preserve"> FORMTEXT </w:instrText>
      </w:r>
      <w:r w:rsidR="007E3A1B" w:rsidRPr="000A0421">
        <w:rPr>
          <w:rFonts w:ascii="Cambria" w:hAnsi="Cambria"/>
        </w:rPr>
      </w:r>
      <w:r w:rsidR="007E3A1B" w:rsidRPr="000A0421">
        <w:rPr>
          <w:rFonts w:ascii="Cambria" w:hAnsi="Cambria"/>
        </w:rPr>
        <w:fldChar w:fldCharType="separate"/>
      </w:r>
      <w:r w:rsidR="007E3A1B" w:rsidRPr="000A0421">
        <w:rPr>
          <w:rFonts w:ascii="Cambria" w:hAnsi="Cambria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/>
        </w:rPr>
        <w:fldChar w:fldCharType="end"/>
      </w:r>
    </w:p>
    <w:p w14:paraId="531364A6" w14:textId="77777777" w:rsidR="00A709E8" w:rsidRDefault="00A709E8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DF496" w14:textId="75DB02BC" w:rsidR="00DC5D69" w:rsidRDefault="00DC5D69" w:rsidP="00DC5D69">
      <w:pPr>
        <w:spacing w:after="0" w:line="240" w:lineRule="auto"/>
        <w:jc w:val="both"/>
        <w:rPr>
          <w:rFonts w:ascii="Cambria" w:hAnsi="Cambria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EA1C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5D69">
        <w:rPr>
          <w:rFonts w:ascii="Times New Roman" w:eastAsia="Times New Roman" w:hAnsi="Times New Roman" w:cs="Times New Roman"/>
          <w:sz w:val="24"/>
          <w:szCs w:val="24"/>
        </w:rPr>
        <w:t>information:</w:t>
      </w:r>
      <w:r w:rsidR="00A70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1B" w:rsidRPr="000A0421">
        <w:rPr>
          <w:rFonts w:ascii="Cambria" w:hAnsi="Cambri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E3A1B" w:rsidRPr="000A0421">
        <w:rPr>
          <w:rFonts w:ascii="Cambria" w:hAnsi="Cambria"/>
        </w:rPr>
        <w:instrText xml:space="preserve"> FORMTEXT </w:instrText>
      </w:r>
      <w:r w:rsidR="007E3A1B" w:rsidRPr="000A0421">
        <w:rPr>
          <w:rFonts w:ascii="Cambria" w:hAnsi="Cambria"/>
        </w:rPr>
      </w:r>
      <w:r w:rsidR="007E3A1B" w:rsidRPr="000A0421">
        <w:rPr>
          <w:rFonts w:ascii="Cambria" w:hAnsi="Cambria"/>
        </w:rPr>
        <w:fldChar w:fldCharType="separate"/>
      </w:r>
      <w:r w:rsidR="007E3A1B" w:rsidRPr="000A0421">
        <w:rPr>
          <w:rFonts w:ascii="Cambria" w:hAnsi="Cambria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 w:cs="Times New Roman"/>
          <w:noProof/>
        </w:rPr>
        <w:t> </w:t>
      </w:r>
      <w:r w:rsidR="007E3A1B" w:rsidRPr="000A0421">
        <w:rPr>
          <w:rFonts w:ascii="Cambria" w:hAnsi="Cambria"/>
        </w:rPr>
        <w:fldChar w:fldCharType="end"/>
      </w:r>
    </w:p>
    <w:p w14:paraId="6E04CFDE" w14:textId="77777777" w:rsidR="007E3A1B" w:rsidRPr="00DC5D69" w:rsidRDefault="007E3A1B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D042B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If you have any documentation confirming the above information, please submit it along with the attestation. </w:t>
      </w:r>
    </w:p>
    <w:p w14:paraId="515AA356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8FD4D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By signing below, I certify that I am an officer, executive, or authorized employee with authority to bind the IE listed above, that I am authorized to execute and submit this attestation on behalf of each IE listed above, and that the statements contained herein are true and correct.</w:t>
      </w:r>
    </w:p>
    <w:p w14:paraId="2E5A2B65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F92EA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5F3F0F4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1A6F813B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14:paraId="42BD7DF0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C68A0" w14:textId="77777777" w:rsidR="007E3A1B" w:rsidRDefault="007E3A1B" w:rsidP="00DC5D69">
      <w:pPr>
        <w:spacing w:after="0" w:line="240" w:lineRule="auto"/>
        <w:jc w:val="both"/>
        <w:rPr>
          <w:rFonts w:ascii="Cambria" w:hAnsi="Cambria"/>
        </w:rPr>
      </w:pPr>
      <w:r w:rsidRPr="000A0421">
        <w:rPr>
          <w:rFonts w:ascii="Cambria" w:hAnsi="Cambri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A0421">
        <w:rPr>
          <w:rFonts w:ascii="Cambria" w:hAnsi="Cambria"/>
        </w:rPr>
        <w:instrText xml:space="preserve"> FORMTEXT </w:instrText>
      </w:r>
      <w:r w:rsidRPr="000A0421">
        <w:rPr>
          <w:rFonts w:ascii="Cambria" w:hAnsi="Cambria"/>
        </w:rPr>
      </w:r>
      <w:r w:rsidRPr="000A0421">
        <w:rPr>
          <w:rFonts w:ascii="Cambria" w:hAnsi="Cambria"/>
        </w:rPr>
        <w:fldChar w:fldCharType="separate"/>
      </w:r>
      <w:r w:rsidRPr="000A0421">
        <w:rPr>
          <w:rFonts w:ascii="Cambria" w:hAnsi="Cambria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/>
        </w:rPr>
        <w:fldChar w:fldCharType="end"/>
      </w:r>
    </w:p>
    <w:p w14:paraId="4AF6C3AB" w14:textId="384BFC5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14:paraId="77BD66D6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1F660" w14:textId="77777777" w:rsidR="007E3A1B" w:rsidRDefault="007E3A1B" w:rsidP="00DC5D69">
      <w:pPr>
        <w:spacing w:after="0" w:line="240" w:lineRule="auto"/>
        <w:jc w:val="both"/>
        <w:rPr>
          <w:rFonts w:ascii="Cambria" w:hAnsi="Cambria"/>
        </w:rPr>
      </w:pPr>
      <w:r w:rsidRPr="000A0421">
        <w:rPr>
          <w:rFonts w:ascii="Cambria" w:hAnsi="Cambri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A0421">
        <w:rPr>
          <w:rFonts w:ascii="Cambria" w:hAnsi="Cambria"/>
        </w:rPr>
        <w:instrText xml:space="preserve"> FORMTEXT </w:instrText>
      </w:r>
      <w:r w:rsidRPr="000A0421">
        <w:rPr>
          <w:rFonts w:ascii="Cambria" w:hAnsi="Cambria"/>
        </w:rPr>
      </w:r>
      <w:r w:rsidRPr="000A0421">
        <w:rPr>
          <w:rFonts w:ascii="Cambria" w:hAnsi="Cambria"/>
        </w:rPr>
        <w:fldChar w:fldCharType="separate"/>
      </w:r>
      <w:r w:rsidRPr="000A0421">
        <w:rPr>
          <w:rFonts w:ascii="Cambria" w:hAnsi="Cambria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/>
        </w:rPr>
        <w:fldChar w:fldCharType="end"/>
      </w:r>
    </w:p>
    <w:p w14:paraId="1C198440" w14:textId="1D759355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14:paraId="19F33B5B" w14:textId="77777777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03C53" w14:textId="77777777" w:rsidR="007E3A1B" w:rsidRDefault="007E3A1B" w:rsidP="00DC5D69">
      <w:pPr>
        <w:spacing w:after="0" w:line="240" w:lineRule="auto"/>
        <w:jc w:val="both"/>
        <w:rPr>
          <w:rFonts w:ascii="Cambria" w:hAnsi="Cambria"/>
        </w:rPr>
      </w:pPr>
      <w:r w:rsidRPr="000A0421">
        <w:rPr>
          <w:rFonts w:ascii="Cambria" w:hAnsi="Cambri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A0421">
        <w:rPr>
          <w:rFonts w:ascii="Cambria" w:hAnsi="Cambria"/>
        </w:rPr>
        <w:instrText xml:space="preserve"> FORMTEXT </w:instrText>
      </w:r>
      <w:r w:rsidRPr="000A0421">
        <w:rPr>
          <w:rFonts w:ascii="Cambria" w:hAnsi="Cambria"/>
        </w:rPr>
      </w:r>
      <w:r w:rsidRPr="000A0421">
        <w:rPr>
          <w:rFonts w:ascii="Cambria" w:hAnsi="Cambria"/>
        </w:rPr>
        <w:fldChar w:fldCharType="separate"/>
      </w:r>
      <w:r w:rsidRPr="000A0421">
        <w:rPr>
          <w:rFonts w:ascii="Cambria" w:hAnsi="Cambria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 w:cs="Times New Roman"/>
          <w:noProof/>
        </w:rPr>
        <w:t> </w:t>
      </w:r>
      <w:r w:rsidRPr="000A0421">
        <w:rPr>
          <w:rFonts w:ascii="Cambria" w:hAnsi="Cambria"/>
        </w:rPr>
        <w:fldChar w:fldCharType="end"/>
      </w:r>
    </w:p>
    <w:p w14:paraId="578581D5" w14:textId="6CA9110E" w:rsidR="00DC5D69" w:rsidRPr="00DC5D69" w:rsidRDefault="00DC5D69" w:rsidP="00DC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6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17861284" w14:textId="7C72FEAF" w:rsidR="00C946BC" w:rsidRPr="0078758B" w:rsidRDefault="00C946BC" w:rsidP="00C946BC">
      <w:pPr>
        <w:rPr>
          <w:rFonts w:ascii="Times New Roman" w:hAnsi="Times New Roman" w:cs="Times New Roman"/>
        </w:rPr>
      </w:pPr>
    </w:p>
    <w:sectPr w:rsidR="00C946BC" w:rsidRPr="0078758B" w:rsidSect="000A6C16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D610C" w14:textId="77777777" w:rsidR="00101C66" w:rsidRDefault="00101C66" w:rsidP="00FA2003">
      <w:pPr>
        <w:spacing w:after="0" w:line="240" w:lineRule="auto"/>
      </w:pPr>
      <w:r>
        <w:separator/>
      </w:r>
    </w:p>
  </w:endnote>
  <w:endnote w:type="continuationSeparator" w:id="0">
    <w:p w14:paraId="066B8CC2" w14:textId="77777777" w:rsidR="00101C66" w:rsidRDefault="00101C66" w:rsidP="00FA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4886" w14:textId="77777777" w:rsidR="00101C66" w:rsidRDefault="00101C66" w:rsidP="00FA2003">
      <w:pPr>
        <w:spacing w:after="0" w:line="240" w:lineRule="auto"/>
      </w:pPr>
      <w:r>
        <w:separator/>
      </w:r>
    </w:p>
  </w:footnote>
  <w:footnote w:type="continuationSeparator" w:id="0">
    <w:p w14:paraId="38ED1D3B" w14:textId="77777777" w:rsidR="00101C66" w:rsidRDefault="00101C66" w:rsidP="00FA2003">
      <w:pPr>
        <w:spacing w:after="0" w:line="240" w:lineRule="auto"/>
      </w:pPr>
      <w:r>
        <w:continuationSeparator/>
      </w:r>
    </w:p>
  </w:footnote>
  <w:footnote w:id="1">
    <w:p w14:paraId="39210FD3" w14:textId="7072042D" w:rsidR="00FA2003" w:rsidRPr="00FA2003" w:rsidRDefault="00FA2003" w:rsidP="00C77814">
      <w:pPr>
        <w:pStyle w:val="FootnoteText"/>
        <w:jc w:val="both"/>
        <w:rPr>
          <w:rFonts w:ascii="Times New Roman" w:hAnsi="Times New Roman"/>
          <w:b w:val="0"/>
          <w:bCs/>
        </w:rPr>
      </w:pPr>
      <w:r w:rsidRPr="00FA2003">
        <w:rPr>
          <w:rStyle w:val="FootnoteReference"/>
          <w:rFonts w:ascii="Times New Roman" w:hAnsi="Times New Roman"/>
          <w:b w:val="0"/>
          <w:bCs/>
        </w:rPr>
        <w:footnoteRef/>
      </w:r>
      <w:r w:rsidRPr="00FA2003">
        <w:rPr>
          <w:rFonts w:ascii="Times New Roman" w:hAnsi="Times New Roman"/>
          <w:b w:val="0"/>
          <w:bCs/>
        </w:rPr>
        <w:t xml:space="preserve"> Tex. Bus. &amp; Com. Code, </w:t>
      </w:r>
      <w:r w:rsidR="00D539C1">
        <w:rPr>
          <w:rFonts w:ascii="Times New Roman" w:hAnsi="Times New Roman"/>
          <w:b w:val="0"/>
          <w:bCs/>
        </w:rPr>
        <w:t>Sections</w:t>
      </w:r>
      <w:r w:rsidRPr="00FA2003">
        <w:rPr>
          <w:rFonts w:ascii="Times New Roman" w:hAnsi="Times New Roman"/>
          <w:b w:val="0"/>
          <w:bCs/>
        </w:rPr>
        <w:t xml:space="preserve"> 113</w:t>
      </w:r>
      <w:r w:rsidR="00D539C1">
        <w:rPr>
          <w:rFonts w:ascii="Times New Roman" w:hAnsi="Times New Roman"/>
          <w:b w:val="0"/>
          <w:bCs/>
        </w:rPr>
        <w:t>.001-003</w:t>
      </w:r>
      <w:r w:rsidRPr="00FA2003">
        <w:rPr>
          <w:rFonts w:ascii="Times New Roman" w:hAnsi="Times New Roman"/>
          <w:b w:val="0"/>
          <w:bCs/>
        </w:rPr>
        <w:t>.</w:t>
      </w:r>
    </w:p>
  </w:footnote>
  <w:footnote w:id="2">
    <w:p w14:paraId="4F6C8B3E" w14:textId="77777777" w:rsidR="005419BF" w:rsidRDefault="005419BF" w:rsidP="00C77814">
      <w:pPr>
        <w:pStyle w:val="FootnoteText"/>
        <w:jc w:val="both"/>
        <w:rPr>
          <w:rFonts w:ascii="Times New Roman" w:hAnsi="Times New Roman"/>
          <w:b w:val="0"/>
          <w:bCs/>
        </w:rPr>
      </w:pPr>
    </w:p>
    <w:p w14:paraId="46ACA4B2" w14:textId="4802589F" w:rsidR="00FA2003" w:rsidRPr="00FA2003" w:rsidRDefault="00FA2003" w:rsidP="00C77814">
      <w:pPr>
        <w:pStyle w:val="FootnoteText"/>
        <w:jc w:val="both"/>
        <w:rPr>
          <w:rFonts w:ascii="Times New Roman" w:hAnsi="Times New Roman"/>
          <w:b w:val="0"/>
          <w:bCs/>
        </w:rPr>
      </w:pPr>
      <w:r w:rsidRPr="00FA2003">
        <w:rPr>
          <w:rStyle w:val="FootnoteReference"/>
          <w:rFonts w:ascii="Times New Roman" w:hAnsi="Times New Roman"/>
          <w:b w:val="0"/>
          <w:bCs/>
        </w:rPr>
        <w:footnoteRef/>
      </w:r>
      <w:r>
        <w:rPr>
          <w:rFonts w:ascii="Times New Roman" w:hAnsi="Times New Roman"/>
          <w:b w:val="0"/>
          <w:bCs/>
        </w:rPr>
        <w:t xml:space="preserve"> </w:t>
      </w:r>
      <w:r w:rsidRPr="00FA2003">
        <w:rPr>
          <w:rFonts w:ascii="Times New Roman" w:hAnsi="Times New Roman"/>
          <w:b w:val="0"/>
          <w:bCs/>
        </w:rPr>
        <w:t xml:space="preserve">The full text of </w:t>
      </w:r>
      <w:r w:rsidR="00616794">
        <w:rPr>
          <w:rFonts w:ascii="Times New Roman" w:hAnsi="Times New Roman"/>
          <w:b w:val="0"/>
          <w:bCs/>
        </w:rPr>
        <w:t>the Act (</w:t>
      </w:r>
      <w:r w:rsidRPr="00FA2003">
        <w:rPr>
          <w:rFonts w:ascii="Times New Roman" w:hAnsi="Times New Roman"/>
          <w:b w:val="0"/>
          <w:bCs/>
        </w:rPr>
        <w:t>S.B. 2116</w:t>
      </w:r>
      <w:r w:rsidR="00616794">
        <w:rPr>
          <w:rFonts w:ascii="Times New Roman" w:hAnsi="Times New Roman"/>
          <w:b w:val="0"/>
          <w:bCs/>
        </w:rPr>
        <w:t>)</w:t>
      </w:r>
      <w:r w:rsidRPr="00FA2003">
        <w:rPr>
          <w:rFonts w:ascii="Times New Roman" w:hAnsi="Times New Roman"/>
          <w:b w:val="0"/>
          <w:bCs/>
        </w:rPr>
        <w:t xml:space="preserve"> is available here:</w:t>
      </w:r>
      <w:r w:rsidR="0078758B">
        <w:rPr>
          <w:rFonts w:ascii="Times New Roman" w:hAnsi="Times New Roman"/>
          <w:b w:val="0"/>
          <w:bCs/>
        </w:rPr>
        <w:t xml:space="preserve"> </w:t>
      </w:r>
      <w:hyperlink r:id="rId1" w:history="1">
        <w:r w:rsidR="0078758B" w:rsidRPr="0048573F">
          <w:rPr>
            <w:rStyle w:val="Hyperlink"/>
            <w:rFonts w:ascii="Times New Roman" w:hAnsi="Times New Roman"/>
            <w:b w:val="0"/>
            <w:bCs/>
          </w:rPr>
          <w:t>https://capitol.texas.gov/tlodocs/87R/billtext/html/SB02116F.htm</w:t>
        </w:r>
      </w:hyperlink>
    </w:p>
    <w:p w14:paraId="68371E9F" w14:textId="1898180A" w:rsidR="00FA2003" w:rsidRPr="00CC30D8" w:rsidRDefault="00FA2003" w:rsidP="00C77814">
      <w:pPr>
        <w:pStyle w:val="FootnoteText"/>
        <w:jc w:val="both"/>
        <w:rPr>
          <w:rFonts w:ascii="Times New Roman" w:hAnsi="Times New Roman"/>
        </w:rPr>
      </w:pPr>
    </w:p>
  </w:footnote>
  <w:footnote w:id="3">
    <w:p w14:paraId="3DB535FC" w14:textId="18AE4F3B" w:rsidR="008809DB" w:rsidRDefault="008809DB" w:rsidP="00C77814">
      <w:pPr>
        <w:pStyle w:val="FootnoteText"/>
        <w:jc w:val="both"/>
        <w:rPr>
          <w:rFonts w:ascii="Times New Roman" w:hAnsi="Times New Roman"/>
          <w:b w:val="0"/>
          <w:bCs/>
        </w:rPr>
      </w:pPr>
      <w:r w:rsidRPr="008809DB">
        <w:rPr>
          <w:rStyle w:val="FootnoteReference"/>
          <w:rFonts w:ascii="Times New Roman" w:hAnsi="Times New Roman"/>
          <w:b w:val="0"/>
          <w:bCs/>
        </w:rPr>
        <w:footnoteRef/>
      </w:r>
      <w:r w:rsidRPr="008809DB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On September 23, 2021, t</w:t>
      </w:r>
      <w:r w:rsidRPr="008809DB">
        <w:rPr>
          <w:rFonts w:ascii="Times New Roman" w:hAnsi="Times New Roman"/>
          <w:b w:val="0"/>
          <w:bCs/>
        </w:rPr>
        <w:t xml:space="preserve">he Office of the Attorney General </w:t>
      </w:r>
      <w:r w:rsidR="00AC238E">
        <w:rPr>
          <w:rFonts w:ascii="Times New Roman" w:hAnsi="Times New Roman"/>
          <w:b w:val="0"/>
          <w:bCs/>
        </w:rPr>
        <w:t xml:space="preserve">of Texas </w:t>
      </w:r>
      <w:r w:rsidRPr="008809DB">
        <w:rPr>
          <w:rFonts w:ascii="Times New Roman" w:hAnsi="Times New Roman"/>
          <w:b w:val="0"/>
          <w:bCs/>
        </w:rPr>
        <w:t>is</w:t>
      </w:r>
      <w:r>
        <w:rPr>
          <w:rFonts w:ascii="Times New Roman" w:hAnsi="Times New Roman"/>
          <w:b w:val="0"/>
          <w:bCs/>
        </w:rPr>
        <w:t>sued an opinion letter</w:t>
      </w:r>
      <w:r w:rsidRPr="008809DB">
        <w:rPr>
          <w:rFonts w:ascii="Times New Roman" w:hAnsi="Times New Roman"/>
          <w:b w:val="0"/>
          <w:bCs/>
        </w:rPr>
        <w:t xml:space="preserve"> analyzing the scope of the Act in response to a request submitted by Senator Donna Campbell. </w:t>
      </w:r>
      <w:r>
        <w:rPr>
          <w:rFonts w:ascii="Times New Roman" w:hAnsi="Times New Roman"/>
          <w:b w:val="0"/>
          <w:bCs/>
        </w:rPr>
        <w:t>See Tex. Att’y Gen. Op. No. KP-0388 (2021).</w:t>
      </w:r>
    </w:p>
    <w:p w14:paraId="66654D73" w14:textId="77777777" w:rsidR="008809DB" w:rsidRPr="008809DB" w:rsidRDefault="008809DB" w:rsidP="00C77814">
      <w:pPr>
        <w:pStyle w:val="FootnoteText"/>
        <w:jc w:val="both"/>
        <w:rPr>
          <w:rFonts w:ascii="Times New Roman" w:hAnsi="Times New Roman"/>
          <w:b w:val="0"/>
          <w:bCs/>
        </w:rPr>
      </w:pPr>
    </w:p>
  </w:footnote>
  <w:footnote w:id="4">
    <w:p w14:paraId="0DBD20F5" w14:textId="3C8BCD87" w:rsidR="001C3D7C" w:rsidRPr="001C3D7C" w:rsidRDefault="001C3D7C" w:rsidP="00C77814">
      <w:pPr>
        <w:pStyle w:val="FootnoteText"/>
        <w:jc w:val="both"/>
        <w:rPr>
          <w:rFonts w:ascii="Times New Roman" w:hAnsi="Times New Roman"/>
        </w:rPr>
      </w:pPr>
      <w:r w:rsidRPr="001C3D7C">
        <w:rPr>
          <w:rStyle w:val="FootnoteReference"/>
          <w:rFonts w:ascii="Times New Roman" w:hAnsi="Times New Roman"/>
        </w:rPr>
        <w:footnoteRef/>
      </w:r>
      <w:r w:rsidR="002A04FF">
        <w:rPr>
          <w:rFonts w:ascii="Times New Roman" w:hAnsi="Times New Roman"/>
          <w:b w:val="0"/>
          <w:bCs/>
        </w:rPr>
        <w:t xml:space="preserve"> See Tex. Att’y Gen. Op. No. KP-0388 (2021). </w:t>
      </w:r>
    </w:p>
  </w:footnote>
  <w:footnote w:id="5">
    <w:p w14:paraId="413DB7BE" w14:textId="77777777" w:rsidR="0047658F" w:rsidRDefault="0047658F" w:rsidP="00C77814">
      <w:pPr>
        <w:pStyle w:val="FootnoteText"/>
        <w:jc w:val="both"/>
      </w:pPr>
    </w:p>
    <w:p w14:paraId="15A7FBE8" w14:textId="58A9585B" w:rsidR="0047658F" w:rsidRPr="0047658F" w:rsidRDefault="0047658F" w:rsidP="00C77814">
      <w:pPr>
        <w:pStyle w:val="FootnoteText"/>
        <w:jc w:val="both"/>
        <w:rPr>
          <w:rFonts w:ascii="Times New Roman" w:hAnsi="Times New Roman"/>
          <w:b w:val="0"/>
          <w:bCs/>
        </w:rPr>
      </w:pPr>
      <w:r w:rsidRPr="0047658F">
        <w:rPr>
          <w:rStyle w:val="FootnoteReference"/>
          <w:rFonts w:ascii="Times New Roman" w:hAnsi="Times New Roman"/>
          <w:b w:val="0"/>
          <w:bCs/>
        </w:rPr>
        <w:footnoteRef/>
      </w:r>
      <w:r w:rsidRPr="0047658F">
        <w:rPr>
          <w:rFonts w:ascii="Times New Roman" w:hAnsi="Times New Roman"/>
          <w:b w:val="0"/>
          <w:bCs/>
        </w:rPr>
        <w:t xml:space="preserve"> The Act also prohibits </w:t>
      </w:r>
      <w:r w:rsidR="00375312">
        <w:rPr>
          <w:rFonts w:ascii="Times New Roman" w:hAnsi="Times New Roman"/>
          <w:b w:val="0"/>
          <w:bCs/>
        </w:rPr>
        <w:t xml:space="preserve">such </w:t>
      </w:r>
      <w:r w:rsidRPr="0047658F">
        <w:rPr>
          <w:rFonts w:ascii="Times New Roman" w:hAnsi="Times New Roman"/>
          <w:b w:val="0"/>
          <w:bCs/>
        </w:rPr>
        <w:t>an agreement with a company if any wholly owned subsidiary, majority-owned subsidiary, parent company, or affiliate of the company meets any of the above referenced ownership or headquarters criteria.</w:t>
      </w:r>
    </w:p>
  </w:footnote>
  <w:footnote w:id="6">
    <w:p w14:paraId="2FEF385C" w14:textId="77777777" w:rsidR="00DD2705" w:rsidRDefault="00DD2705" w:rsidP="00C77814">
      <w:pPr>
        <w:pStyle w:val="FootnoteText"/>
        <w:jc w:val="both"/>
      </w:pPr>
    </w:p>
    <w:p w14:paraId="7244CE52" w14:textId="34D4FA2E" w:rsidR="00DD2705" w:rsidRPr="00DD2705" w:rsidRDefault="00DD2705" w:rsidP="00C77814">
      <w:pPr>
        <w:pStyle w:val="FootnoteText"/>
        <w:jc w:val="both"/>
        <w:rPr>
          <w:rFonts w:ascii="Times New Roman" w:hAnsi="Times New Roman"/>
          <w:b w:val="0"/>
          <w:bCs/>
        </w:rPr>
      </w:pPr>
      <w:r w:rsidRPr="00DD2705">
        <w:rPr>
          <w:rStyle w:val="FootnoteReference"/>
          <w:rFonts w:ascii="Times New Roman" w:hAnsi="Times New Roman"/>
          <w:b w:val="0"/>
          <w:bCs/>
        </w:rPr>
        <w:footnoteRef/>
      </w:r>
      <w:r w:rsidRPr="00DD2705">
        <w:rPr>
          <w:rFonts w:ascii="Times New Roman" w:hAnsi="Times New Roman"/>
          <w:b w:val="0"/>
          <w:bCs/>
        </w:rPr>
        <w:t xml:space="preserve"> ERCOT is not aware of any </w:t>
      </w:r>
      <w:r w:rsidR="00B20C6A">
        <w:rPr>
          <w:rFonts w:ascii="Times New Roman" w:hAnsi="Times New Roman"/>
          <w:b w:val="0"/>
          <w:bCs/>
        </w:rPr>
        <w:t xml:space="preserve">additional </w:t>
      </w:r>
      <w:r w:rsidRPr="00DD2705">
        <w:rPr>
          <w:rFonts w:ascii="Times New Roman" w:hAnsi="Times New Roman"/>
          <w:b w:val="0"/>
          <w:bCs/>
        </w:rPr>
        <w:t>country</w:t>
      </w:r>
      <w:r w:rsidR="0048513C">
        <w:rPr>
          <w:rFonts w:ascii="Times New Roman" w:hAnsi="Times New Roman"/>
          <w:b w:val="0"/>
          <w:bCs/>
        </w:rPr>
        <w:t>, beyond those listed,</w:t>
      </w:r>
      <w:r w:rsidRPr="00DD2705">
        <w:rPr>
          <w:rFonts w:ascii="Times New Roman" w:hAnsi="Times New Roman"/>
          <w:b w:val="0"/>
          <w:bCs/>
        </w:rPr>
        <w:t xml:space="preserve"> that has been designated at this time under the Act.</w:t>
      </w:r>
      <w:r>
        <w:rPr>
          <w:rFonts w:ascii="Times New Roman" w:hAnsi="Times New Roman"/>
          <w:b w:val="0"/>
          <w:bCs/>
        </w:rPr>
        <w:t xml:space="preserve">  </w:t>
      </w:r>
    </w:p>
    <w:p w14:paraId="4AD77815" w14:textId="77777777" w:rsidR="00DD2705" w:rsidRDefault="00DD2705" w:rsidP="00C77814">
      <w:pPr>
        <w:pStyle w:val="FootnoteText"/>
        <w:jc w:val="both"/>
      </w:pPr>
    </w:p>
  </w:footnote>
  <w:footnote w:id="7">
    <w:p w14:paraId="5135AC9E" w14:textId="1CA21C8B" w:rsidR="000A6C16" w:rsidRPr="000A6C16" w:rsidRDefault="000A6C16" w:rsidP="00C77814">
      <w:pPr>
        <w:pStyle w:val="FootnoteText"/>
        <w:jc w:val="both"/>
        <w:rPr>
          <w:rFonts w:ascii="Times New Roman" w:hAnsi="Times New Roman"/>
          <w:b w:val="0"/>
          <w:bCs/>
        </w:rPr>
      </w:pPr>
      <w:r w:rsidRPr="000A6C16">
        <w:rPr>
          <w:rStyle w:val="FootnoteReference"/>
          <w:rFonts w:ascii="Times New Roman" w:hAnsi="Times New Roman"/>
          <w:b w:val="0"/>
          <w:bCs/>
        </w:rPr>
        <w:footnoteRef/>
      </w:r>
      <w:r w:rsidRPr="000A6C16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In addition to this RFI, </w:t>
      </w:r>
      <w:r w:rsidRPr="000A6C16">
        <w:rPr>
          <w:rFonts w:ascii="Times New Roman" w:hAnsi="Times New Roman"/>
          <w:b w:val="0"/>
          <w:bCs/>
        </w:rPr>
        <w:t xml:space="preserve">ERCOT </w:t>
      </w:r>
      <w:r w:rsidR="00EE44CD">
        <w:rPr>
          <w:rFonts w:ascii="Times New Roman" w:hAnsi="Times New Roman"/>
          <w:b w:val="0"/>
          <w:bCs/>
        </w:rPr>
        <w:t xml:space="preserve">will </w:t>
      </w:r>
      <w:r>
        <w:rPr>
          <w:rFonts w:ascii="Times New Roman" w:hAnsi="Times New Roman"/>
          <w:b w:val="0"/>
          <w:bCs/>
        </w:rPr>
        <w:t>updat</w:t>
      </w:r>
      <w:r w:rsidR="00EE44CD">
        <w:rPr>
          <w:rFonts w:ascii="Times New Roman" w:hAnsi="Times New Roman"/>
          <w:b w:val="0"/>
          <w:bCs/>
        </w:rPr>
        <w:t>e</w:t>
      </w:r>
      <w:r>
        <w:rPr>
          <w:rFonts w:ascii="Times New Roman" w:hAnsi="Times New Roman"/>
          <w:b w:val="0"/>
          <w:bCs/>
        </w:rPr>
        <w:t xml:space="preserve"> </w:t>
      </w:r>
      <w:r w:rsidRPr="000A6C16">
        <w:rPr>
          <w:rFonts w:ascii="Times New Roman" w:hAnsi="Times New Roman"/>
          <w:b w:val="0"/>
          <w:bCs/>
        </w:rPr>
        <w:t xml:space="preserve">existing rules and processes to </w:t>
      </w:r>
      <w:r w:rsidR="009F6858">
        <w:rPr>
          <w:rFonts w:ascii="Times New Roman" w:hAnsi="Times New Roman"/>
          <w:b w:val="0"/>
          <w:bCs/>
        </w:rPr>
        <w:t>ensure</w:t>
      </w:r>
      <w:r w:rsidRPr="000A6C16">
        <w:rPr>
          <w:rFonts w:ascii="Times New Roman" w:hAnsi="Times New Roman"/>
          <w:b w:val="0"/>
          <w:bCs/>
        </w:rPr>
        <w:t xml:space="preserve"> that Market Participants compl</w:t>
      </w:r>
      <w:r w:rsidR="009F6858">
        <w:rPr>
          <w:rFonts w:ascii="Times New Roman" w:hAnsi="Times New Roman"/>
          <w:b w:val="0"/>
          <w:bCs/>
        </w:rPr>
        <w:t>y</w:t>
      </w:r>
      <w:r w:rsidRPr="000A6C16">
        <w:rPr>
          <w:rFonts w:ascii="Times New Roman" w:hAnsi="Times New Roman"/>
          <w:b w:val="0"/>
          <w:bCs/>
        </w:rPr>
        <w:t xml:space="preserve"> with the Act.</w:t>
      </w:r>
    </w:p>
  </w:footnote>
  <w:footnote w:id="8">
    <w:p w14:paraId="0216BAD5" w14:textId="75C83D65" w:rsidR="00A16131" w:rsidRPr="00A16131" w:rsidRDefault="00A16131">
      <w:pPr>
        <w:pStyle w:val="FootnoteText"/>
        <w:rPr>
          <w:rFonts w:ascii="Times New Roman" w:hAnsi="Times New Roman"/>
          <w:b w:val="0"/>
          <w:bCs/>
        </w:rPr>
      </w:pPr>
      <w:r w:rsidRPr="00A16131">
        <w:rPr>
          <w:rStyle w:val="FootnoteReference"/>
          <w:rFonts w:ascii="Times New Roman" w:hAnsi="Times New Roman"/>
          <w:b w:val="0"/>
          <w:bCs/>
        </w:rPr>
        <w:footnoteRef/>
      </w:r>
      <w:r w:rsidRPr="00A16131">
        <w:rPr>
          <w:rFonts w:ascii="Times New Roman" w:hAnsi="Times New Roman"/>
          <w:b w:val="0"/>
          <w:bCs/>
        </w:rPr>
        <w:t xml:space="preserve">   The term “designated country” as used in this attestation shall have the same meaning as the definition of that term in Texas Business and Commerce Code, Section 113.001(4).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5AA"/>
    <w:multiLevelType w:val="hybridMultilevel"/>
    <w:tmpl w:val="86F4D40E"/>
    <w:lvl w:ilvl="0" w:tplc="E932E7C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241DC"/>
    <w:multiLevelType w:val="hybridMultilevel"/>
    <w:tmpl w:val="784EE910"/>
    <w:lvl w:ilvl="0" w:tplc="37D09B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73E93"/>
    <w:multiLevelType w:val="hybridMultilevel"/>
    <w:tmpl w:val="E3909C76"/>
    <w:lvl w:ilvl="0" w:tplc="E932E7C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17CE5"/>
    <w:multiLevelType w:val="hybridMultilevel"/>
    <w:tmpl w:val="FF085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17907"/>
    <w:multiLevelType w:val="hybridMultilevel"/>
    <w:tmpl w:val="AD04DFAE"/>
    <w:lvl w:ilvl="0" w:tplc="37D09B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72849"/>
    <w:multiLevelType w:val="hybridMultilevel"/>
    <w:tmpl w:val="A612A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gDBk4OWjwT6AI8F4b1q5keVu3cu/s+4n4jq71520IsSiUnSo1meNJx9NEJM6Zv48O8+eRLRlGWMZpk0ZUsWXQ==" w:salt="4kqQH+EPV7BhH2QyPEMv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99"/>
    <w:rsid w:val="0001361B"/>
    <w:rsid w:val="00014FEC"/>
    <w:rsid w:val="00027702"/>
    <w:rsid w:val="00052DFF"/>
    <w:rsid w:val="000961B8"/>
    <w:rsid w:val="000A6C16"/>
    <w:rsid w:val="000E5C72"/>
    <w:rsid w:val="000E6B31"/>
    <w:rsid w:val="00101C66"/>
    <w:rsid w:val="00104BE3"/>
    <w:rsid w:val="0014201F"/>
    <w:rsid w:val="00145F80"/>
    <w:rsid w:val="00155A0E"/>
    <w:rsid w:val="00173D7E"/>
    <w:rsid w:val="001932CE"/>
    <w:rsid w:val="001A5FAF"/>
    <w:rsid w:val="001C3D7C"/>
    <w:rsid w:val="001E29AC"/>
    <w:rsid w:val="001E63B9"/>
    <w:rsid w:val="00230B53"/>
    <w:rsid w:val="00231737"/>
    <w:rsid w:val="00235081"/>
    <w:rsid w:val="00240DDC"/>
    <w:rsid w:val="00284A18"/>
    <w:rsid w:val="00297BB1"/>
    <w:rsid w:val="002A04FF"/>
    <w:rsid w:val="002B2014"/>
    <w:rsid w:val="002B46B6"/>
    <w:rsid w:val="002C606C"/>
    <w:rsid w:val="002E71E1"/>
    <w:rsid w:val="002F4BDB"/>
    <w:rsid w:val="00322DCA"/>
    <w:rsid w:val="00323C1D"/>
    <w:rsid w:val="0033268F"/>
    <w:rsid w:val="0035330A"/>
    <w:rsid w:val="00356F0C"/>
    <w:rsid w:val="00357D85"/>
    <w:rsid w:val="003731A8"/>
    <w:rsid w:val="00375312"/>
    <w:rsid w:val="003B3708"/>
    <w:rsid w:val="003B73FF"/>
    <w:rsid w:val="003F4409"/>
    <w:rsid w:val="00417897"/>
    <w:rsid w:val="00431E53"/>
    <w:rsid w:val="0046484F"/>
    <w:rsid w:val="0047658F"/>
    <w:rsid w:val="0048513C"/>
    <w:rsid w:val="004B2BBC"/>
    <w:rsid w:val="0051485F"/>
    <w:rsid w:val="005419BF"/>
    <w:rsid w:val="005471BC"/>
    <w:rsid w:val="005828FC"/>
    <w:rsid w:val="00586F66"/>
    <w:rsid w:val="00597ED5"/>
    <w:rsid w:val="005A25FA"/>
    <w:rsid w:val="005A6772"/>
    <w:rsid w:val="005B1B28"/>
    <w:rsid w:val="005C0B99"/>
    <w:rsid w:val="00607BC1"/>
    <w:rsid w:val="00616794"/>
    <w:rsid w:val="00625E27"/>
    <w:rsid w:val="006440E2"/>
    <w:rsid w:val="00685E27"/>
    <w:rsid w:val="00693462"/>
    <w:rsid w:val="00695A7D"/>
    <w:rsid w:val="006A4822"/>
    <w:rsid w:val="006C148E"/>
    <w:rsid w:val="007154C1"/>
    <w:rsid w:val="00715E4B"/>
    <w:rsid w:val="00722594"/>
    <w:rsid w:val="00723F5A"/>
    <w:rsid w:val="0072631F"/>
    <w:rsid w:val="00763A25"/>
    <w:rsid w:val="00770FC8"/>
    <w:rsid w:val="0078758B"/>
    <w:rsid w:val="00794CC0"/>
    <w:rsid w:val="007A38A7"/>
    <w:rsid w:val="007C1387"/>
    <w:rsid w:val="007C1B13"/>
    <w:rsid w:val="007E3A1B"/>
    <w:rsid w:val="007E7FC9"/>
    <w:rsid w:val="007F61FE"/>
    <w:rsid w:val="0081178F"/>
    <w:rsid w:val="00846975"/>
    <w:rsid w:val="00873E83"/>
    <w:rsid w:val="00876453"/>
    <w:rsid w:val="008809DB"/>
    <w:rsid w:val="00883ABD"/>
    <w:rsid w:val="008C7683"/>
    <w:rsid w:val="00913B6D"/>
    <w:rsid w:val="00950E6E"/>
    <w:rsid w:val="00974DFD"/>
    <w:rsid w:val="00982B11"/>
    <w:rsid w:val="009A04AD"/>
    <w:rsid w:val="009B2ADD"/>
    <w:rsid w:val="009C217B"/>
    <w:rsid w:val="009D2CC9"/>
    <w:rsid w:val="009F6858"/>
    <w:rsid w:val="00A16131"/>
    <w:rsid w:val="00A22A5E"/>
    <w:rsid w:val="00A709E8"/>
    <w:rsid w:val="00AB1070"/>
    <w:rsid w:val="00AC238E"/>
    <w:rsid w:val="00AF7909"/>
    <w:rsid w:val="00AF7A6B"/>
    <w:rsid w:val="00B20C6A"/>
    <w:rsid w:val="00B2608B"/>
    <w:rsid w:val="00B2687C"/>
    <w:rsid w:val="00B43B9D"/>
    <w:rsid w:val="00B44C78"/>
    <w:rsid w:val="00B70B20"/>
    <w:rsid w:val="00B87949"/>
    <w:rsid w:val="00B96607"/>
    <w:rsid w:val="00BC3A52"/>
    <w:rsid w:val="00BC5B1D"/>
    <w:rsid w:val="00BF6051"/>
    <w:rsid w:val="00BF67BA"/>
    <w:rsid w:val="00C350DE"/>
    <w:rsid w:val="00C51953"/>
    <w:rsid w:val="00C77814"/>
    <w:rsid w:val="00C8401A"/>
    <w:rsid w:val="00C946BC"/>
    <w:rsid w:val="00C96263"/>
    <w:rsid w:val="00CB1B83"/>
    <w:rsid w:val="00CB48C4"/>
    <w:rsid w:val="00CF2F3D"/>
    <w:rsid w:val="00D00F88"/>
    <w:rsid w:val="00D34A5B"/>
    <w:rsid w:val="00D3598D"/>
    <w:rsid w:val="00D539C1"/>
    <w:rsid w:val="00D62966"/>
    <w:rsid w:val="00DA4BA0"/>
    <w:rsid w:val="00DC5D69"/>
    <w:rsid w:val="00DD1438"/>
    <w:rsid w:val="00DD2705"/>
    <w:rsid w:val="00DE6883"/>
    <w:rsid w:val="00E03042"/>
    <w:rsid w:val="00E06950"/>
    <w:rsid w:val="00E25A03"/>
    <w:rsid w:val="00E70BB4"/>
    <w:rsid w:val="00EA1CDC"/>
    <w:rsid w:val="00EE44CD"/>
    <w:rsid w:val="00EE6A0B"/>
    <w:rsid w:val="00EF102E"/>
    <w:rsid w:val="00F26FC8"/>
    <w:rsid w:val="00F301C8"/>
    <w:rsid w:val="00F601FB"/>
    <w:rsid w:val="00F66D93"/>
    <w:rsid w:val="00F742A3"/>
    <w:rsid w:val="00F74504"/>
    <w:rsid w:val="00F76DA2"/>
    <w:rsid w:val="00FA2003"/>
    <w:rsid w:val="00FA5DD2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9D87"/>
  <w15:chartTrackingRefBased/>
  <w15:docId w15:val="{1A564F73-882A-43C4-9AA6-BAE9773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B9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003"/>
    <w:pPr>
      <w:spacing w:after="0" w:line="240" w:lineRule="auto"/>
    </w:pPr>
    <w:rPr>
      <w:rFonts w:ascii="Arial" w:eastAsia="Times New Roman" w:hAnsi="Arial" w:cs="Times New Roman"/>
      <w:b/>
      <w:color w:val="000000"/>
      <w:kern w:val="28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003"/>
    <w:rPr>
      <w:rFonts w:ascii="Arial" w:eastAsia="Times New Roman" w:hAnsi="Arial" w:cs="Times New Roman"/>
      <w:b/>
      <w:color w:val="00000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003"/>
    <w:rPr>
      <w:vertAlign w:val="superscript"/>
    </w:rPr>
  </w:style>
  <w:style w:type="character" w:styleId="CommentReference">
    <w:name w:val="annotation reference"/>
    <w:basedOn w:val="DefaultParagraphFont"/>
    <w:unhideWhenUsed/>
    <w:rsid w:val="009C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1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7E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7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pitol.texas.gov/tlodocs/87R/billtext/html/SB02116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49B6-4934-43EF-96A2-695347A7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Fohn, Doug</dc:creator>
  <cp:keywords/>
  <dc:description/>
  <cp:lastModifiedBy>Ruiz, Lissette</cp:lastModifiedBy>
  <cp:revision>7</cp:revision>
  <cp:lastPrinted>2021-10-27T16:24:00Z</cp:lastPrinted>
  <dcterms:created xsi:type="dcterms:W3CDTF">2021-12-03T22:27:00Z</dcterms:created>
  <dcterms:modified xsi:type="dcterms:W3CDTF">2021-12-06T16:20:00Z</dcterms:modified>
</cp:coreProperties>
</file>