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E75322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E75322" w:rsidRDefault="00E75322" w:rsidP="00E75322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0144B25E" w:rsidR="00E75322" w:rsidRPr="00595DDC" w:rsidRDefault="00E8514F" w:rsidP="00E75322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E75322" w:rsidRPr="000C39CC">
                <w:rPr>
                  <w:rStyle w:val="Hyperlink"/>
                </w:rPr>
                <w:t>1103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0E97D805" w:rsidR="00E75322" w:rsidRDefault="00E75322" w:rsidP="00E75322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27051F2D" w:rsidR="00E75322" w:rsidRPr="009F3D0E" w:rsidRDefault="00E75322" w:rsidP="00E75322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Securitization – PURA Subchapter M Default Charges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0CA3228" w:rsidR="00FC0BDC" w:rsidRPr="009F3D0E" w:rsidRDefault="0077520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1,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37DD6C" w14:textId="3195FB72" w:rsidR="009D37E7" w:rsidRDefault="009D37E7" w:rsidP="009D37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D37E7">
              <w:rPr>
                <w:rFonts w:ascii="Arial" w:hAnsi="Arial" w:cs="Arial"/>
              </w:rPr>
              <w:t>Between $1.5M and $2M</w:t>
            </w:r>
          </w:p>
          <w:p w14:paraId="61DC0B72" w14:textId="146F5C6A" w:rsidR="009875D7" w:rsidRPr="009D37E7" w:rsidRDefault="00B31585" w:rsidP="009D37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C39CC">
              <w:rPr>
                <w:rFonts w:ascii="Arial" w:hAnsi="Arial" w:cs="Arial"/>
              </w:rPr>
              <w:t>T</w:t>
            </w:r>
            <w:r w:rsidR="00BD76E4" w:rsidRPr="000C39CC">
              <w:rPr>
                <w:rFonts w:ascii="Arial" w:hAnsi="Arial" w:cs="Arial"/>
              </w:rPr>
              <w:t xml:space="preserve">his NPRR </w:t>
            </w:r>
            <w:r w:rsidRPr="000C39CC">
              <w:rPr>
                <w:rFonts w:ascii="Arial" w:hAnsi="Arial" w:cs="Arial"/>
              </w:rPr>
              <w:t>relates to implementation activities associated with</w:t>
            </w:r>
            <w:r w:rsidR="00BD76E4" w:rsidRPr="000C39CC">
              <w:rPr>
                <w:rFonts w:ascii="Arial" w:hAnsi="Arial" w:cs="Arial"/>
              </w:rPr>
              <w:t xml:space="preserve"> </w:t>
            </w:r>
            <w:r w:rsidRPr="000C39CC">
              <w:rPr>
                <w:rFonts w:ascii="Arial" w:hAnsi="Arial" w:cs="Arial"/>
              </w:rPr>
              <w:t xml:space="preserve">Texas </w:t>
            </w:r>
            <w:r w:rsidR="00BD76E4" w:rsidRPr="000C39CC">
              <w:rPr>
                <w:rFonts w:ascii="Arial" w:hAnsi="Arial" w:cs="Arial"/>
              </w:rPr>
              <w:t>House Bill 4492</w:t>
            </w:r>
            <w:r w:rsidRPr="000C39CC">
              <w:rPr>
                <w:rFonts w:ascii="Arial" w:hAnsi="Arial" w:cs="Arial"/>
              </w:rPr>
              <w:t xml:space="preserve"> (Public Utility Regulatory Act (PURA) Subchapter M)</w:t>
            </w:r>
            <w:r w:rsidR="00BD76E4" w:rsidRPr="000C39CC">
              <w:rPr>
                <w:rFonts w:ascii="Arial" w:hAnsi="Arial" w:cs="Arial"/>
              </w:rPr>
              <w:t xml:space="preserve"> </w:t>
            </w:r>
            <w:r w:rsidRPr="000C39CC">
              <w:rPr>
                <w:rFonts w:ascii="Arial" w:hAnsi="Arial" w:cs="Arial"/>
              </w:rPr>
              <w:t>and the related Public Utility Commission of Texas (PUCT) Debt Obligation Order for a debt financing mechanism to securitize costs from Winter Storm Uri.  As such,</w:t>
            </w:r>
            <w:r w:rsidR="00BD76E4" w:rsidRPr="000C39CC">
              <w:rPr>
                <w:rFonts w:ascii="Arial" w:hAnsi="Arial" w:cs="Arial"/>
              </w:rPr>
              <w:t xml:space="preserve"> the </w:t>
            </w:r>
            <w:r w:rsidRPr="000C39CC">
              <w:rPr>
                <w:rFonts w:ascii="Arial" w:hAnsi="Arial" w:cs="Arial"/>
              </w:rPr>
              <w:t>Estimated C</w:t>
            </w:r>
            <w:r w:rsidR="00BD76E4" w:rsidRPr="000C39CC">
              <w:rPr>
                <w:rFonts w:ascii="Arial" w:hAnsi="Arial" w:cs="Arial"/>
              </w:rPr>
              <w:t>ost</w:t>
            </w:r>
            <w:r w:rsidRPr="000C39CC">
              <w:rPr>
                <w:rFonts w:ascii="Arial" w:hAnsi="Arial" w:cs="Arial"/>
              </w:rPr>
              <w:t>/Budgetary Impact</w:t>
            </w:r>
            <w:r w:rsidR="00BD76E4" w:rsidRPr="000C39CC">
              <w:rPr>
                <w:rFonts w:ascii="Arial" w:hAnsi="Arial" w:cs="Arial"/>
              </w:rPr>
              <w:t xml:space="preserve"> for this NPRR will not be funded from the ERCOT budget</w:t>
            </w:r>
            <w:r w:rsidRPr="000C39CC">
              <w:rPr>
                <w:rFonts w:ascii="Arial" w:hAnsi="Arial" w:cs="Arial"/>
              </w:rPr>
              <w:t xml:space="preserve"> (i.e., ERCOT System Administration Fee)</w:t>
            </w:r>
            <w:r w:rsidR="00BD76E4" w:rsidRPr="000C39CC">
              <w:rPr>
                <w:rFonts w:ascii="Arial" w:hAnsi="Arial" w:cs="Arial"/>
              </w:rPr>
              <w:t xml:space="preserve"> (see Comments section for details).</w:t>
            </w:r>
          </w:p>
          <w:p w14:paraId="649B203D" w14:textId="049E5896" w:rsidR="00124420" w:rsidRPr="006D2911" w:rsidRDefault="009D37E7" w:rsidP="009D37E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9D37E7">
              <w:rPr>
                <w:rFonts w:ascii="Arial" w:hAnsi="Arial" w:cs="Arial"/>
              </w:rPr>
              <w:t>See ERCOT Staffing Impacts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36AC" w14:textId="4B3E9595" w:rsidR="009D37E7" w:rsidRPr="009D37E7" w:rsidRDefault="002A6728" w:rsidP="009D37E7">
            <w:pPr>
              <w:pStyle w:val="NormalArial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Phase </w:t>
            </w:r>
            <w:r w:rsidR="004D4C7A">
              <w:rPr>
                <w:rFonts w:cs="Arial"/>
                <w:u w:val="single"/>
              </w:rPr>
              <w:t>1</w:t>
            </w:r>
            <w:r w:rsidR="009D37E7" w:rsidRPr="009D37E7">
              <w:rPr>
                <w:rFonts w:cs="Arial"/>
                <w:u w:val="single"/>
              </w:rPr>
              <w:t xml:space="preserve">: Manual </w:t>
            </w:r>
          </w:p>
          <w:p w14:paraId="41290408" w14:textId="6C1400CE" w:rsidR="009D37E7" w:rsidRDefault="009D37E7" w:rsidP="009D37E7">
            <w:pPr>
              <w:pStyle w:val="NormalArial"/>
              <w:rPr>
                <w:rFonts w:cs="Arial"/>
              </w:rPr>
            </w:pPr>
            <w:r w:rsidRPr="009D37E7">
              <w:rPr>
                <w:rFonts w:cs="Arial"/>
              </w:rPr>
              <w:t>No project required.  This Nodal Protocol Revision Request (NPRR) can be implemented using manual business processes and can take effect upon PUCT approval.</w:t>
            </w:r>
          </w:p>
          <w:p w14:paraId="621E1143" w14:textId="77777777" w:rsidR="00567BA1" w:rsidRPr="009D37E7" w:rsidRDefault="00567BA1" w:rsidP="009D37E7">
            <w:pPr>
              <w:pStyle w:val="NormalArial"/>
              <w:rPr>
                <w:rFonts w:cs="Arial"/>
              </w:rPr>
            </w:pPr>
          </w:p>
          <w:p w14:paraId="6F28FF91" w14:textId="48B0B528" w:rsidR="009D37E7" w:rsidRPr="009D37E7" w:rsidRDefault="002A6728" w:rsidP="009D37E7">
            <w:pPr>
              <w:pStyle w:val="NormalArial"/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>Phase 2</w:t>
            </w:r>
            <w:r w:rsidR="009D37E7" w:rsidRPr="009D37E7">
              <w:rPr>
                <w:rFonts w:cs="Arial"/>
                <w:u w:val="single"/>
              </w:rPr>
              <w:t>: Automation</w:t>
            </w:r>
          </w:p>
          <w:p w14:paraId="3BD1977D" w14:textId="7598BA37" w:rsidR="008F0C05" w:rsidRPr="009D37E7" w:rsidRDefault="009D37E7" w:rsidP="009D37E7">
            <w:pPr>
              <w:pStyle w:val="NormalArial"/>
              <w:rPr>
                <w:rFonts w:cs="Arial"/>
              </w:rPr>
            </w:pPr>
            <w:r w:rsidRPr="009D37E7">
              <w:rPr>
                <w:rFonts w:cs="Arial"/>
              </w:rPr>
              <w:t xml:space="preserve">The timeline for automating this NPRR is dependent upon Public Utility Commission of Texas (PUCT) prioritization and approval.  </w:t>
            </w:r>
          </w:p>
          <w:p w14:paraId="5B911587" w14:textId="77777777" w:rsidR="009D37E7" w:rsidRDefault="009D37E7" w:rsidP="009D37E7">
            <w:pPr>
              <w:pStyle w:val="NormalArial"/>
              <w:rPr>
                <w:rFonts w:cs="Arial"/>
              </w:rPr>
            </w:pPr>
          </w:p>
          <w:p w14:paraId="5389E547" w14:textId="77777777" w:rsidR="0026620F" w:rsidRDefault="0026620F" w:rsidP="00DA3B1F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9D37E7">
              <w:rPr>
                <w:rFonts w:cs="Arial"/>
              </w:rPr>
              <w:t>18</w:t>
            </w:r>
            <w:r w:rsidRPr="0026620F">
              <w:rPr>
                <w:rFonts w:cs="Arial"/>
              </w:rPr>
              <w:t xml:space="preserve"> to </w:t>
            </w:r>
            <w:r w:rsidR="009D37E7">
              <w:rPr>
                <w:rFonts w:cs="Arial"/>
              </w:rPr>
              <w:t>26</w:t>
            </w:r>
            <w:r w:rsidRPr="0026620F">
              <w:rPr>
                <w:rFonts w:cs="Arial"/>
              </w:rPr>
              <w:t xml:space="preserve"> months</w:t>
            </w:r>
          </w:p>
          <w:p w14:paraId="7E6700E7" w14:textId="316D9214" w:rsidR="00A337F4" w:rsidRPr="00511748" w:rsidRDefault="00A337F4" w:rsidP="00DA3B1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33FD30AC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E90434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4639820B" w14:textId="77777777" w:rsidR="009D37E7" w:rsidRDefault="009D37E7" w:rsidP="009D37E7">
            <w:pPr>
              <w:pStyle w:val="NormalArial"/>
            </w:pPr>
            <w:r>
              <w:t>There will be ongoing operational impacts to the following ERCOT departments to support this NPRR:</w:t>
            </w:r>
          </w:p>
          <w:p w14:paraId="273EB6FD" w14:textId="77777777" w:rsidR="009D37E7" w:rsidRDefault="009D37E7" w:rsidP="009D37E7">
            <w:pPr>
              <w:pStyle w:val="NormalArial"/>
            </w:pPr>
          </w:p>
          <w:p w14:paraId="2BFEDD54" w14:textId="77777777" w:rsidR="009D37E7" w:rsidRDefault="009D37E7" w:rsidP="009D37E7">
            <w:pPr>
              <w:pStyle w:val="NormalArial"/>
            </w:pPr>
            <w:r>
              <w:t>* Settlement Services</w:t>
            </w:r>
          </w:p>
          <w:p w14:paraId="6B7DBC0D" w14:textId="77777777" w:rsidR="009D37E7" w:rsidRDefault="009D37E7" w:rsidP="009D37E7">
            <w:pPr>
              <w:pStyle w:val="NormalArial"/>
            </w:pPr>
            <w:r>
              <w:t>* Commercial Application Services</w:t>
            </w:r>
          </w:p>
          <w:p w14:paraId="51A42513" w14:textId="77777777" w:rsidR="009D37E7" w:rsidRDefault="009D37E7" w:rsidP="009D37E7">
            <w:pPr>
              <w:pStyle w:val="NormalArial"/>
            </w:pPr>
          </w:p>
          <w:p w14:paraId="019B91B1" w14:textId="6D384127" w:rsidR="00D95A87" w:rsidRDefault="00D95A87" w:rsidP="009D37E7">
            <w:pPr>
              <w:pStyle w:val="NormalArial"/>
            </w:pPr>
            <w:r w:rsidRPr="000C39CC">
              <w:t xml:space="preserve">As previously stated in the </w:t>
            </w:r>
            <w:r w:rsidR="00AD2102" w:rsidRPr="000C39CC">
              <w:t>Estimated C</w:t>
            </w:r>
            <w:r w:rsidRPr="000C39CC">
              <w:t>ost</w:t>
            </w:r>
            <w:r w:rsidR="00AD2102" w:rsidRPr="000C39CC">
              <w:t>/Budgetary Impact</w:t>
            </w:r>
            <w:r w:rsidRPr="000C39CC">
              <w:t xml:space="preserve"> section, since this NPRR </w:t>
            </w:r>
            <w:r w:rsidR="00B31585" w:rsidRPr="000C39CC">
              <w:t xml:space="preserve">relates to implementation activities </w:t>
            </w:r>
            <w:r w:rsidRPr="000C39CC">
              <w:t xml:space="preserve">of </w:t>
            </w:r>
            <w:r w:rsidR="00B31585" w:rsidRPr="000C39CC">
              <w:t xml:space="preserve">Texas </w:t>
            </w:r>
            <w:r w:rsidRPr="000C39CC">
              <w:t>House Bill 4492</w:t>
            </w:r>
            <w:r w:rsidR="00D731A2" w:rsidRPr="000C39CC">
              <w:t xml:space="preserve"> and the related PUCT Debt Obligation Order</w:t>
            </w:r>
            <w:r w:rsidRPr="000C39CC">
              <w:t xml:space="preserve">, any long-term </w:t>
            </w:r>
            <w:r w:rsidR="00AD2102" w:rsidRPr="000C39CC">
              <w:t xml:space="preserve">ERCOT </w:t>
            </w:r>
            <w:r w:rsidRPr="000C39CC">
              <w:t xml:space="preserve">staffing impacts </w:t>
            </w:r>
            <w:r w:rsidR="00D731A2" w:rsidRPr="000C39CC">
              <w:t xml:space="preserve">will </w:t>
            </w:r>
            <w:r w:rsidRPr="000C39CC">
              <w:t>not be funded from the ERCOT budget (see Comments section for details).</w:t>
            </w:r>
          </w:p>
          <w:p w14:paraId="77EB2293" w14:textId="56F5128F" w:rsidR="00A337F4" w:rsidRPr="00F02EB9" w:rsidRDefault="00A337F4" w:rsidP="00D95A87">
            <w:pPr>
              <w:pStyle w:val="NormalArial"/>
            </w:pP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F702769" w14:textId="2569991F" w:rsidR="004B1BFC" w:rsidRDefault="004B5111" w:rsidP="004B5111">
            <w:pPr>
              <w:pStyle w:val="NormalArial"/>
              <w:numPr>
                <w:ilvl w:val="0"/>
                <w:numId w:val="7"/>
              </w:numPr>
            </w:pPr>
            <w:r w:rsidRPr="004B5111">
              <w:t>Credit Management Systems (CMM)</w:t>
            </w:r>
            <w:r>
              <w:t xml:space="preserve">   </w:t>
            </w:r>
            <w:r w:rsidR="00E75322">
              <w:t xml:space="preserve">  </w:t>
            </w:r>
            <w:r>
              <w:t xml:space="preserve"> </w:t>
            </w:r>
            <w:r w:rsidR="00E75322">
              <w:t xml:space="preserve"> </w:t>
            </w:r>
            <w:r w:rsidR="00397CF1">
              <w:t>74</w:t>
            </w:r>
            <w:r>
              <w:t>%</w:t>
            </w:r>
          </w:p>
          <w:p w14:paraId="30C4130A" w14:textId="5F240291" w:rsidR="004B5111" w:rsidRDefault="004B5111" w:rsidP="004B5111">
            <w:pPr>
              <w:pStyle w:val="NormalArial"/>
              <w:numPr>
                <w:ilvl w:val="0"/>
                <w:numId w:val="7"/>
              </w:numPr>
            </w:pPr>
            <w:r w:rsidRPr="004B5111">
              <w:t>Credit, Settlements &amp; Billing Systems</w:t>
            </w:r>
            <w:r>
              <w:t xml:space="preserve"> </w:t>
            </w:r>
            <w:r w:rsidR="00E75322">
              <w:t xml:space="preserve"> </w:t>
            </w:r>
            <w:r>
              <w:t xml:space="preserve"> </w:t>
            </w:r>
            <w:r w:rsidR="00E75322">
              <w:t xml:space="preserve"> </w:t>
            </w:r>
            <w:r>
              <w:t xml:space="preserve">  </w:t>
            </w:r>
            <w:r w:rsidR="009D37E7">
              <w:t>20</w:t>
            </w:r>
            <w:r>
              <w:t>%</w:t>
            </w:r>
          </w:p>
          <w:p w14:paraId="0F8B7386" w14:textId="03835962" w:rsidR="004B5111" w:rsidRDefault="004B5111" w:rsidP="004B5111">
            <w:pPr>
              <w:pStyle w:val="NormalArial"/>
              <w:numPr>
                <w:ilvl w:val="0"/>
                <w:numId w:val="7"/>
              </w:numPr>
            </w:pPr>
            <w:r w:rsidRPr="004B5111">
              <w:t>Data Management &amp; Analytic Systems</w:t>
            </w:r>
            <w:r w:rsidR="00E75322">
              <w:t xml:space="preserve">  </w:t>
            </w:r>
            <w:r>
              <w:t xml:space="preserve">    </w:t>
            </w:r>
            <w:r w:rsidR="009D37E7">
              <w:t>2</w:t>
            </w:r>
            <w:r>
              <w:t>%</w:t>
            </w:r>
          </w:p>
          <w:p w14:paraId="59B7ED11" w14:textId="71C1DDE3" w:rsidR="004B5111" w:rsidRDefault="004B5111" w:rsidP="004B5111">
            <w:pPr>
              <w:pStyle w:val="NormalArial"/>
              <w:numPr>
                <w:ilvl w:val="0"/>
                <w:numId w:val="7"/>
              </w:numPr>
            </w:pPr>
            <w:r w:rsidRPr="004B5111">
              <w:lastRenderedPageBreak/>
              <w:t>Integration Systems</w:t>
            </w:r>
            <w:r>
              <w:t xml:space="preserve">                           </w:t>
            </w:r>
            <w:r w:rsidR="00E75322">
              <w:t xml:space="preserve"> </w:t>
            </w:r>
            <w:r>
              <w:t xml:space="preserve">       </w:t>
            </w:r>
            <w:r w:rsidR="009D37E7">
              <w:t>1</w:t>
            </w:r>
            <w:r>
              <w:t xml:space="preserve">%  </w:t>
            </w:r>
          </w:p>
          <w:p w14:paraId="37D074E8" w14:textId="356A364A" w:rsidR="004B5111" w:rsidRDefault="004B5111" w:rsidP="004B5111">
            <w:pPr>
              <w:pStyle w:val="NormalArial"/>
              <w:numPr>
                <w:ilvl w:val="0"/>
                <w:numId w:val="7"/>
              </w:numPr>
            </w:pPr>
            <w:r w:rsidRPr="004B5111">
              <w:t>Financial Management Systems</w:t>
            </w:r>
            <w:r>
              <w:t xml:space="preserve">        </w:t>
            </w:r>
            <w:r w:rsidR="00E75322">
              <w:t xml:space="preserve"> </w:t>
            </w:r>
            <w:r>
              <w:t xml:space="preserve">       1%</w:t>
            </w:r>
          </w:p>
          <w:p w14:paraId="2E86E48B" w14:textId="46B19338" w:rsidR="004B5111" w:rsidRDefault="004B5111" w:rsidP="004B5111">
            <w:pPr>
              <w:pStyle w:val="NormalArial"/>
              <w:numPr>
                <w:ilvl w:val="0"/>
                <w:numId w:val="7"/>
              </w:numPr>
            </w:pPr>
            <w:r w:rsidRPr="004B5111">
              <w:t>ERCOT Website and MIS Systems</w:t>
            </w:r>
            <w:r>
              <w:t xml:space="preserve">    </w:t>
            </w:r>
            <w:r w:rsidR="00E75322">
              <w:t xml:space="preserve"> </w:t>
            </w:r>
            <w:r>
              <w:t xml:space="preserve">       1%</w:t>
            </w:r>
          </w:p>
          <w:p w14:paraId="5145E37A" w14:textId="622D3C88" w:rsidR="004B5111" w:rsidRDefault="004B5111" w:rsidP="004B5111">
            <w:pPr>
              <w:pStyle w:val="NormalArial"/>
              <w:numPr>
                <w:ilvl w:val="0"/>
                <w:numId w:val="7"/>
              </w:numPr>
            </w:pPr>
            <w:r w:rsidRPr="004B5111">
              <w:t>CRM &amp; Registration Systems</w:t>
            </w:r>
            <w:r>
              <w:t xml:space="preserve">                     1%</w:t>
            </w:r>
          </w:p>
          <w:p w14:paraId="3F868CC6" w14:textId="5172CD34" w:rsidR="004B5111" w:rsidRPr="004B5111" w:rsidRDefault="004B5111" w:rsidP="004B5111">
            <w:pPr>
              <w:pStyle w:val="NormalArial"/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lastRenderedPageBreak/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54D063F6" w:rsidR="004D252E" w:rsidRPr="009266AD" w:rsidRDefault="004B5111" w:rsidP="00D54DC7">
            <w:pPr>
              <w:pStyle w:val="NormalArial"/>
              <w:rPr>
                <w:sz w:val="22"/>
                <w:szCs w:val="22"/>
              </w:rPr>
            </w:pPr>
            <w:r w:rsidRPr="004B5111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14407339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 w:rsidTr="000C39CC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9C8C9" w14:textId="5ADB4665" w:rsidR="000A2646" w:rsidRPr="000C39CC" w:rsidRDefault="00BA3722" w:rsidP="0088379F">
            <w:pPr>
              <w:pStyle w:val="NormalArial"/>
              <w:rPr>
                <w:rFonts w:cs="Arial"/>
              </w:rPr>
            </w:pPr>
            <w:r w:rsidRPr="000C39CC">
              <w:rPr>
                <w:rFonts w:cs="Arial"/>
              </w:rPr>
              <w:t xml:space="preserve">In accordance with </w:t>
            </w:r>
            <w:r w:rsidR="00D731A2" w:rsidRPr="000C39CC">
              <w:rPr>
                <w:rFonts w:cs="Arial"/>
              </w:rPr>
              <w:t xml:space="preserve">Texas </w:t>
            </w:r>
            <w:r w:rsidRPr="000C39CC">
              <w:rPr>
                <w:rFonts w:cs="Arial"/>
              </w:rPr>
              <w:t xml:space="preserve">House Bill 4492, project and costs related to the securitization activities will be funded as part of the services costs in support of the financing. </w:t>
            </w:r>
          </w:p>
          <w:p w14:paraId="5E512C2E" w14:textId="77777777" w:rsidR="00BA3722" w:rsidRPr="000C39CC" w:rsidRDefault="00BA3722" w:rsidP="0088379F">
            <w:pPr>
              <w:pStyle w:val="NormalArial"/>
              <w:rPr>
                <w:rFonts w:cs="Arial"/>
              </w:rPr>
            </w:pPr>
          </w:p>
          <w:p w14:paraId="3040734F" w14:textId="756CA073" w:rsidR="00BA3722" w:rsidRPr="000C39CC" w:rsidRDefault="008D3DEB" w:rsidP="000C39CC">
            <w:pPr>
              <w:pStyle w:val="NormalArial"/>
              <w:rPr>
                <w:rFonts w:cs="Arial"/>
              </w:rPr>
            </w:pPr>
            <w:r w:rsidRPr="000C39CC">
              <w:rPr>
                <w:rFonts w:cs="Arial"/>
              </w:rPr>
              <w:t xml:space="preserve">Subchapter M </w:t>
            </w:r>
            <w:r w:rsidR="00BA3722" w:rsidRPr="000C39CC">
              <w:rPr>
                <w:rFonts w:cs="Arial"/>
              </w:rPr>
              <w:t>Sec. 39.602 (1)(C</w:t>
            </w:r>
            <w:r w:rsidR="000C39CC">
              <w:rPr>
                <w:rFonts w:cs="Arial"/>
              </w:rPr>
              <w:t xml:space="preserve">) </w:t>
            </w:r>
            <w:r w:rsidR="00BA3722" w:rsidRPr="000C39CC">
              <w:rPr>
                <w:rFonts w:cs="Arial"/>
              </w:rPr>
              <w:t>reasonable costs incurred by a state agency or the independent organization to implement a debt obligation order under Sections 39.603 and 39.604</w:t>
            </w:r>
          </w:p>
          <w:p w14:paraId="1791C377" w14:textId="4E047270" w:rsidR="00A455CF" w:rsidRPr="000C39CC" w:rsidRDefault="00A455CF" w:rsidP="00A455CF">
            <w:pPr>
              <w:pStyle w:val="NormalArial"/>
              <w:rPr>
                <w:rFonts w:cs="Arial"/>
              </w:rPr>
            </w:pPr>
          </w:p>
          <w:p w14:paraId="6DAC8F4E" w14:textId="14CFC1E3" w:rsidR="00A455CF" w:rsidRPr="000C39CC" w:rsidRDefault="00A455CF" w:rsidP="00A455CF">
            <w:pPr>
              <w:rPr>
                <w:rFonts w:ascii="Arial" w:hAnsi="Arial" w:cs="Arial"/>
              </w:rPr>
            </w:pPr>
            <w:r w:rsidRPr="000C39CC">
              <w:rPr>
                <w:rFonts w:ascii="Arial" w:hAnsi="Arial" w:cs="Arial"/>
              </w:rPr>
              <w:t xml:space="preserve">Further in the PUCT </w:t>
            </w:r>
            <w:r w:rsidR="00AD2102" w:rsidRPr="000C39CC">
              <w:rPr>
                <w:rFonts w:ascii="Arial" w:hAnsi="Arial" w:cs="Arial"/>
              </w:rPr>
              <w:t>D</w:t>
            </w:r>
            <w:r w:rsidRPr="000C39CC">
              <w:rPr>
                <w:rFonts w:ascii="Arial" w:hAnsi="Arial" w:cs="Arial"/>
              </w:rPr>
              <w:t xml:space="preserve">ebt </w:t>
            </w:r>
            <w:r w:rsidR="00AD2102" w:rsidRPr="000C39CC">
              <w:rPr>
                <w:rFonts w:ascii="Arial" w:hAnsi="Arial" w:cs="Arial"/>
              </w:rPr>
              <w:t>O</w:t>
            </w:r>
            <w:r w:rsidRPr="000C39CC">
              <w:rPr>
                <w:rFonts w:ascii="Arial" w:hAnsi="Arial" w:cs="Arial"/>
              </w:rPr>
              <w:t xml:space="preserve">bligation </w:t>
            </w:r>
            <w:r w:rsidR="00AD2102" w:rsidRPr="000C39CC">
              <w:rPr>
                <w:rFonts w:ascii="Arial" w:hAnsi="Arial" w:cs="Arial"/>
              </w:rPr>
              <w:t>O</w:t>
            </w:r>
            <w:r w:rsidRPr="000C39CC">
              <w:rPr>
                <w:rFonts w:ascii="Arial" w:hAnsi="Arial" w:cs="Arial"/>
              </w:rPr>
              <w:t>rder, Ordering Paragraph 18 states the following:</w:t>
            </w:r>
          </w:p>
          <w:p w14:paraId="1002A258" w14:textId="77777777" w:rsidR="00A455CF" w:rsidRPr="000C39CC" w:rsidRDefault="00A455CF" w:rsidP="00A455CF">
            <w:pPr>
              <w:rPr>
                <w:rFonts w:ascii="Arial" w:hAnsi="Arial" w:cs="Arial"/>
              </w:rPr>
            </w:pPr>
          </w:p>
          <w:p w14:paraId="49CB9AE8" w14:textId="1DC4D309" w:rsidR="00BA3722" w:rsidRPr="00A36BDB" w:rsidRDefault="00A455CF" w:rsidP="000C39CC">
            <w:pPr>
              <w:pStyle w:val="NormalArial"/>
            </w:pPr>
            <w:r w:rsidRPr="000C39CC">
              <w:rPr>
                <w:rFonts w:cs="Arial"/>
              </w:rPr>
              <w:t>18. Ongoing Costs. The Commission authorizes ERCOT to recover its actual ongoing costs through its default charges in accordance with the terms of this Order.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7D7D4" w14:textId="77777777" w:rsidR="007A69A8" w:rsidRDefault="007A69A8">
      <w:r>
        <w:separator/>
      </w:r>
    </w:p>
  </w:endnote>
  <w:endnote w:type="continuationSeparator" w:id="0">
    <w:p w14:paraId="51FE1248" w14:textId="77777777" w:rsidR="007A69A8" w:rsidRDefault="007A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3F5FE541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75322">
      <w:rPr>
        <w:rFonts w:ascii="Arial" w:hAnsi="Arial"/>
        <w:noProof/>
        <w:sz w:val="18"/>
      </w:rPr>
      <w:t>1103NPRR-</w:t>
    </w:r>
    <w:r w:rsidR="0077520B">
      <w:rPr>
        <w:rFonts w:ascii="Arial" w:hAnsi="Arial"/>
        <w:noProof/>
        <w:sz w:val="18"/>
      </w:rPr>
      <w:t>10</w:t>
    </w:r>
    <w:r w:rsidR="00E75322">
      <w:rPr>
        <w:rFonts w:ascii="Arial" w:hAnsi="Arial"/>
        <w:noProof/>
        <w:sz w:val="18"/>
      </w:rPr>
      <w:t xml:space="preserve"> </w:t>
    </w:r>
    <w:r w:rsidR="0077520B">
      <w:rPr>
        <w:rFonts w:ascii="Arial" w:hAnsi="Arial"/>
        <w:noProof/>
        <w:sz w:val="18"/>
      </w:rPr>
      <w:t xml:space="preserve">Revised </w:t>
    </w:r>
    <w:r w:rsidR="00E75322">
      <w:rPr>
        <w:rFonts w:ascii="Arial" w:hAnsi="Arial"/>
        <w:noProof/>
        <w:sz w:val="18"/>
      </w:rPr>
      <w:t>Impact Analysis 1</w:t>
    </w:r>
    <w:r w:rsidR="0077520B">
      <w:rPr>
        <w:rFonts w:ascii="Arial" w:hAnsi="Arial"/>
        <w:noProof/>
        <w:sz w:val="18"/>
      </w:rPr>
      <w:t>201</w:t>
    </w:r>
    <w:r w:rsidR="00E75322">
      <w:rPr>
        <w:rFonts w:ascii="Arial" w:hAnsi="Arial"/>
        <w:noProof/>
        <w:sz w:val="18"/>
      </w:rPr>
      <w:t>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8AF73" w14:textId="77777777" w:rsidR="007A69A8" w:rsidRDefault="007A69A8">
      <w:r>
        <w:separator/>
      </w:r>
    </w:p>
  </w:footnote>
  <w:footnote w:type="continuationSeparator" w:id="0">
    <w:p w14:paraId="2D096F2A" w14:textId="77777777" w:rsidR="007A69A8" w:rsidRDefault="007A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0070E6E2" w:rsidR="006B0C5E" w:rsidRDefault="001B3E8D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495688D"/>
    <w:multiLevelType w:val="hybridMultilevel"/>
    <w:tmpl w:val="6F60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25EF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C39CC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3E8D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A6728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1244"/>
    <w:rsid w:val="002E77D5"/>
    <w:rsid w:val="00305163"/>
    <w:rsid w:val="00306F40"/>
    <w:rsid w:val="0031543B"/>
    <w:rsid w:val="00320CA5"/>
    <w:rsid w:val="00323904"/>
    <w:rsid w:val="00324744"/>
    <w:rsid w:val="00343A04"/>
    <w:rsid w:val="003442FA"/>
    <w:rsid w:val="003532C4"/>
    <w:rsid w:val="00361A4D"/>
    <w:rsid w:val="0037167C"/>
    <w:rsid w:val="00374AC4"/>
    <w:rsid w:val="003806C4"/>
    <w:rsid w:val="003821C4"/>
    <w:rsid w:val="00390F23"/>
    <w:rsid w:val="003971D4"/>
    <w:rsid w:val="00397CF1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B5111"/>
    <w:rsid w:val="004C389D"/>
    <w:rsid w:val="004C3BCE"/>
    <w:rsid w:val="004C47CB"/>
    <w:rsid w:val="004D252E"/>
    <w:rsid w:val="004D4C7A"/>
    <w:rsid w:val="004E7041"/>
    <w:rsid w:val="005059AD"/>
    <w:rsid w:val="00510D3C"/>
    <w:rsid w:val="00511748"/>
    <w:rsid w:val="00512894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67BA1"/>
    <w:rsid w:val="00577B36"/>
    <w:rsid w:val="005821F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D2911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20B"/>
    <w:rsid w:val="0077547B"/>
    <w:rsid w:val="00780AB9"/>
    <w:rsid w:val="00782043"/>
    <w:rsid w:val="00783E13"/>
    <w:rsid w:val="007A427B"/>
    <w:rsid w:val="007A69A8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C228A"/>
    <w:rsid w:val="008D147D"/>
    <w:rsid w:val="008D3DEB"/>
    <w:rsid w:val="008D73FD"/>
    <w:rsid w:val="008E6078"/>
    <w:rsid w:val="008F0C05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875D7"/>
    <w:rsid w:val="0099341A"/>
    <w:rsid w:val="009A1F23"/>
    <w:rsid w:val="009A3203"/>
    <w:rsid w:val="009B0326"/>
    <w:rsid w:val="009B2CF9"/>
    <w:rsid w:val="009D0F80"/>
    <w:rsid w:val="009D37E7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37F4"/>
    <w:rsid w:val="00A36BDB"/>
    <w:rsid w:val="00A36F8D"/>
    <w:rsid w:val="00A455CF"/>
    <w:rsid w:val="00A46EAE"/>
    <w:rsid w:val="00A47E2E"/>
    <w:rsid w:val="00A5034C"/>
    <w:rsid w:val="00A50D47"/>
    <w:rsid w:val="00A521B7"/>
    <w:rsid w:val="00A527A4"/>
    <w:rsid w:val="00A53344"/>
    <w:rsid w:val="00A6446D"/>
    <w:rsid w:val="00A72F4C"/>
    <w:rsid w:val="00A74BB6"/>
    <w:rsid w:val="00A76EE3"/>
    <w:rsid w:val="00A813DF"/>
    <w:rsid w:val="00A84D2E"/>
    <w:rsid w:val="00A9321D"/>
    <w:rsid w:val="00A953DF"/>
    <w:rsid w:val="00A96F5A"/>
    <w:rsid w:val="00AA2F64"/>
    <w:rsid w:val="00AA5DE9"/>
    <w:rsid w:val="00AC0240"/>
    <w:rsid w:val="00AC5086"/>
    <w:rsid w:val="00AC5C28"/>
    <w:rsid w:val="00AD1EC0"/>
    <w:rsid w:val="00AD2102"/>
    <w:rsid w:val="00AD6AFA"/>
    <w:rsid w:val="00AE24C3"/>
    <w:rsid w:val="00AE2790"/>
    <w:rsid w:val="00AE451D"/>
    <w:rsid w:val="00B01053"/>
    <w:rsid w:val="00B0156D"/>
    <w:rsid w:val="00B039E2"/>
    <w:rsid w:val="00B202EE"/>
    <w:rsid w:val="00B242E5"/>
    <w:rsid w:val="00B3158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A3722"/>
    <w:rsid w:val="00BB1036"/>
    <w:rsid w:val="00BB456F"/>
    <w:rsid w:val="00BB7ED2"/>
    <w:rsid w:val="00BC322C"/>
    <w:rsid w:val="00BC7F7A"/>
    <w:rsid w:val="00BD14E5"/>
    <w:rsid w:val="00BD76E4"/>
    <w:rsid w:val="00BE04AB"/>
    <w:rsid w:val="00BE76F0"/>
    <w:rsid w:val="00BF0BCD"/>
    <w:rsid w:val="00BF3CBB"/>
    <w:rsid w:val="00BF4C29"/>
    <w:rsid w:val="00BF6B3B"/>
    <w:rsid w:val="00C00C38"/>
    <w:rsid w:val="00C03D22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A1FE3"/>
    <w:rsid w:val="00CB2C65"/>
    <w:rsid w:val="00CB3C8E"/>
    <w:rsid w:val="00CB4215"/>
    <w:rsid w:val="00CB7783"/>
    <w:rsid w:val="00CC046E"/>
    <w:rsid w:val="00CC3457"/>
    <w:rsid w:val="00CC4A8A"/>
    <w:rsid w:val="00CC76D7"/>
    <w:rsid w:val="00CD515E"/>
    <w:rsid w:val="00CE3D9D"/>
    <w:rsid w:val="00CF00C0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731A2"/>
    <w:rsid w:val="00D9401A"/>
    <w:rsid w:val="00D95A87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5322"/>
    <w:rsid w:val="00E776F8"/>
    <w:rsid w:val="00E81C6F"/>
    <w:rsid w:val="00E83B6A"/>
    <w:rsid w:val="00E8514F"/>
    <w:rsid w:val="00E851D6"/>
    <w:rsid w:val="00E8702F"/>
    <w:rsid w:val="00E87AE5"/>
    <w:rsid w:val="00E90434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39E1"/>
    <w:rsid w:val="00F50D13"/>
    <w:rsid w:val="00F53B07"/>
    <w:rsid w:val="00F5445D"/>
    <w:rsid w:val="00F555E9"/>
    <w:rsid w:val="00F64E6D"/>
    <w:rsid w:val="00F7084F"/>
    <w:rsid w:val="00F72884"/>
    <w:rsid w:val="00F75360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?id=e14656cd-27b7-3a42-9938-159873a77c0c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1A81CEEAFF042866D69B96080B6D0" ma:contentTypeVersion="2" ma:contentTypeDescription="Create a new document." ma:contentTypeScope="" ma:versionID="98ddef8d65693b54def501ab579b7882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26b17897b0dee42c4ef932dfddf4050e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AF07D-F142-4255-87AA-570ED9A34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416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3023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4</cp:revision>
  <cp:lastPrinted>2007-01-12T13:31:00Z</cp:lastPrinted>
  <dcterms:created xsi:type="dcterms:W3CDTF">2021-12-01T15:11:00Z</dcterms:created>
  <dcterms:modified xsi:type="dcterms:W3CDTF">2021-12-01T15:19:00Z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0x0101002CC1A81CEEAFF042866D69B96080B6D0</vt:lpwstr>
  </property>
</Properties>
</file>