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2499D42" w:rsidR="00C97625" w:rsidRPr="00595DDC" w:rsidRDefault="0055739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22101" w:rsidRPr="00022101">
                <w:rPr>
                  <w:rStyle w:val="Hyperlink"/>
                </w:rPr>
                <w:t>1091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D9CF016" w:rsidR="00C97625" w:rsidRPr="009F3D0E" w:rsidRDefault="0002210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22101">
              <w:rPr>
                <w:szCs w:val="23"/>
              </w:rPr>
              <w:t>Changes to Address Market Impacts of Additional Non-Spin Procurement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E9701BD" w:rsidR="00FC0BDC" w:rsidRPr="009F3D0E" w:rsidRDefault="00FF64D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16,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3D0C84F5" w:rsidR="00124420" w:rsidRPr="002D68CF" w:rsidRDefault="0002210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2101">
              <w:rPr>
                <w:rFonts w:ascii="Arial" w:hAnsi="Arial" w:cs="Arial"/>
              </w:rPr>
              <w:t>Between $120k and $160k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7461479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022101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022101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0F35EB1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22101">
              <w:t>6</w:t>
            </w:r>
            <w:r w:rsidR="00CB2C65" w:rsidRPr="00CB2C65">
              <w:t xml:space="preserve">0% ERCOT; </w:t>
            </w:r>
            <w:r w:rsidR="00022101">
              <w:t>4</w:t>
            </w:r>
            <w:r w:rsidR="00CB2C65" w:rsidRPr="00CB2C65">
              <w:t>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F22ED1E" w14:textId="56777FC0" w:rsidR="004B1BFC" w:rsidRPr="00022101" w:rsidRDefault="00022101" w:rsidP="00022101">
            <w:pPr>
              <w:pStyle w:val="NormalArial"/>
              <w:numPr>
                <w:ilvl w:val="0"/>
                <w:numId w:val="7"/>
              </w:numPr>
            </w:pPr>
            <w:r w:rsidRPr="00022101">
              <w:t>Market Operation Systems</w:t>
            </w:r>
            <w:r>
              <w:t xml:space="preserve">                      73%</w:t>
            </w:r>
          </w:p>
          <w:p w14:paraId="450BFC92" w14:textId="17A7A04E" w:rsidR="00022101" w:rsidRPr="00022101" w:rsidRDefault="00022101" w:rsidP="00022101">
            <w:pPr>
              <w:pStyle w:val="NormalArial"/>
              <w:numPr>
                <w:ilvl w:val="0"/>
                <w:numId w:val="7"/>
              </w:numPr>
            </w:pPr>
            <w:r w:rsidRPr="00022101">
              <w:t>Data Management &amp; Analytic Systems</w:t>
            </w:r>
            <w:r>
              <w:t xml:space="preserve">   20%</w:t>
            </w:r>
          </w:p>
          <w:p w14:paraId="0722B723" w14:textId="60F5D1A6" w:rsidR="00022101" w:rsidRPr="00022101" w:rsidRDefault="00022101" w:rsidP="00022101">
            <w:pPr>
              <w:pStyle w:val="NormalArial"/>
              <w:numPr>
                <w:ilvl w:val="0"/>
                <w:numId w:val="7"/>
              </w:numPr>
            </w:pPr>
            <w:r w:rsidRPr="00022101">
              <w:t>Energy Management Systems</w:t>
            </w:r>
            <w:r>
              <w:t xml:space="preserve">                   7%</w:t>
            </w:r>
          </w:p>
          <w:p w14:paraId="3F868CC6" w14:textId="3608B55E" w:rsidR="00022101" w:rsidRPr="00FE71C0" w:rsidRDefault="00022101" w:rsidP="0002210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5E28F40E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5739D">
      <w:rPr>
        <w:rFonts w:ascii="Arial" w:hAnsi="Arial"/>
        <w:noProof/>
        <w:sz w:val="18"/>
      </w:rPr>
      <w:t>1091NPRR-09 Impact Analysis 111621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7593"/>
    <w:multiLevelType w:val="hybridMultilevel"/>
    <w:tmpl w:val="BD92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2101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5739D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1133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2021-11-16T17:08:00Z</dcterms:created>
  <dcterms:modified xsi:type="dcterms:W3CDTF">2021-11-16T17:08:00Z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