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E75322" w14:paraId="7895665C" w14:textId="77777777" w:rsidTr="00D54DC7">
        <w:trPr>
          <w:trHeight w:val="620"/>
        </w:trPr>
        <w:tc>
          <w:tcPr>
            <w:tcW w:w="1620" w:type="dxa"/>
            <w:tcBorders>
              <w:bottom w:val="single" w:sz="4" w:space="0" w:color="auto"/>
            </w:tcBorders>
            <w:shd w:val="clear" w:color="auto" w:fill="FFFFFF"/>
            <w:vAlign w:val="center"/>
          </w:tcPr>
          <w:p w14:paraId="61D10E53" w14:textId="77777777" w:rsidR="00E75322" w:rsidRDefault="00E75322" w:rsidP="00E75322">
            <w:pPr>
              <w:pStyle w:val="Header"/>
            </w:pPr>
            <w:r>
              <w:t>NPRR Number</w:t>
            </w:r>
          </w:p>
        </w:tc>
        <w:tc>
          <w:tcPr>
            <w:tcW w:w="1440" w:type="dxa"/>
            <w:tcBorders>
              <w:bottom w:val="single" w:sz="4" w:space="0" w:color="auto"/>
            </w:tcBorders>
            <w:vAlign w:val="center"/>
          </w:tcPr>
          <w:p w14:paraId="2C1F75B9" w14:textId="1BD75942" w:rsidR="00E75322" w:rsidRPr="00595DDC" w:rsidRDefault="00E75322" w:rsidP="00E75322">
            <w:pPr>
              <w:pStyle w:val="Header"/>
              <w:tabs>
                <w:tab w:val="clear" w:pos="4320"/>
                <w:tab w:val="clear" w:pos="8640"/>
              </w:tabs>
            </w:pPr>
            <w:hyperlink r:id="rId10" w:history="1">
              <w:r w:rsidRPr="007176C0">
                <w:rPr>
                  <w:rStyle w:val="Hyperlink"/>
                </w:rPr>
                <w:t>1103</w:t>
              </w:r>
            </w:hyperlink>
          </w:p>
        </w:tc>
        <w:tc>
          <w:tcPr>
            <w:tcW w:w="1260" w:type="dxa"/>
            <w:tcBorders>
              <w:bottom w:val="single" w:sz="4" w:space="0" w:color="auto"/>
            </w:tcBorders>
            <w:shd w:val="clear" w:color="auto" w:fill="FFFFFF"/>
            <w:vAlign w:val="center"/>
          </w:tcPr>
          <w:p w14:paraId="4DF3FF71" w14:textId="0E97D805" w:rsidR="00E75322" w:rsidRDefault="00E75322" w:rsidP="00E75322">
            <w:pPr>
              <w:pStyle w:val="Header"/>
            </w:pPr>
            <w:r>
              <w:t>NPRR Title</w:t>
            </w:r>
          </w:p>
        </w:tc>
        <w:tc>
          <w:tcPr>
            <w:tcW w:w="6120" w:type="dxa"/>
            <w:tcBorders>
              <w:bottom w:val="single" w:sz="4" w:space="0" w:color="auto"/>
            </w:tcBorders>
            <w:vAlign w:val="center"/>
          </w:tcPr>
          <w:p w14:paraId="249B6599" w14:textId="27051F2D" w:rsidR="00E75322" w:rsidRPr="009F3D0E" w:rsidRDefault="00E75322" w:rsidP="00E75322">
            <w:pPr>
              <w:pStyle w:val="Header"/>
              <w:tabs>
                <w:tab w:val="clear" w:pos="4320"/>
                <w:tab w:val="clear" w:pos="8640"/>
              </w:tabs>
              <w:rPr>
                <w:szCs w:val="23"/>
              </w:rPr>
            </w:pPr>
            <w:r>
              <w:t>Securitization – PURA Subchapter M Default Charges</w:t>
            </w:r>
          </w:p>
        </w:tc>
      </w:tr>
      <w:tr w:rsidR="00FC0BDC"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4A182FFD" w:rsidR="00FC0BDC" w:rsidRPr="009F3D0E" w:rsidRDefault="00E75322" w:rsidP="009F3D0E">
            <w:pPr>
              <w:spacing w:before="100" w:beforeAutospacing="1" w:after="100" w:afterAutospacing="1"/>
              <w:rPr>
                <w:rFonts w:ascii="Arial" w:hAnsi="Arial" w:cs="Arial"/>
                <w:szCs w:val="22"/>
              </w:rPr>
            </w:pPr>
            <w:r>
              <w:rPr>
                <w:rFonts w:ascii="Arial" w:hAnsi="Arial" w:cs="Arial"/>
                <w:szCs w:val="22"/>
              </w:rPr>
              <w:t>November 1, 2021</w:t>
            </w:r>
          </w:p>
        </w:tc>
      </w:tr>
      <w:tr w:rsidR="00F13670"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5437DD6C" w14:textId="77777777" w:rsidR="009D37E7" w:rsidRPr="009D37E7" w:rsidRDefault="009D37E7" w:rsidP="009D37E7">
            <w:pPr>
              <w:spacing w:before="100" w:beforeAutospacing="1" w:after="100" w:afterAutospacing="1"/>
              <w:rPr>
                <w:rFonts w:ascii="Arial" w:hAnsi="Arial" w:cs="Arial"/>
              </w:rPr>
            </w:pPr>
            <w:r w:rsidRPr="009D37E7">
              <w:rPr>
                <w:rFonts w:ascii="Arial" w:hAnsi="Arial" w:cs="Arial"/>
              </w:rPr>
              <w:t>Between $1.5M and $2M</w:t>
            </w:r>
          </w:p>
          <w:p w14:paraId="649B203D" w14:textId="049E5896" w:rsidR="00124420" w:rsidRPr="006D2911" w:rsidRDefault="009D37E7" w:rsidP="009D37E7">
            <w:pPr>
              <w:spacing w:before="100" w:beforeAutospacing="1" w:after="100" w:afterAutospacing="1"/>
              <w:rPr>
                <w:rFonts w:ascii="Arial" w:hAnsi="Arial" w:cs="Arial"/>
              </w:rPr>
            </w:pPr>
            <w:r w:rsidRPr="009D37E7">
              <w:rPr>
                <w:rFonts w:ascii="Arial" w:hAnsi="Arial" w:cs="Arial"/>
              </w:rPr>
              <w:t>See ERCOT Staffing Impacts</w:t>
            </w:r>
          </w:p>
        </w:tc>
      </w:tr>
      <w:tr w:rsidR="00F13670"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0E736AC" w14:textId="4B3E9595" w:rsidR="009D37E7" w:rsidRPr="009D37E7" w:rsidRDefault="002A6728" w:rsidP="009D37E7">
            <w:pPr>
              <w:pStyle w:val="NormalArial"/>
              <w:rPr>
                <w:rFonts w:cs="Arial"/>
                <w:u w:val="single"/>
              </w:rPr>
            </w:pPr>
            <w:r>
              <w:rPr>
                <w:rFonts w:cs="Arial"/>
                <w:u w:val="single"/>
              </w:rPr>
              <w:t xml:space="preserve">Phase </w:t>
            </w:r>
            <w:r w:rsidR="004D4C7A">
              <w:rPr>
                <w:rFonts w:cs="Arial"/>
                <w:u w:val="single"/>
              </w:rPr>
              <w:t>1</w:t>
            </w:r>
            <w:r w:rsidR="009D37E7" w:rsidRPr="009D37E7">
              <w:rPr>
                <w:rFonts w:cs="Arial"/>
                <w:u w:val="single"/>
              </w:rPr>
              <w:t xml:space="preserve">: Manual </w:t>
            </w:r>
          </w:p>
          <w:p w14:paraId="41290408" w14:textId="16E1A4D4" w:rsidR="009D37E7" w:rsidRDefault="009D37E7" w:rsidP="009D37E7">
            <w:pPr>
              <w:pStyle w:val="NormalArial"/>
              <w:rPr>
                <w:rFonts w:cs="Arial"/>
              </w:rPr>
            </w:pPr>
            <w:r w:rsidRPr="009D37E7">
              <w:rPr>
                <w:rFonts w:cs="Arial"/>
              </w:rPr>
              <w:t>No project required.  This Nodal Protocol Revision Request (NPRR) can be implemented using manual business processes and can take effect upon Public Utility Commission of Texas (PUCT) approval.</w:t>
            </w:r>
          </w:p>
          <w:p w14:paraId="621E1143" w14:textId="77777777" w:rsidR="00567BA1" w:rsidRPr="009D37E7" w:rsidRDefault="00567BA1" w:rsidP="009D37E7">
            <w:pPr>
              <w:pStyle w:val="NormalArial"/>
              <w:rPr>
                <w:rFonts w:cs="Arial"/>
              </w:rPr>
            </w:pPr>
          </w:p>
          <w:p w14:paraId="6F28FF91" w14:textId="48B0B528" w:rsidR="009D37E7" w:rsidRPr="009D37E7" w:rsidRDefault="002A6728" w:rsidP="009D37E7">
            <w:pPr>
              <w:pStyle w:val="NormalArial"/>
              <w:rPr>
                <w:rFonts w:cs="Arial"/>
                <w:u w:val="single"/>
              </w:rPr>
            </w:pPr>
            <w:r>
              <w:rPr>
                <w:rFonts w:cs="Arial"/>
                <w:u w:val="single"/>
              </w:rPr>
              <w:t>Phase 2</w:t>
            </w:r>
            <w:r w:rsidR="009D37E7" w:rsidRPr="009D37E7">
              <w:rPr>
                <w:rFonts w:cs="Arial"/>
                <w:u w:val="single"/>
              </w:rPr>
              <w:t>: Automation</w:t>
            </w:r>
          </w:p>
          <w:p w14:paraId="3BD1977D" w14:textId="7598BA37" w:rsidR="008F0C05" w:rsidRPr="009D37E7" w:rsidRDefault="009D37E7" w:rsidP="009D37E7">
            <w:pPr>
              <w:pStyle w:val="NormalArial"/>
              <w:rPr>
                <w:rFonts w:cs="Arial"/>
              </w:rPr>
            </w:pPr>
            <w:r w:rsidRPr="009D37E7">
              <w:rPr>
                <w:rFonts w:cs="Arial"/>
              </w:rPr>
              <w:t xml:space="preserve">The timeline for automating this NPRR is dependent upon Public Utility Commission of Texas (PUCT) prioritization and approval.  </w:t>
            </w:r>
          </w:p>
          <w:p w14:paraId="5B911587" w14:textId="77777777" w:rsidR="009D37E7" w:rsidRDefault="009D37E7" w:rsidP="009D37E7">
            <w:pPr>
              <w:pStyle w:val="NormalArial"/>
              <w:rPr>
                <w:rFonts w:cs="Arial"/>
              </w:rPr>
            </w:pPr>
          </w:p>
          <w:p w14:paraId="7E6700E7" w14:textId="5D26C2A5" w:rsidR="0026620F" w:rsidRPr="00511748" w:rsidRDefault="0026620F" w:rsidP="00DA3B1F">
            <w:pPr>
              <w:pStyle w:val="NormalArial"/>
              <w:rPr>
                <w:sz w:val="22"/>
                <w:szCs w:val="22"/>
              </w:rPr>
            </w:pPr>
            <w:r w:rsidRPr="0026620F">
              <w:rPr>
                <w:rFonts w:cs="Arial"/>
              </w:rPr>
              <w:t xml:space="preserve">Estimated project duration:  </w:t>
            </w:r>
            <w:r w:rsidR="009D37E7">
              <w:rPr>
                <w:rFonts w:cs="Arial"/>
              </w:rPr>
              <w:t>18</w:t>
            </w:r>
            <w:r w:rsidRPr="0026620F">
              <w:rPr>
                <w:rFonts w:cs="Arial"/>
              </w:rPr>
              <w:t xml:space="preserve"> to </w:t>
            </w:r>
            <w:r w:rsidR="009D37E7">
              <w:rPr>
                <w:rFonts w:cs="Arial"/>
              </w:rPr>
              <w:t>26</w:t>
            </w:r>
            <w:r w:rsidRPr="0026620F">
              <w:rPr>
                <w:rFonts w:cs="Arial"/>
              </w:rPr>
              <w:t xml:space="preserve"> months</w:t>
            </w:r>
          </w:p>
        </w:tc>
      </w:tr>
      <w:tr w:rsidR="00F13670"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DCCDC83" w14:textId="33FD30AC"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E90434">
              <w:t>10</w:t>
            </w:r>
            <w:r w:rsidR="00CB2C65" w:rsidRPr="00CB2C65">
              <w:t>0% ERCOT; 0% Vendor</w:t>
            </w:r>
          </w:p>
          <w:p w14:paraId="37349955" w14:textId="77777777" w:rsidR="00CB2C65" w:rsidRDefault="00CB2C65" w:rsidP="002D6CAB">
            <w:pPr>
              <w:pStyle w:val="NormalArial"/>
            </w:pPr>
          </w:p>
          <w:p w14:paraId="4639820B" w14:textId="77777777" w:rsidR="009D37E7" w:rsidRDefault="009D37E7" w:rsidP="009D37E7">
            <w:pPr>
              <w:pStyle w:val="NormalArial"/>
            </w:pPr>
            <w:r>
              <w:t>There will be ongoing operational impacts to the following ERCOT departments to support this NPRR:</w:t>
            </w:r>
          </w:p>
          <w:p w14:paraId="273EB6FD" w14:textId="77777777" w:rsidR="009D37E7" w:rsidRDefault="009D37E7" w:rsidP="009D37E7">
            <w:pPr>
              <w:pStyle w:val="NormalArial"/>
            </w:pPr>
          </w:p>
          <w:p w14:paraId="2BFEDD54" w14:textId="77777777" w:rsidR="009D37E7" w:rsidRDefault="009D37E7" w:rsidP="009D37E7">
            <w:pPr>
              <w:pStyle w:val="NormalArial"/>
            </w:pPr>
            <w:r>
              <w:t>* Settlement Services</w:t>
            </w:r>
          </w:p>
          <w:p w14:paraId="6B7DBC0D" w14:textId="77777777" w:rsidR="009D37E7" w:rsidRDefault="009D37E7" w:rsidP="009D37E7">
            <w:pPr>
              <w:pStyle w:val="NormalArial"/>
            </w:pPr>
            <w:r>
              <w:t>* Commercial Application Services</w:t>
            </w:r>
          </w:p>
          <w:p w14:paraId="51A42513" w14:textId="77777777" w:rsidR="009D37E7" w:rsidRDefault="009D37E7" w:rsidP="009D37E7">
            <w:pPr>
              <w:pStyle w:val="NormalArial"/>
            </w:pPr>
          </w:p>
          <w:p w14:paraId="77EB2293" w14:textId="212F288A" w:rsidR="00E90434" w:rsidRPr="00F02EB9" w:rsidRDefault="009D37E7" w:rsidP="009D37E7">
            <w:pPr>
              <w:pStyle w:val="NormalArial"/>
            </w:pPr>
            <w:r>
              <w:t>ERCOT has assessed its ability to absorb the ongoing efforts of this NPRR with current staff.  The above departments are able to absorb the effort and will not require additional staff.</w:t>
            </w:r>
          </w:p>
        </w:tc>
      </w:tr>
      <w:tr w:rsidR="00F13670"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F13670" w:rsidRDefault="00CB3C8E">
            <w:pPr>
              <w:pStyle w:val="Header"/>
            </w:pPr>
            <w:r>
              <w:t>ERCOT Computer System Impacts</w:t>
            </w:r>
          </w:p>
        </w:tc>
        <w:tc>
          <w:tcPr>
            <w:tcW w:w="7380" w:type="dxa"/>
            <w:gridSpan w:val="2"/>
            <w:tcBorders>
              <w:top w:val="single" w:sz="4" w:space="0" w:color="auto"/>
            </w:tcBorders>
            <w:vAlign w:val="center"/>
          </w:tcPr>
          <w:p w14:paraId="7E369D74" w14:textId="77777777" w:rsidR="004C3BCE" w:rsidRDefault="009207B4" w:rsidP="002D6CAB">
            <w:pPr>
              <w:pStyle w:val="NormalArial"/>
              <w:rPr>
                <w:rFonts w:cs="Arial"/>
              </w:rPr>
            </w:pPr>
            <w:r w:rsidRPr="009207B4">
              <w:rPr>
                <w:rFonts w:cs="Arial"/>
              </w:rPr>
              <w:t>The following ERCOT systems would be impacted:</w:t>
            </w:r>
          </w:p>
          <w:p w14:paraId="104364E7" w14:textId="77777777" w:rsidR="009207B4" w:rsidRDefault="009207B4" w:rsidP="002D6CAB">
            <w:pPr>
              <w:pStyle w:val="NormalArial"/>
              <w:rPr>
                <w:rFonts w:cs="Arial"/>
              </w:rPr>
            </w:pPr>
          </w:p>
          <w:p w14:paraId="4F702769" w14:textId="2569991F" w:rsidR="004B1BFC" w:rsidRDefault="004B5111" w:rsidP="004B5111">
            <w:pPr>
              <w:pStyle w:val="NormalArial"/>
              <w:numPr>
                <w:ilvl w:val="0"/>
                <w:numId w:val="7"/>
              </w:numPr>
            </w:pPr>
            <w:r w:rsidRPr="004B5111">
              <w:t>Credit Management Systems (CMM)</w:t>
            </w:r>
            <w:r>
              <w:t xml:space="preserve">   </w:t>
            </w:r>
            <w:r w:rsidR="00E75322">
              <w:t xml:space="preserve">  </w:t>
            </w:r>
            <w:r>
              <w:t xml:space="preserve"> </w:t>
            </w:r>
            <w:r w:rsidR="00E75322">
              <w:t xml:space="preserve"> </w:t>
            </w:r>
            <w:r w:rsidR="00397CF1">
              <w:t>74</w:t>
            </w:r>
            <w:r>
              <w:t>%</w:t>
            </w:r>
          </w:p>
          <w:p w14:paraId="30C4130A" w14:textId="5F240291" w:rsidR="004B5111" w:rsidRDefault="004B5111" w:rsidP="004B5111">
            <w:pPr>
              <w:pStyle w:val="NormalArial"/>
              <w:numPr>
                <w:ilvl w:val="0"/>
                <w:numId w:val="7"/>
              </w:numPr>
            </w:pPr>
            <w:r w:rsidRPr="004B5111">
              <w:t>Credit, Settlements &amp; Billing Systems</w:t>
            </w:r>
            <w:r>
              <w:t xml:space="preserve"> </w:t>
            </w:r>
            <w:r w:rsidR="00E75322">
              <w:t xml:space="preserve"> </w:t>
            </w:r>
            <w:r>
              <w:t xml:space="preserve"> </w:t>
            </w:r>
            <w:r w:rsidR="00E75322">
              <w:t xml:space="preserve"> </w:t>
            </w:r>
            <w:r>
              <w:t xml:space="preserve">  </w:t>
            </w:r>
            <w:r w:rsidR="009D37E7">
              <w:t>20</w:t>
            </w:r>
            <w:r>
              <w:t>%</w:t>
            </w:r>
          </w:p>
          <w:p w14:paraId="0F8B7386" w14:textId="03835962" w:rsidR="004B5111" w:rsidRDefault="004B5111" w:rsidP="004B5111">
            <w:pPr>
              <w:pStyle w:val="NormalArial"/>
              <w:numPr>
                <w:ilvl w:val="0"/>
                <w:numId w:val="7"/>
              </w:numPr>
            </w:pPr>
            <w:r w:rsidRPr="004B5111">
              <w:t>Data Management &amp; Analytic Systems</w:t>
            </w:r>
            <w:r w:rsidR="00E75322">
              <w:t xml:space="preserve">  </w:t>
            </w:r>
            <w:r>
              <w:t xml:space="preserve">    </w:t>
            </w:r>
            <w:r w:rsidR="009D37E7">
              <w:t>2</w:t>
            </w:r>
            <w:r>
              <w:t>%</w:t>
            </w:r>
          </w:p>
          <w:p w14:paraId="59B7ED11" w14:textId="71C1DDE3" w:rsidR="004B5111" w:rsidRDefault="004B5111" w:rsidP="004B5111">
            <w:pPr>
              <w:pStyle w:val="NormalArial"/>
              <w:numPr>
                <w:ilvl w:val="0"/>
                <w:numId w:val="7"/>
              </w:numPr>
            </w:pPr>
            <w:r w:rsidRPr="004B5111">
              <w:t>Integration Systems</w:t>
            </w:r>
            <w:r>
              <w:t xml:space="preserve">                           </w:t>
            </w:r>
            <w:r w:rsidR="00E75322">
              <w:t xml:space="preserve"> </w:t>
            </w:r>
            <w:r>
              <w:t xml:space="preserve">       </w:t>
            </w:r>
            <w:r w:rsidR="009D37E7">
              <w:t>1</w:t>
            </w:r>
            <w:r>
              <w:t xml:space="preserve">%  </w:t>
            </w:r>
          </w:p>
          <w:p w14:paraId="37D074E8" w14:textId="356A364A" w:rsidR="004B5111" w:rsidRDefault="004B5111" w:rsidP="004B5111">
            <w:pPr>
              <w:pStyle w:val="NormalArial"/>
              <w:numPr>
                <w:ilvl w:val="0"/>
                <w:numId w:val="7"/>
              </w:numPr>
            </w:pPr>
            <w:r w:rsidRPr="004B5111">
              <w:t>Financial Management Systems</w:t>
            </w:r>
            <w:r>
              <w:t xml:space="preserve">        </w:t>
            </w:r>
            <w:r w:rsidR="00E75322">
              <w:t xml:space="preserve"> </w:t>
            </w:r>
            <w:r>
              <w:t xml:space="preserve">       1%</w:t>
            </w:r>
          </w:p>
          <w:p w14:paraId="2E86E48B" w14:textId="46B19338" w:rsidR="004B5111" w:rsidRDefault="004B5111" w:rsidP="004B5111">
            <w:pPr>
              <w:pStyle w:val="NormalArial"/>
              <w:numPr>
                <w:ilvl w:val="0"/>
                <w:numId w:val="7"/>
              </w:numPr>
            </w:pPr>
            <w:r w:rsidRPr="004B5111">
              <w:t>ERCOT Website and MIS Systems</w:t>
            </w:r>
            <w:r>
              <w:t xml:space="preserve">    </w:t>
            </w:r>
            <w:r w:rsidR="00E75322">
              <w:t xml:space="preserve"> </w:t>
            </w:r>
            <w:r>
              <w:t xml:space="preserve">       1%</w:t>
            </w:r>
          </w:p>
          <w:p w14:paraId="5145E37A" w14:textId="622D3C88" w:rsidR="004B5111" w:rsidRDefault="004B5111" w:rsidP="004B5111">
            <w:pPr>
              <w:pStyle w:val="NormalArial"/>
              <w:numPr>
                <w:ilvl w:val="0"/>
                <w:numId w:val="7"/>
              </w:numPr>
            </w:pPr>
            <w:r w:rsidRPr="004B5111">
              <w:t>CRM &amp; Registration Systems</w:t>
            </w:r>
            <w:r>
              <w:t xml:space="preserve">                     1%</w:t>
            </w:r>
          </w:p>
          <w:p w14:paraId="3F868CC6" w14:textId="5172CD34" w:rsidR="004B5111" w:rsidRPr="004B5111" w:rsidRDefault="004B5111" w:rsidP="004B5111">
            <w:pPr>
              <w:pStyle w:val="NormalArial"/>
            </w:pPr>
          </w:p>
        </w:tc>
      </w:tr>
      <w:tr w:rsidR="00F13670"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5DC5B976" w14:textId="54D063F6" w:rsidR="004D252E" w:rsidRPr="009266AD" w:rsidRDefault="004B5111" w:rsidP="00D54DC7">
            <w:pPr>
              <w:pStyle w:val="NormalArial"/>
              <w:rPr>
                <w:sz w:val="22"/>
                <w:szCs w:val="22"/>
              </w:rPr>
            </w:pPr>
            <w:r w:rsidRPr="004B5111">
              <w:rPr>
                <w:rFonts w:cs="Arial"/>
              </w:rPr>
              <w:t>ERCOT will update its business processes to implement this NPRR.</w:t>
            </w:r>
          </w:p>
        </w:tc>
      </w:tr>
      <w:tr w:rsidR="00F13670"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6A14338E" w14:textId="77777777" w:rsidR="004E7041" w:rsidRPr="00D54DC7" w:rsidRDefault="001E4FDC" w:rsidP="00D54DC7">
            <w:pPr>
              <w:pStyle w:val="Header"/>
              <w:rPr>
                <w:b w:val="0"/>
                <w:sz w:val="22"/>
                <w:szCs w:val="22"/>
              </w:rPr>
            </w:pPr>
            <w:r w:rsidRPr="00D54DC7">
              <w:rPr>
                <w:b w:val="0"/>
              </w:rPr>
              <w:t>No impact</w:t>
            </w:r>
            <w:r w:rsidR="00B43584" w:rsidRPr="00D54DC7">
              <w:rPr>
                <w:b w:val="0"/>
              </w:rPr>
              <w:t>s to ERCOT g</w:t>
            </w:r>
            <w:r w:rsidRPr="00D54DC7">
              <w:rPr>
                <w:b w:val="0"/>
              </w:rPr>
              <w:t>rid operations and practices.</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14407339" w:rsidR="00C97625" w:rsidRPr="00F555E9" w:rsidRDefault="00E702AF">
            <w:pPr>
              <w:pStyle w:val="NormalArial"/>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trPr>
          <w:trHeight w:val="512"/>
        </w:trPr>
        <w:tc>
          <w:tcPr>
            <w:tcW w:w="10440" w:type="dxa"/>
            <w:tcBorders>
              <w:bottom w:val="single" w:sz="4" w:space="0" w:color="auto"/>
            </w:tcBorders>
            <w:shd w:val="clear" w:color="auto" w:fill="FFFFFF"/>
            <w:vAlign w:val="center"/>
          </w:tcPr>
          <w:p w14:paraId="49CB9AE8" w14:textId="77777777" w:rsidR="000A2646" w:rsidRPr="00A36BDB" w:rsidRDefault="00A36BDB" w:rsidP="0088379F">
            <w:pPr>
              <w:pStyle w:val="NormalArial"/>
            </w:pPr>
            <w:r w:rsidRPr="00A36BDB">
              <w:t>None.</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FF7725" w14:textId="77777777" w:rsidR="00374AC4" w:rsidRDefault="00374AC4">
      <w:r>
        <w:separator/>
      </w:r>
    </w:p>
  </w:endnote>
  <w:endnote w:type="continuationSeparator" w:id="0">
    <w:p w14:paraId="26B51603" w14:textId="77777777" w:rsidR="00374AC4" w:rsidRDefault="00374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BA99" w14:textId="38AC1789" w:rsidR="006B0C5E" w:rsidRDefault="00892AB0"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E75322">
      <w:rPr>
        <w:rFonts w:ascii="Arial" w:hAnsi="Arial"/>
        <w:noProof/>
        <w:sz w:val="18"/>
      </w:rPr>
      <w:t>1103NPRR-02 Impact Analysis 110121</w:t>
    </w:r>
    <w:r>
      <w:rPr>
        <w:rFonts w:ascii="Arial" w:hAnsi="Arial"/>
        <w:sz w:val="18"/>
      </w:rPr>
      <w:fldChar w:fldCharType="end"/>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94D4C" w14:textId="77777777" w:rsidR="00374AC4" w:rsidRDefault="00374AC4">
      <w:r>
        <w:separator/>
      </w:r>
    </w:p>
  </w:footnote>
  <w:footnote w:type="continuationSeparator" w:id="0">
    <w:p w14:paraId="6108DAFC" w14:textId="77777777" w:rsidR="00374AC4" w:rsidRDefault="00374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960A"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495688D"/>
    <w:multiLevelType w:val="hybridMultilevel"/>
    <w:tmpl w:val="6F602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A6728"/>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3904"/>
    <w:rsid w:val="00324744"/>
    <w:rsid w:val="00343A04"/>
    <w:rsid w:val="003442FA"/>
    <w:rsid w:val="003532C4"/>
    <w:rsid w:val="00361A4D"/>
    <w:rsid w:val="0037167C"/>
    <w:rsid w:val="00374AC4"/>
    <w:rsid w:val="003806C4"/>
    <w:rsid w:val="003821C4"/>
    <w:rsid w:val="00390F23"/>
    <w:rsid w:val="003971D4"/>
    <w:rsid w:val="00397CF1"/>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51032"/>
    <w:rsid w:val="0045119E"/>
    <w:rsid w:val="00460D3A"/>
    <w:rsid w:val="00471A6A"/>
    <w:rsid w:val="00472F10"/>
    <w:rsid w:val="00475C84"/>
    <w:rsid w:val="0047741B"/>
    <w:rsid w:val="00482234"/>
    <w:rsid w:val="00483998"/>
    <w:rsid w:val="004938B8"/>
    <w:rsid w:val="004B1BFC"/>
    <w:rsid w:val="004B2AA2"/>
    <w:rsid w:val="004B5111"/>
    <w:rsid w:val="004C389D"/>
    <w:rsid w:val="004C3BCE"/>
    <w:rsid w:val="004C47CB"/>
    <w:rsid w:val="004D252E"/>
    <w:rsid w:val="004D4C7A"/>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67BA1"/>
    <w:rsid w:val="00577B36"/>
    <w:rsid w:val="005821F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D2911"/>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A427B"/>
    <w:rsid w:val="007B1349"/>
    <w:rsid w:val="007B2C06"/>
    <w:rsid w:val="007D3E51"/>
    <w:rsid w:val="007E5F62"/>
    <w:rsid w:val="007E77E9"/>
    <w:rsid w:val="007F094A"/>
    <w:rsid w:val="007F3E6D"/>
    <w:rsid w:val="007F68BE"/>
    <w:rsid w:val="008013FA"/>
    <w:rsid w:val="0080426E"/>
    <w:rsid w:val="008120F0"/>
    <w:rsid w:val="00817247"/>
    <w:rsid w:val="00820B63"/>
    <w:rsid w:val="00824182"/>
    <w:rsid w:val="00831001"/>
    <w:rsid w:val="0083171D"/>
    <w:rsid w:val="0083263B"/>
    <w:rsid w:val="0083309D"/>
    <w:rsid w:val="008339AA"/>
    <w:rsid w:val="00843C34"/>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0C05"/>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1F23"/>
    <w:rsid w:val="009A3203"/>
    <w:rsid w:val="009B0326"/>
    <w:rsid w:val="009B2CF9"/>
    <w:rsid w:val="009D0F80"/>
    <w:rsid w:val="009D37E7"/>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27A4"/>
    <w:rsid w:val="00A53344"/>
    <w:rsid w:val="00A6446D"/>
    <w:rsid w:val="00A72F4C"/>
    <w:rsid w:val="00A74BB6"/>
    <w:rsid w:val="00A76EE3"/>
    <w:rsid w:val="00A813DF"/>
    <w:rsid w:val="00A84D2E"/>
    <w:rsid w:val="00A9321D"/>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3B"/>
    <w:rsid w:val="00C00C38"/>
    <w:rsid w:val="00C03D22"/>
    <w:rsid w:val="00C11A57"/>
    <w:rsid w:val="00C2321E"/>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5CCE"/>
    <w:rsid w:val="00D96398"/>
    <w:rsid w:val="00D97AF9"/>
    <w:rsid w:val="00DA0842"/>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5322"/>
    <w:rsid w:val="00E776F8"/>
    <w:rsid w:val="00E81C6F"/>
    <w:rsid w:val="00E83B6A"/>
    <w:rsid w:val="00E851D6"/>
    <w:rsid w:val="00E8702F"/>
    <w:rsid w:val="00E87AE5"/>
    <w:rsid w:val="00E90434"/>
    <w:rsid w:val="00EA367F"/>
    <w:rsid w:val="00EA7C34"/>
    <w:rsid w:val="00EB322E"/>
    <w:rsid w:val="00EB5291"/>
    <w:rsid w:val="00EC0CEF"/>
    <w:rsid w:val="00ED0FCB"/>
    <w:rsid w:val="00EE2D23"/>
    <w:rsid w:val="00EE65E9"/>
    <w:rsid w:val="00F01F3F"/>
    <w:rsid w:val="00F02EB9"/>
    <w:rsid w:val="00F05C3D"/>
    <w:rsid w:val="00F06004"/>
    <w:rsid w:val="00F067E1"/>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rcot.com/mktrules/issues/NPRR110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20FB0E-4C55-4105-B818-381374742E8E}">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38BC6030-FFC4-456C-8F5A-2D2CC133E3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243</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1846</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3</cp:revision>
  <cp:lastPrinted>2007-01-12T13:31:00Z</cp:lastPrinted>
  <dcterms:created xsi:type="dcterms:W3CDTF">2021-10-29T16:08:00Z</dcterms:created>
  <dcterms:modified xsi:type="dcterms:W3CDTF">2021-11-01T21:54:00Z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