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833"/>
        <w:gridCol w:w="1350"/>
        <w:gridCol w:w="6750"/>
      </w:tblGrid>
      <w:tr w:rsidR="00067FE2" w14:paraId="3FE86966" w14:textId="77777777" w:rsidTr="00CF42C7">
        <w:tc>
          <w:tcPr>
            <w:tcW w:w="1507" w:type="dxa"/>
            <w:tcBorders>
              <w:bottom w:val="single" w:sz="4" w:space="0" w:color="auto"/>
            </w:tcBorders>
            <w:shd w:val="clear" w:color="auto" w:fill="FFFFFF"/>
            <w:vAlign w:val="center"/>
          </w:tcPr>
          <w:p w14:paraId="5EF9019A" w14:textId="77777777" w:rsidR="00067FE2" w:rsidRDefault="00B815FD" w:rsidP="00573610">
            <w:pPr>
              <w:pStyle w:val="Header"/>
            </w:pPr>
            <w:r>
              <w:t>Key Topic</w:t>
            </w:r>
            <w:r w:rsidR="00573610">
              <w:t xml:space="preserve"> </w:t>
            </w:r>
            <w:r>
              <w:t xml:space="preserve">Concept (KTC) </w:t>
            </w:r>
            <w:r w:rsidR="00067FE2">
              <w:t>Number</w:t>
            </w:r>
          </w:p>
        </w:tc>
        <w:tc>
          <w:tcPr>
            <w:tcW w:w="833" w:type="dxa"/>
            <w:tcBorders>
              <w:bottom w:val="single" w:sz="4" w:space="0" w:color="auto"/>
            </w:tcBorders>
            <w:vAlign w:val="center"/>
          </w:tcPr>
          <w:p w14:paraId="11BF6264" w14:textId="3033989D" w:rsidR="00067FE2" w:rsidRPr="00073E79" w:rsidRDefault="00CF42C7" w:rsidP="00D90D1A">
            <w:pPr>
              <w:pStyle w:val="Header"/>
              <w:jc w:val="center"/>
            </w:pPr>
            <w:r>
              <w:t>15.</w:t>
            </w:r>
            <w:r w:rsidR="00F3123C">
              <w:t>3</w:t>
            </w:r>
          </w:p>
        </w:tc>
        <w:tc>
          <w:tcPr>
            <w:tcW w:w="1350" w:type="dxa"/>
            <w:tcBorders>
              <w:bottom w:val="single" w:sz="4" w:space="0" w:color="auto"/>
            </w:tcBorders>
            <w:shd w:val="clear" w:color="auto" w:fill="FFFFFF"/>
            <w:vAlign w:val="center"/>
          </w:tcPr>
          <w:p w14:paraId="762E49F3"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8D7F53F" w14:textId="5BB11C33" w:rsidR="00067FE2" w:rsidRPr="00073E79" w:rsidRDefault="009604A8" w:rsidP="0009111B">
            <w:pPr>
              <w:pStyle w:val="Header"/>
            </w:pPr>
            <w:r>
              <w:t>15.</w:t>
            </w:r>
            <w:r w:rsidR="00F3123C">
              <w:t>3</w:t>
            </w:r>
            <w:r>
              <w:t xml:space="preserve"> </w:t>
            </w:r>
            <w:r w:rsidR="00F3123C">
              <w:t>Switchable Energy S</w:t>
            </w:r>
            <w:r w:rsidR="004C0CB3">
              <w:t xml:space="preserve">torage </w:t>
            </w:r>
            <w:r w:rsidR="00F3123C">
              <w:t>R</w:t>
            </w:r>
            <w:r w:rsidR="004C0CB3">
              <w:t>esources</w:t>
            </w:r>
            <w:r w:rsidR="00982AE9">
              <w:t xml:space="preserve"> (</w:t>
            </w:r>
            <w:r w:rsidR="00037288">
              <w:t>SW</w:t>
            </w:r>
            <w:r w:rsidR="00982AE9">
              <w:t>ESRs)</w:t>
            </w:r>
          </w:p>
        </w:tc>
      </w:tr>
      <w:tr w:rsidR="00067FE2" w:rsidRPr="00E01925" w14:paraId="4D3A1687" w14:textId="77777777" w:rsidTr="006F0498">
        <w:trPr>
          <w:trHeight w:val="518"/>
        </w:trPr>
        <w:tc>
          <w:tcPr>
            <w:tcW w:w="2340" w:type="dxa"/>
            <w:gridSpan w:val="2"/>
            <w:shd w:val="clear" w:color="auto" w:fill="FFFFFF"/>
            <w:vAlign w:val="center"/>
          </w:tcPr>
          <w:p w14:paraId="52203D07"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9D2209E" w14:textId="768A3629" w:rsidR="00067FE2" w:rsidRPr="00073E79" w:rsidRDefault="004C0CB3" w:rsidP="000730E5">
            <w:pPr>
              <w:pStyle w:val="NormalArial"/>
            </w:pPr>
            <w:r>
              <w:t>October</w:t>
            </w:r>
            <w:r w:rsidR="004E5BD7">
              <w:t xml:space="preserve"> </w:t>
            </w:r>
            <w:r>
              <w:t>2</w:t>
            </w:r>
            <w:r w:rsidR="00223B17">
              <w:t>2</w:t>
            </w:r>
            <w:r w:rsidR="004E5BD7">
              <w:t>, 202</w:t>
            </w:r>
            <w:r>
              <w:t xml:space="preserve">1 -- Draft </w:t>
            </w:r>
            <w:r w:rsidR="000A1E1B">
              <w:t>v</w:t>
            </w:r>
            <w:r>
              <w:t>ersion for</w:t>
            </w:r>
            <w:r w:rsidR="00BC597C">
              <w:t xml:space="preserve"> discussion at the</w:t>
            </w:r>
            <w:r w:rsidR="00E96D5F">
              <w:t xml:space="preserve"> </w:t>
            </w:r>
            <w:r w:rsidR="00BC597C">
              <w:t xml:space="preserve">10-25-21 </w:t>
            </w:r>
            <w:r>
              <w:t>WMWG</w:t>
            </w:r>
            <w:r w:rsidR="00BC597C">
              <w:t xml:space="preserve"> meeting</w:t>
            </w:r>
            <w:r>
              <w:t xml:space="preserve"> </w:t>
            </w:r>
          </w:p>
        </w:tc>
      </w:tr>
      <w:tr w:rsidR="00067FE2" w14:paraId="1AC4CA94" w14:textId="77777777" w:rsidTr="006F0498">
        <w:trPr>
          <w:trHeight w:val="323"/>
        </w:trPr>
        <w:tc>
          <w:tcPr>
            <w:tcW w:w="2340" w:type="dxa"/>
            <w:gridSpan w:val="2"/>
            <w:tcBorders>
              <w:top w:val="single" w:sz="4" w:space="0" w:color="auto"/>
              <w:left w:val="nil"/>
              <w:bottom w:val="nil"/>
              <w:right w:val="nil"/>
            </w:tcBorders>
            <w:shd w:val="clear" w:color="auto" w:fill="FFFFFF"/>
            <w:vAlign w:val="center"/>
          </w:tcPr>
          <w:p w14:paraId="487F1DAC" w14:textId="77777777" w:rsidR="00067FE2" w:rsidRDefault="00067FE2" w:rsidP="00F44236">
            <w:pPr>
              <w:pStyle w:val="NormalArial"/>
            </w:pPr>
          </w:p>
        </w:tc>
        <w:tc>
          <w:tcPr>
            <w:tcW w:w="8100" w:type="dxa"/>
            <w:gridSpan w:val="2"/>
            <w:tcBorders>
              <w:top w:val="nil"/>
              <w:left w:val="nil"/>
              <w:bottom w:val="nil"/>
              <w:right w:val="nil"/>
            </w:tcBorders>
            <w:vAlign w:val="center"/>
          </w:tcPr>
          <w:p w14:paraId="4FA22726" w14:textId="77777777" w:rsidR="00067FE2" w:rsidRDefault="00067FE2" w:rsidP="00F44236">
            <w:pPr>
              <w:pStyle w:val="NormalArial"/>
            </w:pPr>
          </w:p>
        </w:tc>
      </w:tr>
      <w:tr w:rsidR="009D17F0" w14:paraId="3E000AC2" w14:textId="77777777" w:rsidTr="006F0498">
        <w:trPr>
          <w:trHeight w:val="773"/>
        </w:trPr>
        <w:tc>
          <w:tcPr>
            <w:tcW w:w="2340" w:type="dxa"/>
            <w:gridSpan w:val="2"/>
            <w:tcBorders>
              <w:top w:val="single" w:sz="4" w:space="0" w:color="auto"/>
              <w:bottom w:val="single" w:sz="4" w:space="0" w:color="auto"/>
            </w:tcBorders>
            <w:shd w:val="clear" w:color="auto" w:fill="FFFFFF"/>
            <w:vAlign w:val="center"/>
          </w:tcPr>
          <w:p w14:paraId="0A9C473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F59E2B1" w14:textId="6DDDD759" w:rsidR="006E5141" w:rsidRDefault="004C0CB3" w:rsidP="00755849">
            <w:pPr>
              <w:pStyle w:val="NormalArial"/>
              <w:spacing w:before="120" w:after="120"/>
              <w:rPr>
                <w:color w:val="000000"/>
              </w:rPr>
            </w:pPr>
            <w:r>
              <w:rPr>
                <w:color w:val="000000"/>
              </w:rPr>
              <w:t>KTC 15.3 Switchable E</w:t>
            </w:r>
            <w:r w:rsidR="00037288">
              <w:rPr>
                <w:color w:val="000000"/>
              </w:rPr>
              <w:t xml:space="preserve">nergy </w:t>
            </w:r>
            <w:r>
              <w:rPr>
                <w:color w:val="000000"/>
              </w:rPr>
              <w:t>S</w:t>
            </w:r>
            <w:r w:rsidR="00037288">
              <w:rPr>
                <w:color w:val="000000"/>
              </w:rPr>
              <w:t xml:space="preserve">torage </w:t>
            </w:r>
            <w:r>
              <w:rPr>
                <w:color w:val="000000"/>
              </w:rPr>
              <w:t>R</w:t>
            </w:r>
            <w:r w:rsidR="00037288">
              <w:rPr>
                <w:color w:val="000000"/>
              </w:rPr>
              <w:t xml:space="preserve">esources </w:t>
            </w:r>
            <w:r w:rsidR="00E96D5F">
              <w:rPr>
                <w:color w:val="000000"/>
              </w:rPr>
              <w:t>(</w:t>
            </w:r>
            <w:r w:rsidR="00037288">
              <w:rPr>
                <w:color w:val="000000"/>
              </w:rPr>
              <w:t>SWESR</w:t>
            </w:r>
            <w:r>
              <w:rPr>
                <w:color w:val="000000"/>
              </w:rPr>
              <w:t>s</w:t>
            </w:r>
            <w:r w:rsidR="00037288">
              <w:rPr>
                <w:color w:val="000000"/>
              </w:rPr>
              <w:t>)</w:t>
            </w:r>
            <w:r>
              <w:rPr>
                <w:color w:val="000000"/>
              </w:rPr>
              <w:t xml:space="preserve"> was assigned to ROS and WMS in April 2021.  Th</w:t>
            </w:r>
            <w:r w:rsidR="00BC597C">
              <w:rPr>
                <w:color w:val="000000"/>
              </w:rPr>
              <w:t>is</w:t>
            </w:r>
            <w:r>
              <w:rPr>
                <w:color w:val="000000"/>
              </w:rPr>
              <w:t xml:space="preserve"> KTC Recommendation reflects the</w:t>
            </w:r>
            <w:r w:rsidR="00BC597C">
              <w:rPr>
                <w:color w:val="000000"/>
              </w:rPr>
              <w:t xml:space="preserve"> discussion and conclusions </w:t>
            </w:r>
            <w:r w:rsidR="005E4778">
              <w:rPr>
                <w:color w:val="000000"/>
              </w:rPr>
              <w:t>from</w:t>
            </w:r>
            <w:r w:rsidR="00BC597C">
              <w:rPr>
                <w:color w:val="000000"/>
              </w:rPr>
              <w:t xml:space="preserve"> those </w:t>
            </w:r>
            <w:r w:rsidR="009A5393">
              <w:rPr>
                <w:color w:val="000000"/>
              </w:rPr>
              <w:t>subcommittees</w:t>
            </w:r>
            <w:r w:rsidR="00BC597C">
              <w:rPr>
                <w:color w:val="000000"/>
              </w:rPr>
              <w:t xml:space="preserve"> and </w:t>
            </w:r>
            <w:r w:rsidR="00E854CC">
              <w:rPr>
                <w:color w:val="000000"/>
              </w:rPr>
              <w:t>underlying</w:t>
            </w:r>
            <w:r w:rsidR="00BC597C">
              <w:rPr>
                <w:color w:val="000000"/>
              </w:rPr>
              <w:t xml:space="preserve"> Working Groups </w:t>
            </w:r>
            <w:r>
              <w:rPr>
                <w:color w:val="000000"/>
              </w:rPr>
              <w:t xml:space="preserve">on </w:t>
            </w:r>
            <w:r w:rsidR="00E854CC">
              <w:rPr>
                <w:color w:val="000000"/>
              </w:rPr>
              <w:t xml:space="preserve">various </w:t>
            </w:r>
            <w:r w:rsidR="009A5393">
              <w:rPr>
                <w:color w:val="000000"/>
              </w:rPr>
              <w:t>subtopics</w:t>
            </w:r>
            <w:r>
              <w:rPr>
                <w:color w:val="000000"/>
              </w:rPr>
              <w:t xml:space="preserve"> and questions related to </w:t>
            </w:r>
            <w:r w:rsidR="00E96D5F">
              <w:rPr>
                <w:color w:val="000000"/>
              </w:rPr>
              <w:t>SW</w:t>
            </w:r>
            <w:r>
              <w:rPr>
                <w:color w:val="000000"/>
              </w:rPr>
              <w:t xml:space="preserve">ESRs.  Before a </w:t>
            </w:r>
            <w:r w:rsidR="00E96D5F">
              <w:rPr>
                <w:color w:val="000000"/>
              </w:rPr>
              <w:t>SW</w:t>
            </w:r>
            <w:r>
              <w:rPr>
                <w:color w:val="000000"/>
              </w:rPr>
              <w:t>ESR could be connected</w:t>
            </w:r>
            <w:r w:rsidR="005E4778">
              <w:rPr>
                <w:color w:val="000000"/>
              </w:rPr>
              <w:t>,</w:t>
            </w:r>
            <w:r>
              <w:rPr>
                <w:color w:val="000000"/>
              </w:rPr>
              <w:t xml:space="preserve"> there are several key legal/policy questions that need to be addressed </w:t>
            </w:r>
            <w:r w:rsidR="00BC597C">
              <w:rPr>
                <w:color w:val="000000"/>
              </w:rPr>
              <w:t>by the PUCT and FERC.  Assuming a positive resolution and clarification of those issues,</w:t>
            </w:r>
            <w:r>
              <w:rPr>
                <w:color w:val="000000"/>
              </w:rPr>
              <w:t xml:space="preserve"> </w:t>
            </w:r>
            <w:r w:rsidR="00982AE9">
              <w:rPr>
                <w:color w:val="000000"/>
              </w:rPr>
              <w:t>p</w:t>
            </w:r>
            <w:r>
              <w:rPr>
                <w:color w:val="000000"/>
              </w:rPr>
              <w:t xml:space="preserve">rotocol language and system changes </w:t>
            </w:r>
            <w:r w:rsidR="00BC597C">
              <w:rPr>
                <w:color w:val="000000"/>
              </w:rPr>
              <w:t>would</w:t>
            </w:r>
            <w:r w:rsidR="00982AE9">
              <w:rPr>
                <w:color w:val="000000"/>
              </w:rPr>
              <w:t xml:space="preserve"> </w:t>
            </w:r>
            <w:r w:rsidR="00BC597C">
              <w:rPr>
                <w:color w:val="000000"/>
              </w:rPr>
              <w:t>be necessary.  T</w:t>
            </w:r>
            <w:r w:rsidR="00982AE9">
              <w:rPr>
                <w:color w:val="000000"/>
              </w:rPr>
              <w:t>oday, t</w:t>
            </w:r>
            <w:r w:rsidR="00BC597C">
              <w:rPr>
                <w:color w:val="000000"/>
              </w:rPr>
              <w:t xml:space="preserve">here are several Market Participants actively exploring the concept of interconnecting a </w:t>
            </w:r>
            <w:r w:rsidR="00202ABB">
              <w:rPr>
                <w:color w:val="000000"/>
              </w:rPr>
              <w:t>SW</w:t>
            </w:r>
            <w:r w:rsidR="00BC597C">
              <w:rPr>
                <w:color w:val="000000"/>
              </w:rPr>
              <w:t>ESR.</w:t>
            </w:r>
          </w:p>
          <w:p w14:paraId="13964D18" w14:textId="4EF536D0" w:rsidR="0064770B" w:rsidRDefault="00BC597C" w:rsidP="00755849">
            <w:pPr>
              <w:pStyle w:val="NormalArial"/>
              <w:spacing w:before="120" w:after="120"/>
              <w:rPr>
                <w:color w:val="000000"/>
              </w:rPr>
            </w:pPr>
            <w:r>
              <w:rPr>
                <w:color w:val="000000"/>
              </w:rPr>
              <w:t xml:space="preserve">Currently there </w:t>
            </w:r>
            <w:r w:rsidR="005E4778">
              <w:rPr>
                <w:color w:val="000000"/>
              </w:rPr>
              <w:t xml:space="preserve">is existing protocol language and Coordination Plans between ERCOT and SPP and ERCOT and MISO </w:t>
            </w:r>
            <w:r w:rsidR="00982AE9">
              <w:rPr>
                <w:color w:val="000000"/>
              </w:rPr>
              <w:t>that</w:t>
            </w:r>
            <w:r w:rsidR="005E4778">
              <w:rPr>
                <w:color w:val="000000"/>
              </w:rPr>
              <w:t xml:space="preserve"> address the existing</w:t>
            </w:r>
            <w:r>
              <w:rPr>
                <w:color w:val="000000"/>
              </w:rPr>
              <w:t xml:space="preserve"> 5 sites with Switchable </w:t>
            </w:r>
            <w:r w:rsidRPr="005E4778">
              <w:rPr>
                <w:color w:val="000000"/>
                <w:u w:val="single"/>
              </w:rPr>
              <w:t>Generation</w:t>
            </w:r>
            <w:r>
              <w:rPr>
                <w:color w:val="000000"/>
              </w:rPr>
              <w:t xml:space="preserve"> Resources (SWGRs)</w:t>
            </w:r>
            <w:r w:rsidR="005E4778">
              <w:rPr>
                <w:color w:val="000000"/>
              </w:rPr>
              <w:t>.  The basic approach</w:t>
            </w:r>
            <w:r w:rsidR="00982AE9">
              <w:rPr>
                <w:color w:val="000000"/>
              </w:rPr>
              <w:t xml:space="preserve"> outlined below</w:t>
            </w:r>
            <w:r w:rsidR="005E4778">
              <w:rPr>
                <w:color w:val="000000"/>
              </w:rPr>
              <w:t xml:space="preserve"> is to leverage the existing framework and broaden the capability to Switchable Resources (therefore including </w:t>
            </w:r>
            <w:r w:rsidR="00037288">
              <w:rPr>
                <w:color w:val="000000"/>
              </w:rPr>
              <w:t xml:space="preserve">switchable </w:t>
            </w:r>
            <w:r w:rsidR="005E4778">
              <w:rPr>
                <w:color w:val="000000"/>
              </w:rPr>
              <w:t>ESRs).  There will need to be modifications to protocols and Coordination Plans to address issues unique to</w:t>
            </w:r>
            <w:r w:rsidR="00E854CC">
              <w:rPr>
                <w:color w:val="000000"/>
              </w:rPr>
              <w:t xml:space="preserve"> </w:t>
            </w:r>
            <w:r w:rsidR="00202ABB">
              <w:rPr>
                <w:color w:val="000000"/>
              </w:rPr>
              <w:t>SWESR</w:t>
            </w:r>
            <w:r w:rsidR="005E4778">
              <w:rPr>
                <w:color w:val="000000"/>
              </w:rPr>
              <w:t>s.</w:t>
            </w:r>
          </w:p>
          <w:p w14:paraId="3067812B" w14:textId="528E4B7D" w:rsidR="00D90D1A" w:rsidRDefault="0064770B" w:rsidP="00755849">
            <w:pPr>
              <w:pStyle w:val="NormalArial"/>
              <w:spacing w:before="120" w:after="120"/>
              <w:rPr>
                <w:color w:val="000000"/>
              </w:rPr>
            </w:pPr>
            <w:r>
              <w:rPr>
                <w:color w:val="000000"/>
              </w:rPr>
              <w:t xml:space="preserve">In general, there are not any major reliability or operational concerns.  </w:t>
            </w:r>
            <w:r w:rsidR="00310954">
              <w:rPr>
                <w:color w:val="000000"/>
              </w:rPr>
              <w:t>Operator s</w:t>
            </w:r>
            <w:r>
              <w:rPr>
                <w:color w:val="000000"/>
              </w:rPr>
              <w:t xml:space="preserve">taffing levels at ERCOT will need to be monitored if there is a </w:t>
            </w:r>
            <w:r w:rsidR="00105C3D">
              <w:rPr>
                <w:color w:val="000000"/>
              </w:rPr>
              <w:t xml:space="preserve">material </w:t>
            </w:r>
            <w:r>
              <w:rPr>
                <w:color w:val="000000"/>
              </w:rPr>
              <w:t>increase in switchable Resources.</w:t>
            </w:r>
          </w:p>
          <w:p w14:paraId="2864CC58" w14:textId="3FFDAB78" w:rsidR="002F3F01" w:rsidRPr="00520C4C" w:rsidRDefault="002F3F01" w:rsidP="00755849">
            <w:pPr>
              <w:pStyle w:val="NormalArial"/>
              <w:spacing w:before="120" w:after="120"/>
              <w:rPr>
                <w:color w:val="000000"/>
              </w:rPr>
            </w:pPr>
            <w:r>
              <w:rPr>
                <w:color w:val="000000"/>
              </w:rPr>
              <w:t xml:space="preserve">Settlement for SWESRs </w:t>
            </w:r>
            <w:r w:rsidR="00310954">
              <w:rPr>
                <w:color w:val="000000"/>
              </w:rPr>
              <w:t xml:space="preserve">is expected to </w:t>
            </w:r>
            <w:r>
              <w:rPr>
                <w:color w:val="000000"/>
              </w:rPr>
              <w:t>be very similar to settlement for the existing SWGRs.</w:t>
            </w:r>
          </w:p>
        </w:tc>
      </w:tr>
      <w:tr w:rsidR="00032100" w14:paraId="60B79771" w14:textId="77777777" w:rsidTr="006F0498">
        <w:trPr>
          <w:trHeight w:val="773"/>
        </w:trPr>
        <w:tc>
          <w:tcPr>
            <w:tcW w:w="2340" w:type="dxa"/>
            <w:gridSpan w:val="2"/>
            <w:tcBorders>
              <w:top w:val="single" w:sz="4" w:space="0" w:color="auto"/>
              <w:bottom w:val="single" w:sz="4" w:space="0" w:color="auto"/>
            </w:tcBorders>
            <w:shd w:val="clear" w:color="auto" w:fill="FFFFFF"/>
            <w:vAlign w:val="center"/>
          </w:tcPr>
          <w:p w14:paraId="22A9968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737DCD60" w14:textId="77777777" w:rsidR="004C0CB3" w:rsidRDefault="004C0CB3" w:rsidP="00A13170">
            <w:pPr>
              <w:pStyle w:val="NormalArial"/>
              <w:spacing w:before="120" w:after="120"/>
              <w:rPr>
                <w:color w:val="000000"/>
              </w:rPr>
            </w:pPr>
            <w:r>
              <w:rPr>
                <w:color w:val="000000"/>
              </w:rPr>
              <w:t>The following is a summary of the recommendations:</w:t>
            </w:r>
          </w:p>
          <w:p w14:paraId="02D9E55B" w14:textId="37C11ABB" w:rsidR="005D242D" w:rsidRDefault="005D242D" w:rsidP="004C0CB3">
            <w:pPr>
              <w:pStyle w:val="NormalArial"/>
              <w:spacing w:before="120" w:after="120"/>
              <w:rPr>
                <w:color w:val="000000"/>
              </w:rPr>
            </w:pPr>
            <w:r w:rsidRPr="005D242D">
              <w:rPr>
                <w:b/>
                <w:bCs/>
                <w:color w:val="000000"/>
                <w:u w:val="single"/>
              </w:rPr>
              <w:t>Reliability and Operations:</w:t>
            </w:r>
            <w:r>
              <w:rPr>
                <w:color w:val="000000"/>
              </w:rPr>
              <w:t xml:space="preserve">  </w:t>
            </w:r>
            <w:r w:rsidR="00B72787">
              <w:rPr>
                <w:color w:val="000000"/>
              </w:rPr>
              <w:t xml:space="preserve">Operating instructions and procedures for all </w:t>
            </w:r>
            <w:r w:rsidR="00EB4C22">
              <w:rPr>
                <w:color w:val="000000"/>
              </w:rPr>
              <w:t>Switchable Resources (</w:t>
            </w:r>
            <w:r>
              <w:rPr>
                <w:color w:val="000000"/>
              </w:rPr>
              <w:t>SWR</w:t>
            </w:r>
            <w:r w:rsidR="00B72787">
              <w:rPr>
                <w:color w:val="000000"/>
              </w:rPr>
              <w:t>s</w:t>
            </w:r>
            <w:r w:rsidR="00EB4C22">
              <w:rPr>
                <w:color w:val="000000"/>
              </w:rPr>
              <w:t>)</w:t>
            </w:r>
            <w:r>
              <w:rPr>
                <w:color w:val="000000"/>
              </w:rPr>
              <w:t xml:space="preserve"> </w:t>
            </w:r>
            <w:r w:rsidR="00B72787">
              <w:rPr>
                <w:color w:val="000000"/>
              </w:rPr>
              <w:t>should be how they are done today for the SWGRs</w:t>
            </w:r>
            <w:r w:rsidR="00E96D5F">
              <w:rPr>
                <w:color w:val="000000"/>
              </w:rPr>
              <w:t xml:space="preserve"> and </w:t>
            </w:r>
            <w:r w:rsidR="00A223D8">
              <w:rPr>
                <w:color w:val="000000"/>
              </w:rPr>
              <w:t>technology type should not matter</w:t>
            </w:r>
            <w:r w:rsidR="00B72787">
              <w:rPr>
                <w:color w:val="000000"/>
              </w:rPr>
              <w:t>.</w:t>
            </w:r>
            <w:r>
              <w:rPr>
                <w:color w:val="000000"/>
              </w:rPr>
              <w:t xml:space="preserve">  Revise </w:t>
            </w:r>
            <w:r w:rsidR="00310954">
              <w:rPr>
                <w:color w:val="000000"/>
              </w:rPr>
              <w:t>P</w:t>
            </w:r>
            <w:r>
              <w:rPr>
                <w:color w:val="000000"/>
              </w:rPr>
              <w:t xml:space="preserve">rotocols, procedures and coordination agreements as necessary to account for </w:t>
            </w:r>
            <w:r w:rsidR="00A223D8">
              <w:rPr>
                <w:color w:val="000000"/>
              </w:rPr>
              <w:t xml:space="preserve">the </w:t>
            </w:r>
            <w:r>
              <w:rPr>
                <w:color w:val="000000"/>
              </w:rPr>
              <w:t xml:space="preserve">limited duration issues.  Adjust ERCOT staffing if required due </w:t>
            </w:r>
            <w:r w:rsidR="00310954">
              <w:rPr>
                <w:color w:val="000000"/>
              </w:rPr>
              <w:t xml:space="preserve">to </w:t>
            </w:r>
            <w:r>
              <w:rPr>
                <w:color w:val="000000"/>
              </w:rPr>
              <w:t xml:space="preserve">a </w:t>
            </w:r>
            <w:r w:rsidR="00310954">
              <w:rPr>
                <w:color w:val="000000"/>
              </w:rPr>
              <w:t xml:space="preserve">material </w:t>
            </w:r>
            <w:r>
              <w:rPr>
                <w:color w:val="000000"/>
              </w:rPr>
              <w:t xml:space="preserve">increase in SWRs and/or limit the number of new SWRs. </w:t>
            </w:r>
          </w:p>
          <w:p w14:paraId="42B1A4AF" w14:textId="354055B5" w:rsidR="005D242D" w:rsidRDefault="005D242D" w:rsidP="004C0CB3">
            <w:pPr>
              <w:pStyle w:val="NormalArial"/>
              <w:spacing w:before="120" w:after="120"/>
              <w:rPr>
                <w:color w:val="000000"/>
              </w:rPr>
            </w:pPr>
          </w:p>
          <w:p w14:paraId="529994F6" w14:textId="6850A4C5" w:rsidR="00734721" w:rsidRDefault="005D242D" w:rsidP="004C0CB3">
            <w:pPr>
              <w:pStyle w:val="NormalArial"/>
              <w:spacing w:before="120" w:after="120"/>
              <w:rPr>
                <w:color w:val="000000"/>
              </w:rPr>
            </w:pPr>
            <w:r>
              <w:rPr>
                <w:b/>
                <w:bCs/>
                <w:color w:val="000000"/>
                <w:u w:val="single"/>
              </w:rPr>
              <w:t>Lega</w:t>
            </w:r>
            <w:r w:rsidR="00734721">
              <w:rPr>
                <w:b/>
                <w:bCs/>
                <w:color w:val="000000"/>
                <w:u w:val="single"/>
              </w:rPr>
              <w:t>l/Policy</w:t>
            </w:r>
            <w:r w:rsidRPr="005D242D">
              <w:rPr>
                <w:b/>
                <w:bCs/>
                <w:color w:val="000000"/>
                <w:u w:val="single"/>
              </w:rPr>
              <w:t>:</w:t>
            </w:r>
            <w:r>
              <w:rPr>
                <w:color w:val="000000"/>
              </w:rPr>
              <w:t xml:space="preserve">  </w:t>
            </w:r>
            <w:r w:rsidR="00105C3D">
              <w:rPr>
                <w:color w:val="000000"/>
              </w:rPr>
              <w:t>C</w:t>
            </w:r>
            <w:r w:rsidR="00734721">
              <w:rPr>
                <w:color w:val="000000"/>
              </w:rPr>
              <w:t xml:space="preserve">larification from the PUC </w:t>
            </w:r>
            <w:r w:rsidR="00105C3D">
              <w:rPr>
                <w:color w:val="000000"/>
              </w:rPr>
              <w:t xml:space="preserve">will be needed as to whether </w:t>
            </w:r>
            <w:r w:rsidR="00734721">
              <w:rPr>
                <w:color w:val="000000"/>
              </w:rPr>
              <w:t>a CCN is needed</w:t>
            </w:r>
            <w:r w:rsidR="00A309B4">
              <w:rPr>
                <w:color w:val="000000"/>
              </w:rPr>
              <w:t>, and a</w:t>
            </w:r>
            <w:r w:rsidR="00734721">
              <w:rPr>
                <w:color w:val="000000"/>
              </w:rPr>
              <w:t xml:space="preserve"> declaratory order from FERC</w:t>
            </w:r>
            <w:r w:rsidR="0064770B">
              <w:rPr>
                <w:color w:val="000000"/>
              </w:rPr>
              <w:t xml:space="preserve"> </w:t>
            </w:r>
            <w:r w:rsidR="00A309B4">
              <w:rPr>
                <w:color w:val="000000"/>
              </w:rPr>
              <w:t xml:space="preserve">will be needed </w:t>
            </w:r>
            <w:r w:rsidR="0064770B">
              <w:rPr>
                <w:color w:val="000000"/>
              </w:rPr>
              <w:t xml:space="preserve">to </w:t>
            </w:r>
            <w:r w:rsidR="00E96D5F">
              <w:rPr>
                <w:color w:val="000000"/>
              </w:rPr>
              <w:t xml:space="preserve">address </w:t>
            </w:r>
            <w:r w:rsidR="00A309B4">
              <w:rPr>
                <w:color w:val="000000"/>
              </w:rPr>
              <w:t>whether</w:t>
            </w:r>
            <w:r w:rsidR="0064770B">
              <w:rPr>
                <w:color w:val="000000"/>
              </w:rPr>
              <w:t xml:space="preserve"> </w:t>
            </w:r>
            <w:r w:rsidR="00A309B4">
              <w:rPr>
                <w:color w:val="000000"/>
              </w:rPr>
              <w:t>charging in another region and discharging in ERCOT (or vice versa) constitutes transmission</w:t>
            </w:r>
            <w:r w:rsidR="0064770B">
              <w:rPr>
                <w:color w:val="000000"/>
              </w:rPr>
              <w:t xml:space="preserve"> in interstate commerce</w:t>
            </w:r>
            <w:r w:rsidR="00734721">
              <w:rPr>
                <w:color w:val="000000"/>
              </w:rPr>
              <w:t xml:space="preserve">.  ERCOT will </w:t>
            </w:r>
            <w:r w:rsidR="00A309B4">
              <w:rPr>
                <w:color w:val="000000"/>
              </w:rPr>
              <w:t>need these issues to be</w:t>
            </w:r>
            <w:r w:rsidR="00310954">
              <w:rPr>
                <w:color w:val="000000"/>
              </w:rPr>
              <w:t xml:space="preserve"> appropriately clarified</w:t>
            </w:r>
            <w:r w:rsidR="00A309B4">
              <w:rPr>
                <w:color w:val="000000"/>
              </w:rPr>
              <w:t xml:space="preserve"> before </w:t>
            </w:r>
            <w:r w:rsidR="00202ABB">
              <w:rPr>
                <w:color w:val="000000"/>
              </w:rPr>
              <w:t>SW</w:t>
            </w:r>
            <w:r w:rsidR="00A309B4">
              <w:rPr>
                <w:color w:val="000000"/>
              </w:rPr>
              <w:t xml:space="preserve">ESRs </w:t>
            </w:r>
            <w:r w:rsidR="00202ABB">
              <w:rPr>
                <w:color w:val="000000"/>
              </w:rPr>
              <w:t>will</w:t>
            </w:r>
            <w:r w:rsidR="00A309B4">
              <w:rPr>
                <w:color w:val="000000"/>
              </w:rPr>
              <w:t xml:space="preserve"> </w:t>
            </w:r>
            <w:r w:rsidR="00202ABB">
              <w:rPr>
                <w:color w:val="000000"/>
              </w:rPr>
              <w:t xml:space="preserve">be </w:t>
            </w:r>
            <w:r w:rsidR="00202ABB">
              <w:rPr>
                <w:color w:val="000000"/>
              </w:rPr>
              <w:lastRenderedPageBreak/>
              <w:t>allowed to interconnect</w:t>
            </w:r>
            <w:r w:rsidR="00734721">
              <w:rPr>
                <w:color w:val="000000"/>
              </w:rPr>
              <w:t xml:space="preserve">.  </w:t>
            </w:r>
            <w:r w:rsidR="0064770B">
              <w:rPr>
                <w:color w:val="000000"/>
              </w:rPr>
              <w:t>Dual Mode: DC-Tie/ESR configuration</w:t>
            </w:r>
            <w:r w:rsidR="00A223D8">
              <w:rPr>
                <w:color w:val="000000"/>
              </w:rPr>
              <w:t xml:space="preserve">s </w:t>
            </w:r>
            <w:r w:rsidR="00310954">
              <w:rPr>
                <w:color w:val="000000"/>
              </w:rPr>
              <w:t>present jurisdictional issues and cannot be</w:t>
            </w:r>
            <w:r w:rsidR="0064770B">
              <w:rPr>
                <w:color w:val="000000"/>
              </w:rPr>
              <w:t xml:space="preserve"> allowed.  </w:t>
            </w:r>
            <w:r w:rsidR="00734721">
              <w:rPr>
                <w:color w:val="000000"/>
              </w:rPr>
              <w:t xml:space="preserve">WSL treatment is not available for consumption by </w:t>
            </w:r>
            <w:r w:rsidR="00202ABB">
              <w:rPr>
                <w:color w:val="000000"/>
              </w:rPr>
              <w:t>SW</w:t>
            </w:r>
            <w:r w:rsidR="00734721">
              <w:rPr>
                <w:color w:val="000000"/>
              </w:rPr>
              <w:t xml:space="preserve">ESRs unless </w:t>
            </w:r>
            <w:r w:rsidR="00310954">
              <w:rPr>
                <w:color w:val="000000"/>
              </w:rPr>
              <w:t>appropriate P</w:t>
            </w:r>
            <w:r w:rsidR="00734721">
              <w:rPr>
                <w:color w:val="000000"/>
              </w:rPr>
              <w:t>rotocol language and system changes are developed and implemented.</w:t>
            </w:r>
          </w:p>
          <w:p w14:paraId="09CDA7E6" w14:textId="77777777" w:rsidR="00734721" w:rsidRDefault="00734721" w:rsidP="004C0CB3">
            <w:pPr>
              <w:pStyle w:val="NormalArial"/>
              <w:spacing w:before="120" w:after="120"/>
              <w:rPr>
                <w:color w:val="000000"/>
              </w:rPr>
            </w:pPr>
          </w:p>
          <w:p w14:paraId="0024BE0D" w14:textId="243943FE" w:rsidR="005D242D" w:rsidRPr="00B00B00" w:rsidRDefault="00734721" w:rsidP="004C0CB3">
            <w:pPr>
              <w:pStyle w:val="NormalArial"/>
              <w:spacing w:before="120" w:after="120"/>
              <w:rPr>
                <w:color w:val="000000"/>
                <w:u w:val="single"/>
              </w:rPr>
            </w:pPr>
            <w:r w:rsidRPr="00B00B00">
              <w:rPr>
                <w:b/>
                <w:bCs/>
                <w:color w:val="000000"/>
                <w:u w:val="single"/>
              </w:rPr>
              <w:t>Settlements:</w:t>
            </w:r>
          </w:p>
          <w:p w14:paraId="1D8221E4" w14:textId="14FBF509" w:rsidR="00D43855" w:rsidRDefault="00D43855" w:rsidP="004C0CB3">
            <w:pPr>
              <w:pStyle w:val="NormalArial"/>
              <w:spacing w:before="120" w:after="120"/>
            </w:pPr>
            <w:r>
              <w:t>P</w:t>
            </w:r>
            <w:r w:rsidRPr="00423342">
              <w:t xml:space="preserve">rotocol language </w:t>
            </w:r>
            <w:r>
              <w:t>and any required system changes for implementation are needed prior to</w:t>
            </w:r>
            <w:r w:rsidRPr="00423342">
              <w:t xml:space="preserve"> WSL treatment </w:t>
            </w:r>
            <w:r>
              <w:t xml:space="preserve">availability </w:t>
            </w:r>
            <w:r w:rsidRPr="00423342">
              <w:t xml:space="preserve">for </w:t>
            </w:r>
            <w:r w:rsidR="00202ABB">
              <w:t>SW</w:t>
            </w:r>
            <w:r w:rsidRPr="00423342">
              <w:t>ESRs</w:t>
            </w:r>
            <w:r>
              <w:t xml:space="preserve"> charging energy. </w:t>
            </w:r>
          </w:p>
          <w:p w14:paraId="269CC8F0" w14:textId="20F41923" w:rsidR="005D242D" w:rsidRDefault="00D43855" w:rsidP="004C0CB3">
            <w:pPr>
              <w:pStyle w:val="NormalArial"/>
              <w:spacing w:before="120" w:after="120"/>
              <w:rPr>
                <w:color w:val="000000"/>
              </w:rPr>
            </w:pPr>
            <w:r>
              <w:t xml:space="preserve">The bulk of the other </w:t>
            </w:r>
            <w:r w:rsidR="00E96D5F">
              <w:rPr>
                <w:color w:val="000000"/>
              </w:rPr>
              <w:t xml:space="preserve">Settlement for SWESRs </w:t>
            </w:r>
            <w:r>
              <w:rPr>
                <w:color w:val="000000"/>
              </w:rPr>
              <w:t>is expected to</w:t>
            </w:r>
            <w:r w:rsidR="00E96D5F">
              <w:rPr>
                <w:color w:val="000000"/>
              </w:rPr>
              <w:t xml:space="preserve"> be very similar to settlement for the existing SWGRs.  A few details are noted.</w:t>
            </w:r>
          </w:p>
          <w:p w14:paraId="5F01BCDF" w14:textId="090F32B6" w:rsidR="007166DE" w:rsidRPr="00520C4C" w:rsidRDefault="007166DE" w:rsidP="004C0CB3">
            <w:pPr>
              <w:pStyle w:val="NormalArial"/>
              <w:spacing w:before="120" w:after="120"/>
              <w:rPr>
                <w:color w:val="000000"/>
              </w:rPr>
            </w:pPr>
          </w:p>
        </w:tc>
      </w:tr>
      <w:tr w:rsidR="00032100" w14:paraId="5546907B" w14:textId="77777777" w:rsidTr="006F0498">
        <w:trPr>
          <w:trHeight w:val="773"/>
        </w:trPr>
        <w:tc>
          <w:tcPr>
            <w:tcW w:w="2340" w:type="dxa"/>
            <w:gridSpan w:val="2"/>
            <w:tcBorders>
              <w:top w:val="single" w:sz="4" w:space="0" w:color="auto"/>
              <w:bottom w:val="single" w:sz="4" w:space="0" w:color="auto"/>
            </w:tcBorders>
            <w:shd w:val="clear" w:color="auto" w:fill="FFFFFF"/>
            <w:vAlign w:val="center"/>
          </w:tcPr>
          <w:p w14:paraId="7E39C17C" w14:textId="73894ADF" w:rsidR="00032100" w:rsidRPr="00073E79" w:rsidRDefault="00032100" w:rsidP="00032100">
            <w:pPr>
              <w:pStyle w:val="Header"/>
            </w:pPr>
            <w:r w:rsidRPr="00073E79">
              <w:lastRenderedPageBreak/>
              <w:t>Discussion</w:t>
            </w:r>
            <w:r w:rsidR="00902222">
              <w:t xml:space="preserve"> Summary</w:t>
            </w:r>
            <w:r w:rsidRPr="00073E79">
              <w:t xml:space="preserve"> </w:t>
            </w:r>
          </w:p>
        </w:tc>
        <w:tc>
          <w:tcPr>
            <w:tcW w:w="8100" w:type="dxa"/>
            <w:gridSpan w:val="2"/>
            <w:tcBorders>
              <w:top w:val="single" w:sz="4" w:space="0" w:color="auto"/>
            </w:tcBorders>
            <w:vAlign w:val="center"/>
          </w:tcPr>
          <w:p w14:paraId="37F90C20" w14:textId="7A1D62D8" w:rsidR="00902222" w:rsidRDefault="000A1E1B" w:rsidP="004E5BD7">
            <w:pPr>
              <w:spacing w:before="120" w:after="120"/>
              <w:rPr>
                <w:rFonts w:ascii="Arial" w:hAnsi="Arial" w:cs="Arial"/>
              </w:rPr>
            </w:pPr>
            <w:r>
              <w:rPr>
                <w:rFonts w:ascii="Arial" w:hAnsi="Arial" w:cs="Arial"/>
              </w:rPr>
              <w:t>This KTC was discussed at the OWG and ROS several times.  At the 9-2-21 ROS meeting, the information from OWG was presented to ROS and after some discussion</w:t>
            </w:r>
            <w:r w:rsidR="00902222">
              <w:rPr>
                <w:rFonts w:ascii="Arial" w:hAnsi="Arial" w:cs="Arial"/>
              </w:rPr>
              <w:t>,</w:t>
            </w:r>
            <w:r>
              <w:rPr>
                <w:rFonts w:ascii="Arial" w:hAnsi="Arial" w:cs="Arial"/>
              </w:rPr>
              <w:t xml:space="preserve"> ROS marked KTC 15-3 as “closed”.  This KTC was </w:t>
            </w:r>
            <w:r w:rsidR="00902222">
              <w:rPr>
                <w:rFonts w:ascii="Arial" w:hAnsi="Arial" w:cs="Arial"/>
              </w:rPr>
              <w:t>“</w:t>
            </w:r>
            <w:r>
              <w:rPr>
                <w:rFonts w:ascii="Arial" w:hAnsi="Arial" w:cs="Arial"/>
              </w:rPr>
              <w:t>re-introduced</w:t>
            </w:r>
            <w:r w:rsidR="00902222">
              <w:rPr>
                <w:rFonts w:ascii="Arial" w:hAnsi="Arial" w:cs="Arial"/>
              </w:rPr>
              <w:t>”</w:t>
            </w:r>
            <w:r>
              <w:rPr>
                <w:rFonts w:ascii="Arial" w:hAnsi="Arial" w:cs="Arial"/>
              </w:rPr>
              <w:t xml:space="preserve"> at the September WMWG meeting and briefly discussed.  </w:t>
            </w:r>
            <w:r w:rsidR="00902222">
              <w:rPr>
                <w:rFonts w:ascii="Arial" w:hAnsi="Arial" w:cs="Arial"/>
              </w:rPr>
              <w:t xml:space="preserve">ERCOT requested comments by the end of </w:t>
            </w:r>
            <w:r w:rsidR="009A5393">
              <w:rPr>
                <w:rFonts w:ascii="Arial" w:hAnsi="Arial" w:cs="Arial"/>
              </w:rPr>
              <w:t>September,</w:t>
            </w:r>
            <w:r w:rsidR="00902222">
              <w:rPr>
                <w:rFonts w:ascii="Arial" w:hAnsi="Arial" w:cs="Arial"/>
              </w:rPr>
              <w:t xml:space="preserve"> and none were received.</w:t>
            </w:r>
          </w:p>
          <w:p w14:paraId="08C0A06C" w14:textId="784C0A75" w:rsidR="00902222" w:rsidRPr="00BC3662" w:rsidRDefault="00902222" w:rsidP="00902222">
            <w:pPr>
              <w:spacing w:before="120" w:after="120"/>
            </w:pPr>
            <w:r>
              <w:rPr>
                <w:rFonts w:ascii="Arial" w:hAnsi="Arial" w:cs="Arial"/>
              </w:rPr>
              <w:t>ERCOT staff prepared the initial draft of the KTC and presented it at the 10-25-21 WMWG meeting.</w:t>
            </w:r>
          </w:p>
          <w:p w14:paraId="31062F05" w14:textId="58C417C8" w:rsidR="009C0863" w:rsidRPr="00BC3662" w:rsidRDefault="009C0863" w:rsidP="004E5BD7">
            <w:pPr>
              <w:pStyle w:val="NormalArial"/>
              <w:spacing w:before="120" w:after="120"/>
            </w:pPr>
          </w:p>
        </w:tc>
      </w:tr>
      <w:tr w:rsidR="00032100" w14:paraId="0DD40EA5" w14:textId="77777777" w:rsidTr="006F0498">
        <w:trPr>
          <w:trHeight w:val="518"/>
        </w:trPr>
        <w:tc>
          <w:tcPr>
            <w:tcW w:w="2340" w:type="dxa"/>
            <w:gridSpan w:val="2"/>
            <w:tcBorders>
              <w:bottom w:val="single" w:sz="4" w:space="0" w:color="auto"/>
            </w:tcBorders>
            <w:shd w:val="clear" w:color="auto" w:fill="FFFFFF"/>
            <w:vAlign w:val="center"/>
          </w:tcPr>
          <w:p w14:paraId="0F21AB55"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19B69DE5" w14:textId="43F229A9" w:rsidR="00514E96" w:rsidRPr="00BC3662" w:rsidRDefault="00902222" w:rsidP="00AA739F">
            <w:pPr>
              <w:pStyle w:val="NormalArial"/>
              <w:spacing w:before="120" w:after="120"/>
            </w:pPr>
            <w:r>
              <w:t xml:space="preserve">WMS and ROS </w:t>
            </w:r>
            <w:r w:rsidR="004E5BD7">
              <w:t xml:space="preserve">plan to request at the </w:t>
            </w:r>
            <w:r>
              <w:t>dd/mm/yyyy</w:t>
            </w:r>
            <w:r w:rsidR="004E5BD7">
              <w:t xml:space="preserve"> TAC meeting a vote to approve KTC 15-</w:t>
            </w:r>
            <w:r>
              <w:t>3</w:t>
            </w:r>
            <w:r w:rsidR="004E5BD7">
              <w:t>.</w:t>
            </w:r>
            <w:r w:rsidR="00B549A7">
              <w:t xml:space="preserve">  If the KTC is approved by TAC, TAC will need to provide direction o</w:t>
            </w:r>
            <w:r w:rsidR="00E96D5F">
              <w:t>n the priority</w:t>
            </w:r>
            <w:r w:rsidR="00B549A7">
              <w:t xml:space="preserve"> for an NPRR to be drafted. </w:t>
            </w:r>
          </w:p>
        </w:tc>
      </w:tr>
      <w:tr w:rsidR="00032100" w14:paraId="38D02A94" w14:textId="77777777" w:rsidTr="006F0498">
        <w:trPr>
          <w:trHeight w:val="518"/>
        </w:trPr>
        <w:tc>
          <w:tcPr>
            <w:tcW w:w="2340" w:type="dxa"/>
            <w:gridSpan w:val="2"/>
            <w:tcBorders>
              <w:bottom w:val="single" w:sz="4" w:space="0" w:color="auto"/>
            </w:tcBorders>
            <w:shd w:val="clear" w:color="auto" w:fill="FFFFFF"/>
            <w:vAlign w:val="center"/>
          </w:tcPr>
          <w:p w14:paraId="1B42891D"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6292E7B6" w14:textId="5BA8CAA6" w:rsidR="00FC1CB1" w:rsidRPr="00BC3662" w:rsidRDefault="00902222" w:rsidP="007334AB">
            <w:pPr>
              <w:pStyle w:val="NormalArial"/>
              <w:spacing w:before="120" w:after="120"/>
            </w:pPr>
            <w:r>
              <w:t>TBD</w:t>
            </w:r>
          </w:p>
        </w:tc>
      </w:tr>
    </w:tbl>
    <w:p w14:paraId="24FE341A"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E880FF3" w14:textId="77777777">
        <w:trPr>
          <w:trHeight w:val="350"/>
        </w:trPr>
        <w:tc>
          <w:tcPr>
            <w:tcW w:w="10440" w:type="dxa"/>
            <w:tcBorders>
              <w:bottom w:val="single" w:sz="4" w:space="0" w:color="auto"/>
            </w:tcBorders>
            <w:shd w:val="clear" w:color="auto" w:fill="FFFFFF"/>
            <w:vAlign w:val="center"/>
          </w:tcPr>
          <w:p w14:paraId="47219619"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4D8D96E" w14:textId="77777777" w:rsidR="00BC2D06" w:rsidRPr="00957573" w:rsidRDefault="00BC2D06" w:rsidP="00BC2D06">
      <w:pPr>
        <w:ind w:left="360"/>
        <w:rPr>
          <w:rFonts w:ascii="Arial" w:hAnsi="Arial" w:cs="Arial"/>
        </w:rPr>
      </w:pPr>
    </w:p>
    <w:p w14:paraId="3E1A506A" w14:textId="77777777" w:rsidR="009604A8" w:rsidRDefault="00B815FD" w:rsidP="009604A8">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r w:rsidR="009604A8" w:rsidRPr="009604A8">
        <w:rPr>
          <w:rFonts w:ascii="Arial" w:hAnsi="Arial" w:cs="Arial"/>
          <w:i/>
          <w:sz w:val="22"/>
          <w:szCs w:val="22"/>
        </w:rPr>
        <w:t xml:space="preserve"> </w:t>
      </w:r>
    </w:p>
    <w:p w14:paraId="6309BECC" w14:textId="6F1BFABF" w:rsidR="006843CE" w:rsidRPr="00423342" w:rsidRDefault="006843CE" w:rsidP="006843CE">
      <w:pPr>
        <w:pStyle w:val="ListParagraph"/>
        <w:spacing w:before="120" w:after="120"/>
        <w:contextualSpacing w:val="0"/>
        <w:rPr>
          <w:rFonts w:cs="Arial"/>
          <w:b/>
          <w:bCs/>
          <w:iCs/>
          <w:color w:val="auto"/>
          <w:u w:val="single"/>
        </w:rPr>
      </w:pPr>
      <w:r w:rsidRPr="00423342">
        <w:rPr>
          <w:rFonts w:cs="Arial"/>
          <w:b/>
          <w:bCs/>
          <w:iCs/>
          <w:color w:val="auto"/>
          <w:u w:val="single"/>
        </w:rPr>
        <w:t>Operational and Reliability Issues</w:t>
      </w:r>
    </w:p>
    <w:p w14:paraId="7EDFBE7A" w14:textId="2559E07C" w:rsidR="009A51BA" w:rsidRDefault="00937652" w:rsidP="009A51BA">
      <w:pPr>
        <w:pStyle w:val="ListParagraph"/>
        <w:numPr>
          <w:ilvl w:val="0"/>
          <w:numId w:val="19"/>
        </w:numPr>
        <w:spacing w:before="120" w:after="120"/>
        <w:contextualSpacing w:val="0"/>
        <w:rPr>
          <w:rFonts w:cs="Arial"/>
          <w:iCs/>
          <w:color w:val="auto"/>
        </w:rPr>
      </w:pPr>
      <w:r>
        <w:rPr>
          <w:rFonts w:cs="Arial"/>
          <w:iCs/>
          <w:color w:val="auto"/>
        </w:rPr>
        <w:t xml:space="preserve">In general, </w:t>
      </w:r>
      <w:r w:rsidR="009A51BA">
        <w:rPr>
          <w:rFonts w:cs="Arial"/>
          <w:iCs/>
          <w:color w:val="auto"/>
        </w:rPr>
        <w:t>ERCOT and ROS d</w:t>
      </w:r>
      <w:r>
        <w:rPr>
          <w:rFonts w:cs="Arial"/>
          <w:iCs/>
          <w:color w:val="auto"/>
        </w:rPr>
        <w:t>id</w:t>
      </w:r>
      <w:r w:rsidR="009A51BA">
        <w:rPr>
          <w:rFonts w:cs="Arial"/>
          <w:iCs/>
          <w:color w:val="auto"/>
        </w:rPr>
        <w:t xml:space="preserve"> not see any reliability issues with having switchable ESRs and did not identify any major issues assuming current rules for SWGRs apply to </w:t>
      </w:r>
      <w:r w:rsidR="002F3F01">
        <w:rPr>
          <w:rFonts w:cs="Arial"/>
          <w:iCs/>
          <w:color w:val="auto"/>
        </w:rPr>
        <w:t xml:space="preserve">switchable </w:t>
      </w:r>
      <w:r w:rsidR="009A51BA">
        <w:rPr>
          <w:rFonts w:cs="Arial"/>
          <w:iCs/>
          <w:color w:val="auto"/>
        </w:rPr>
        <w:t>ESRs.</w:t>
      </w:r>
    </w:p>
    <w:p w14:paraId="756D7EBD" w14:textId="3A7AAFC4" w:rsidR="00B72787" w:rsidRDefault="00B72787" w:rsidP="009A51BA">
      <w:pPr>
        <w:pStyle w:val="ListParagraph"/>
        <w:numPr>
          <w:ilvl w:val="0"/>
          <w:numId w:val="19"/>
        </w:numPr>
        <w:spacing w:before="120" w:after="120"/>
        <w:contextualSpacing w:val="0"/>
        <w:rPr>
          <w:rFonts w:cs="Arial"/>
          <w:iCs/>
          <w:color w:val="auto"/>
        </w:rPr>
      </w:pPr>
      <w:r>
        <w:rPr>
          <w:rFonts w:cs="Arial"/>
          <w:iCs/>
          <w:color w:val="auto"/>
        </w:rPr>
        <w:t>The suggested approach is</w:t>
      </w:r>
      <w:r w:rsidR="002F3F01">
        <w:rPr>
          <w:rFonts w:cs="Arial"/>
          <w:iCs/>
          <w:color w:val="auto"/>
        </w:rPr>
        <w:t xml:space="preserve"> to add two new terms to go with the existing term SWGR.</w:t>
      </w:r>
      <w:r>
        <w:rPr>
          <w:rFonts w:cs="Arial"/>
          <w:iCs/>
          <w:color w:val="auto"/>
        </w:rPr>
        <w:t xml:space="preserve">  </w:t>
      </w:r>
      <w:r w:rsidR="002F3F01">
        <w:rPr>
          <w:rFonts w:cs="Arial"/>
          <w:iCs/>
          <w:color w:val="auto"/>
        </w:rPr>
        <w:t>A</w:t>
      </w:r>
      <w:r>
        <w:rPr>
          <w:rFonts w:cs="Arial"/>
          <w:iCs/>
          <w:color w:val="auto"/>
        </w:rPr>
        <w:t>dd a</w:t>
      </w:r>
      <w:r w:rsidR="009A51BA">
        <w:rPr>
          <w:rFonts w:cs="Arial"/>
          <w:iCs/>
          <w:color w:val="auto"/>
        </w:rPr>
        <w:t xml:space="preserve"> broader term such </w:t>
      </w:r>
      <w:r w:rsidR="009A5393">
        <w:rPr>
          <w:rFonts w:cs="Arial"/>
          <w:iCs/>
          <w:color w:val="auto"/>
        </w:rPr>
        <w:t xml:space="preserve">as </w:t>
      </w:r>
      <w:r w:rsidR="009A5393" w:rsidRPr="009A51BA">
        <w:rPr>
          <w:rFonts w:cs="Arial"/>
          <w:iCs/>
          <w:color w:val="auto"/>
        </w:rPr>
        <w:t>Switchable</w:t>
      </w:r>
      <w:r w:rsidR="009A51BA" w:rsidRPr="009A51BA">
        <w:rPr>
          <w:rFonts w:cs="Arial"/>
          <w:iCs/>
          <w:color w:val="auto"/>
        </w:rPr>
        <w:t xml:space="preserve"> </w:t>
      </w:r>
      <w:r w:rsidR="009A5393" w:rsidRPr="009A51BA">
        <w:rPr>
          <w:rFonts w:cs="Arial"/>
          <w:iCs/>
          <w:color w:val="auto"/>
        </w:rPr>
        <w:t>Resource</w:t>
      </w:r>
      <w:r>
        <w:rPr>
          <w:rFonts w:cs="Arial"/>
          <w:iCs/>
          <w:color w:val="auto"/>
        </w:rPr>
        <w:t xml:space="preserve">s (SWRs) and </w:t>
      </w:r>
      <w:r w:rsidR="00E96D5F">
        <w:rPr>
          <w:rFonts w:cs="Arial"/>
          <w:iCs/>
          <w:color w:val="auto"/>
        </w:rPr>
        <w:t>add another</w:t>
      </w:r>
      <w:r>
        <w:rPr>
          <w:rFonts w:cs="Arial"/>
          <w:iCs/>
          <w:color w:val="auto"/>
        </w:rPr>
        <w:t xml:space="preserve"> term </w:t>
      </w:r>
      <w:r w:rsidR="00E96D5F">
        <w:rPr>
          <w:rFonts w:cs="Arial"/>
          <w:iCs/>
          <w:color w:val="auto"/>
        </w:rPr>
        <w:t>(</w:t>
      </w:r>
      <w:r>
        <w:rPr>
          <w:rFonts w:cs="Arial"/>
          <w:iCs/>
          <w:color w:val="auto"/>
        </w:rPr>
        <w:t>on the same level as SWGR</w:t>
      </w:r>
      <w:r w:rsidR="00E96D5F">
        <w:rPr>
          <w:rFonts w:cs="Arial"/>
          <w:iCs/>
          <w:color w:val="auto"/>
        </w:rPr>
        <w:t>)</w:t>
      </w:r>
      <w:r>
        <w:rPr>
          <w:rFonts w:cs="Arial"/>
          <w:iCs/>
          <w:color w:val="auto"/>
        </w:rPr>
        <w:t xml:space="preserve"> for switchable ESRs (SWESRs).</w:t>
      </w:r>
      <w:r w:rsidR="002F3F01">
        <w:rPr>
          <w:rFonts w:cs="Arial"/>
          <w:iCs/>
          <w:color w:val="auto"/>
        </w:rPr>
        <w:t xml:space="preserve">  There would be three terms SWRs, SWGRs and SWESRs.  (SWRs would be used when referring to SWGRs and SWESRs.)</w:t>
      </w:r>
    </w:p>
    <w:p w14:paraId="67854B93" w14:textId="53A2B235" w:rsidR="009A51BA" w:rsidRDefault="00E96D5F" w:rsidP="009A51BA">
      <w:pPr>
        <w:pStyle w:val="ListParagraph"/>
        <w:numPr>
          <w:ilvl w:val="0"/>
          <w:numId w:val="19"/>
        </w:numPr>
        <w:spacing w:before="120" w:after="120"/>
        <w:contextualSpacing w:val="0"/>
        <w:rPr>
          <w:rFonts w:cs="Arial"/>
          <w:iCs/>
          <w:color w:val="auto"/>
        </w:rPr>
      </w:pPr>
      <w:r>
        <w:rPr>
          <w:rFonts w:cs="Arial"/>
          <w:iCs/>
          <w:color w:val="auto"/>
        </w:rPr>
        <w:lastRenderedPageBreak/>
        <w:t>In general, SW</w:t>
      </w:r>
      <w:r w:rsidR="00B72787">
        <w:rPr>
          <w:rFonts w:cs="Arial"/>
          <w:iCs/>
          <w:color w:val="auto"/>
        </w:rPr>
        <w:t xml:space="preserve">ESRs will be instructed to switch and “handled” </w:t>
      </w:r>
      <w:r>
        <w:rPr>
          <w:rFonts w:cs="Arial"/>
          <w:iCs/>
          <w:color w:val="auto"/>
        </w:rPr>
        <w:t>like</w:t>
      </w:r>
      <w:r w:rsidR="00B72787">
        <w:rPr>
          <w:rFonts w:cs="Arial"/>
          <w:iCs/>
          <w:color w:val="auto"/>
        </w:rPr>
        <w:t xml:space="preserve"> SWGRs.</w:t>
      </w:r>
    </w:p>
    <w:p w14:paraId="27484C17" w14:textId="77777777" w:rsidR="009A51BA" w:rsidRDefault="009A51BA" w:rsidP="009A51BA">
      <w:pPr>
        <w:pStyle w:val="ListParagraph"/>
        <w:numPr>
          <w:ilvl w:val="0"/>
          <w:numId w:val="19"/>
        </w:numPr>
        <w:spacing w:before="120" w:after="120"/>
        <w:contextualSpacing w:val="0"/>
        <w:rPr>
          <w:rFonts w:cs="Arial"/>
          <w:iCs/>
          <w:color w:val="auto"/>
        </w:rPr>
      </w:pPr>
      <w:r>
        <w:rPr>
          <w:rFonts w:cs="Arial"/>
          <w:iCs/>
          <w:color w:val="auto"/>
        </w:rPr>
        <w:t>Existing Coordination Plans with SPP and MISO will need to be slightly modified.</w:t>
      </w:r>
    </w:p>
    <w:p w14:paraId="72932025" w14:textId="5C2E50A7" w:rsidR="00741314" w:rsidRDefault="009A51BA" w:rsidP="009A51BA">
      <w:pPr>
        <w:pStyle w:val="ListParagraph"/>
        <w:numPr>
          <w:ilvl w:val="0"/>
          <w:numId w:val="19"/>
        </w:numPr>
        <w:spacing w:before="120" w:after="120"/>
        <w:contextualSpacing w:val="0"/>
        <w:rPr>
          <w:rFonts w:cs="Arial"/>
          <w:iCs/>
          <w:color w:val="auto"/>
        </w:rPr>
      </w:pPr>
      <w:r w:rsidRPr="009A51BA">
        <w:rPr>
          <w:rFonts w:cs="Arial"/>
          <w:iCs/>
          <w:color w:val="auto"/>
        </w:rPr>
        <w:t xml:space="preserve">ERCOT </w:t>
      </w:r>
      <w:r>
        <w:rPr>
          <w:rFonts w:cs="Arial"/>
          <w:iCs/>
          <w:color w:val="auto"/>
        </w:rPr>
        <w:t xml:space="preserve">would </w:t>
      </w:r>
      <w:r w:rsidRPr="009A51BA">
        <w:rPr>
          <w:rFonts w:cs="Arial"/>
          <w:iCs/>
          <w:color w:val="auto"/>
        </w:rPr>
        <w:t xml:space="preserve">be informed of the State of Charge </w:t>
      </w:r>
      <w:r>
        <w:rPr>
          <w:rFonts w:cs="Arial"/>
          <w:iCs/>
          <w:color w:val="auto"/>
        </w:rPr>
        <w:t xml:space="preserve">(SoC) </w:t>
      </w:r>
      <w:r w:rsidRPr="009A51BA">
        <w:rPr>
          <w:rFonts w:cs="Arial"/>
          <w:iCs/>
          <w:color w:val="auto"/>
        </w:rPr>
        <w:t>of the battery when it is operating in a Non-ERCOT control area</w:t>
      </w:r>
      <w:r>
        <w:rPr>
          <w:rFonts w:cs="Arial"/>
          <w:iCs/>
          <w:color w:val="auto"/>
        </w:rPr>
        <w:t xml:space="preserve"> due to the requirement that the </w:t>
      </w:r>
      <w:r w:rsidR="00F4284B">
        <w:rPr>
          <w:rFonts w:cs="Arial"/>
          <w:iCs/>
          <w:color w:val="auto"/>
        </w:rPr>
        <w:t>ESR</w:t>
      </w:r>
      <w:r>
        <w:rPr>
          <w:rFonts w:cs="Arial"/>
          <w:iCs/>
          <w:color w:val="auto"/>
        </w:rPr>
        <w:t xml:space="preserve"> shall continue to provide telemetry and COP information even when interconnected to </w:t>
      </w:r>
      <w:r w:rsidR="00F4284B">
        <w:rPr>
          <w:rFonts w:cs="Arial"/>
          <w:iCs/>
          <w:color w:val="auto"/>
        </w:rPr>
        <w:t xml:space="preserve">a </w:t>
      </w:r>
      <w:r>
        <w:rPr>
          <w:rFonts w:cs="Arial"/>
          <w:iCs/>
          <w:color w:val="auto"/>
        </w:rPr>
        <w:t xml:space="preserve">non-ERCOT area.  SoC </w:t>
      </w:r>
      <w:r w:rsidR="00741314">
        <w:rPr>
          <w:rFonts w:cs="Arial"/>
          <w:iCs/>
          <w:color w:val="auto"/>
        </w:rPr>
        <w:t>is data required to be telemetered by all ESRs.  This should provide ERCOT Operators the situational awareness needed to maintain reliability.</w:t>
      </w:r>
    </w:p>
    <w:p w14:paraId="7096C4F4" w14:textId="2F033F5C" w:rsidR="006843CE" w:rsidRPr="006843CE" w:rsidRDefault="006843CE" w:rsidP="006843CE">
      <w:pPr>
        <w:pStyle w:val="ListParagraph"/>
        <w:numPr>
          <w:ilvl w:val="0"/>
          <w:numId w:val="19"/>
        </w:numPr>
        <w:spacing w:before="120" w:after="120"/>
        <w:contextualSpacing w:val="0"/>
        <w:rPr>
          <w:rFonts w:cs="Arial"/>
          <w:iCs/>
          <w:color w:val="auto"/>
        </w:rPr>
      </w:pPr>
      <w:r w:rsidRPr="006843CE">
        <w:rPr>
          <w:rFonts w:cs="Arial"/>
          <w:iCs/>
          <w:color w:val="auto"/>
        </w:rPr>
        <w:t>ERCOT staffing levels will likely need to be increased if there’s a significant increase of Switchable Resources.  May want to consider initially limiting the total number of new switchable resources.  ERCOT will need to discuss with SPP &amp; MISO and adjust coordination plans as necessary</w:t>
      </w:r>
      <w:r>
        <w:rPr>
          <w:rFonts w:cs="Arial"/>
          <w:iCs/>
          <w:color w:val="auto"/>
        </w:rPr>
        <w:t>.</w:t>
      </w:r>
    </w:p>
    <w:p w14:paraId="731AF8F8" w14:textId="14EC34C8" w:rsidR="006843CE" w:rsidRPr="00F4284B" w:rsidRDefault="006843CE" w:rsidP="006843CE">
      <w:pPr>
        <w:pStyle w:val="ListParagraph"/>
        <w:numPr>
          <w:ilvl w:val="0"/>
          <w:numId w:val="19"/>
        </w:numPr>
        <w:spacing w:before="120" w:after="120"/>
        <w:contextualSpacing w:val="0"/>
        <w:rPr>
          <w:rFonts w:cs="Arial"/>
          <w:iCs/>
          <w:color w:val="auto"/>
        </w:rPr>
      </w:pPr>
      <w:r w:rsidRPr="006843CE">
        <w:rPr>
          <w:rFonts w:cs="Arial"/>
          <w:iCs/>
          <w:color w:val="auto"/>
        </w:rPr>
        <w:t>The procedure for a SWR to switch from one area to another area will likely need to be reviewed and adjusted to accommodate potentially more voluntary switching</w:t>
      </w:r>
      <w:r w:rsidRPr="00F4284B">
        <w:rPr>
          <w:rFonts w:cs="Arial"/>
          <w:iCs/>
          <w:color w:val="auto"/>
        </w:rPr>
        <w:t>.</w:t>
      </w:r>
      <w:r w:rsidR="00F4284B" w:rsidRPr="00F4284B">
        <w:rPr>
          <w:rFonts w:cs="Arial"/>
          <w:iCs/>
          <w:color w:val="auto"/>
        </w:rPr>
        <w:t xml:space="preserve">  The procedure should be well communicated so QSEs representing SWRs are aware of the timing.</w:t>
      </w:r>
    </w:p>
    <w:p w14:paraId="21D80378" w14:textId="4F751667" w:rsidR="00832B89" w:rsidRDefault="00202ABB" w:rsidP="00832B89">
      <w:pPr>
        <w:pStyle w:val="ListParagraph"/>
        <w:numPr>
          <w:ilvl w:val="0"/>
          <w:numId w:val="19"/>
        </w:numPr>
        <w:spacing w:before="120" w:after="120"/>
        <w:contextualSpacing w:val="0"/>
        <w:rPr>
          <w:rFonts w:cs="Arial"/>
          <w:iCs/>
          <w:color w:val="auto"/>
        </w:rPr>
      </w:pPr>
      <w:r>
        <w:rPr>
          <w:rFonts w:cs="Arial"/>
          <w:iCs/>
          <w:color w:val="auto"/>
        </w:rPr>
        <w:t>SW</w:t>
      </w:r>
      <w:r w:rsidR="006843CE">
        <w:rPr>
          <w:rFonts w:cs="Arial"/>
          <w:iCs/>
          <w:color w:val="auto"/>
        </w:rPr>
        <w:t xml:space="preserve">ESRs will need to be considered in planning studies using </w:t>
      </w:r>
      <w:r w:rsidR="00F4284B">
        <w:rPr>
          <w:rFonts w:cs="Arial"/>
          <w:iCs/>
          <w:color w:val="auto"/>
        </w:rPr>
        <w:t>the</w:t>
      </w:r>
      <w:r w:rsidR="006843CE">
        <w:rPr>
          <w:rFonts w:cs="Arial"/>
          <w:iCs/>
          <w:color w:val="auto"/>
        </w:rPr>
        <w:t xml:space="preserve"> approach </w:t>
      </w:r>
      <w:r w:rsidR="00F4284B">
        <w:rPr>
          <w:rFonts w:cs="Arial"/>
          <w:iCs/>
          <w:color w:val="auto"/>
        </w:rPr>
        <w:t>used</w:t>
      </w:r>
      <w:r w:rsidR="006843CE">
        <w:rPr>
          <w:rFonts w:cs="Arial"/>
          <w:iCs/>
          <w:color w:val="auto"/>
        </w:rPr>
        <w:t xml:space="preserve"> for switchable resources and </w:t>
      </w:r>
      <w:r w:rsidR="00F4284B">
        <w:rPr>
          <w:rFonts w:cs="Arial"/>
          <w:iCs/>
          <w:color w:val="auto"/>
        </w:rPr>
        <w:t>the approach used</w:t>
      </w:r>
      <w:r w:rsidR="006843CE">
        <w:rPr>
          <w:rFonts w:cs="Arial"/>
          <w:iCs/>
          <w:color w:val="auto"/>
        </w:rPr>
        <w:t xml:space="preserve"> for limited duration resources.</w:t>
      </w:r>
    </w:p>
    <w:p w14:paraId="72339573" w14:textId="7E9505C4" w:rsidR="00832B89" w:rsidRPr="00832B89" w:rsidRDefault="00832B89" w:rsidP="00B00B00">
      <w:pPr>
        <w:pStyle w:val="ListParagraph"/>
        <w:spacing w:before="120" w:after="120"/>
        <w:contextualSpacing w:val="0"/>
        <w:rPr>
          <w:rFonts w:cs="Arial"/>
          <w:iCs/>
          <w:color w:val="auto"/>
        </w:rPr>
      </w:pPr>
    </w:p>
    <w:p w14:paraId="3D034E01" w14:textId="050488D0" w:rsidR="006843CE" w:rsidRPr="00423342" w:rsidRDefault="006843CE" w:rsidP="006843CE">
      <w:pPr>
        <w:pStyle w:val="ListParagraph"/>
        <w:spacing w:before="120" w:after="120"/>
        <w:contextualSpacing w:val="0"/>
        <w:rPr>
          <w:rFonts w:cs="Arial"/>
          <w:b/>
          <w:bCs/>
          <w:iCs/>
          <w:color w:val="auto"/>
          <w:u w:val="single"/>
        </w:rPr>
      </w:pPr>
      <w:r w:rsidRPr="00423342">
        <w:rPr>
          <w:rFonts w:cs="Arial"/>
          <w:b/>
          <w:bCs/>
          <w:iCs/>
          <w:color w:val="auto"/>
          <w:u w:val="single"/>
        </w:rPr>
        <w:t xml:space="preserve">Legal/Policy Issues </w:t>
      </w:r>
    </w:p>
    <w:p w14:paraId="6F32D4AB" w14:textId="59E93A38" w:rsidR="00080650" w:rsidRPr="00080650" w:rsidRDefault="00080650" w:rsidP="00080650">
      <w:pPr>
        <w:pStyle w:val="ListParagraph"/>
        <w:numPr>
          <w:ilvl w:val="0"/>
          <w:numId w:val="19"/>
        </w:numPr>
        <w:spacing w:after="160" w:line="259" w:lineRule="auto"/>
        <w:rPr>
          <w:color w:val="auto"/>
        </w:rPr>
      </w:pPr>
      <w:r w:rsidRPr="00080650">
        <w:rPr>
          <w:color w:val="auto"/>
        </w:rPr>
        <w:t xml:space="preserve">Would a </w:t>
      </w:r>
      <w:r w:rsidR="00202ABB">
        <w:rPr>
          <w:color w:val="auto"/>
        </w:rPr>
        <w:t>SW</w:t>
      </w:r>
      <w:r w:rsidRPr="00080650">
        <w:rPr>
          <w:color w:val="auto"/>
        </w:rPr>
        <w:t>ESR need a CCN?</w:t>
      </w:r>
    </w:p>
    <w:p w14:paraId="0C15A0A8" w14:textId="77777777" w:rsidR="00080650" w:rsidRPr="00080650" w:rsidRDefault="00080650" w:rsidP="00080650">
      <w:pPr>
        <w:pStyle w:val="ListParagraph"/>
        <w:numPr>
          <w:ilvl w:val="1"/>
          <w:numId w:val="19"/>
        </w:numPr>
        <w:spacing w:after="160" w:line="259" w:lineRule="auto"/>
        <w:rPr>
          <w:color w:val="auto"/>
        </w:rPr>
      </w:pPr>
      <w:r w:rsidRPr="00080650">
        <w:rPr>
          <w:color w:val="auto"/>
        </w:rPr>
        <w:t xml:space="preserve">PURA § 37.056(c-1) requires a CCN for “a facility . . . that enables additional power to be imported into or exported out of the ERCOT power grid.”  </w:t>
      </w:r>
    </w:p>
    <w:p w14:paraId="34C0FC50" w14:textId="636B5726" w:rsidR="00080650" w:rsidRPr="00080650" w:rsidRDefault="00202ABB" w:rsidP="00080650">
      <w:pPr>
        <w:pStyle w:val="ListParagraph"/>
        <w:numPr>
          <w:ilvl w:val="1"/>
          <w:numId w:val="19"/>
        </w:numPr>
        <w:spacing w:after="160" w:line="259" w:lineRule="auto"/>
        <w:rPr>
          <w:color w:val="auto"/>
        </w:rPr>
      </w:pPr>
      <w:r w:rsidRPr="00080650">
        <w:rPr>
          <w:color w:val="auto"/>
        </w:rPr>
        <w:t>S</w:t>
      </w:r>
      <w:r>
        <w:rPr>
          <w:color w:val="auto"/>
        </w:rPr>
        <w:t>W</w:t>
      </w:r>
      <w:r w:rsidR="00080650" w:rsidRPr="00080650">
        <w:rPr>
          <w:color w:val="auto"/>
        </w:rPr>
        <w:t>ESRs would draw power from another grid and inject that power into ERCOT (or vice versa) through use of a storage medium, raising a question of the applicability of this provision.</w:t>
      </w:r>
    </w:p>
    <w:p w14:paraId="6A9C5423" w14:textId="77777777" w:rsidR="00080650" w:rsidRPr="00080650" w:rsidRDefault="00080650" w:rsidP="00080650">
      <w:pPr>
        <w:pStyle w:val="ListParagraph"/>
        <w:numPr>
          <w:ilvl w:val="1"/>
          <w:numId w:val="19"/>
        </w:numPr>
        <w:spacing w:after="160" w:line="259" w:lineRule="auto"/>
        <w:rPr>
          <w:color w:val="auto"/>
        </w:rPr>
      </w:pPr>
      <w:r w:rsidRPr="00080650">
        <w:rPr>
          <w:color w:val="auto"/>
        </w:rPr>
        <w:t>PUC direction would be needed on this issue.</w:t>
      </w:r>
    </w:p>
    <w:p w14:paraId="516E35A6" w14:textId="72B2E2AF" w:rsidR="00080650" w:rsidRPr="00080650" w:rsidRDefault="00080650" w:rsidP="00080650">
      <w:pPr>
        <w:pStyle w:val="ListParagraph"/>
        <w:spacing w:after="160" w:line="259" w:lineRule="auto"/>
        <w:ind w:left="1440"/>
        <w:rPr>
          <w:color w:val="auto"/>
        </w:rPr>
      </w:pPr>
    </w:p>
    <w:p w14:paraId="16B4E072" w14:textId="2B0AD5A8" w:rsidR="00080650" w:rsidRPr="00080650" w:rsidRDefault="00080650" w:rsidP="00080650">
      <w:pPr>
        <w:pStyle w:val="ListParagraph"/>
        <w:numPr>
          <w:ilvl w:val="0"/>
          <w:numId w:val="19"/>
        </w:numPr>
        <w:spacing w:after="160" w:line="259" w:lineRule="auto"/>
        <w:rPr>
          <w:color w:val="auto"/>
        </w:rPr>
      </w:pPr>
      <w:r w:rsidRPr="00080650">
        <w:rPr>
          <w:color w:val="auto"/>
        </w:rPr>
        <w:t>Would charging in another grid and discharging in ERCOT (or vice versa) constitute a transmission or sale of electric energy in interstate commerce?</w:t>
      </w:r>
    </w:p>
    <w:p w14:paraId="3413436A" w14:textId="77777777" w:rsidR="00080650" w:rsidRPr="00080650" w:rsidRDefault="00080650" w:rsidP="00080650">
      <w:pPr>
        <w:pStyle w:val="ListParagraph"/>
        <w:numPr>
          <w:ilvl w:val="1"/>
          <w:numId w:val="22"/>
        </w:numPr>
        <w:spacing w:after="160" w:line="259" w:lineRule="auto"/>
        <w:rPr>
          <w:color w:val="auto"/>
        </w:rPr>
      </w:pPr>
      <w:r w:rsidRPr="00080650">
        <w:rPr>
          <w:color w:val="auto"/>
        </w:rPr>
        <w:t xml:space="preserve">This issue was raised, but not decided, in </w:t>
      </w:r>
      <w:r w:rsidRPr="00080650">
        <w:rPr>
          <w:i/>
          <w:iCs/>
          <w:color w:val="auto"/>
        </w:rPr>
        <w:t>Alternative Transmission, Inc.</w:t>
      </w:r>
      <w:r w:rsidRPr="00080650">
        <w:rPr>
          <w:color w:val="auto"/>
        </w:rPr>
        <w:t xml:space="preserve">, FERC Docket No. EL19-69-000. </w:t>
      </w:r>
    </w:p>
    <w:p w14:paraId="620E16B8" w14:textId="53AF4517" w:rsidR="00080650" w:rsidRPr="00080650" w:rsidRDefault="00080650" w:rsidP="00080650">
      <w:pPr>
        <w:pStyle w:val="ListParagraph"/>
        <w:numPr>
          <w:ilvl w:val="1"/>
          <w:numId w:val="22"/>
        </w:numPr>
        <w:spacing w:after="160" w:line="259" w:lineRule="auto"/>
        <w:rPr>
          <w:color w:val="auto"/>
        </w:rPr>
      </w:pPr>
      <w:r w:rsidRPr="00080650">
        <w:rPr>
          <w:color w:val="auto"/>
        </w:rPr>
        <w:t xml:space="preserve">FERC would need to clarify this through a declaratory order before ERCOT could allow any </w:t>
      </w:r>
      <w:r w:rsidR="00202ABB">
        <w:rPr>
          <w:color w:val="auto"/>
        </w:rPr>
        <w:t>SW</w:t>
      </w:r>
      <w:r w:rsidRPr="00080650">
        <w:rPr>
          <w:color w:val="auto"/>
        </w:rPr>
        <w:t>ESR to interconnect.</w:t>
      </w:r>
    </w:p>
    <w:p w14:paraId="53768AD9" w14:textId="36DAF3E2" w:rsidR="00423342" w:rsidRDefault="00423342" w:rsidP="00423342">
      <w:pPr>
        <w:pStyle w:val="ListParagraph"/>
        <w:spacing w:after="160" w:line="259" w:lineRule="auto"/>
        <w:ind w:left="1440"/>
        <w:rPr>
          <w:color w:val="auto"/>
        </w:rPr>
      </w:pPr>
    </w:p>
    <w:p w14:paraId="4B5BBF34" w14:textId="6D03547D" w:rsidR="009604B9" w:rsidRPr="009604B9" w:rsidRDefault="009604B9" w:rsidP="009604B9">
      <w:pPr>
        <w:pStyle w:val="ListParagraph"/>
        <w:numPr>
          <w:ilvl w:val="0"/>
          <w:numId w:val="19"/>
        </w:numPr>
        <w:spacing w:after="160" w:line="259" w:lineRule="auto"/>
        <w:rPr>
          <w:color w:val="auto"/>
        </w:rPr>
      </w:pPr>
      <w:r w:rsidRPr="009604B9">
        <w:rPr>
          <w:color w:val="auto"/>
        </w:rPr>
        <w:t xml:space="preserve">Any site configuration that could allow the flow of electric energy (through an AC-DC-AC interconnection or otherwise) between ERCOT and another interstate power grid without being converted by the ESR into chemical energy or another form of energy would raise a jurisdictional concern because that flow would constitute a transmission of electric energy in interstate commerce. </w:t>
      </w:r>
    </w:p>
    <w:p w14:paraId="19C3154B" w14:textId="08CB07DC" w:rsidR="009604B9" w:rsidRPr="009604B9" w:rsidRDefault="009604B9" w:rsidP="009604B9">
      <w:pPr>
        <w:pStyle w:val="ListParagraph"/>
        <w:numPr>
          <w:ilvl w:val="1"/>
          <w:numId w:val="19"/>
        </w:numPr>
        <w:spacing w:after="160" w:line="259" w:lineRule="auto"/>
        <w:rPr>
          <w:color w:val="auto"/>
        </w:rPr>
      </w:pPr>
      <w:r w:rsidRPr="009604B9">
        <w:rPr>
          <w:color w:val="auto"/>
        </w:rPr>
        <w:lastRenderedPageBreak/>
        <w:t xml:space="preserve">ERCOT rules should require that each </w:t>
      </w:r>
      <w:r w:rsidR="00202ABB">
        <w:rPr>
          <w:color w:val="auto"/>
        </w:rPr>
        <w:t>SW</w:t>
      </w:r>
      <w:r w:rsidRPr="009604B9">
        <w:rPr>
          <w:color w:val="auto"/>
        </w:rPr>
        <w:t xml:space="preserve">ESR site be configured in such a way that </w:t>
      </w:r>
    </w:p>
    <w:p w14:paraId="6C14AB32" w14:textId="77777777" w:rsidR="009604B9" w:rsidRPr="009604B9" w:rsidRDefault="009604B9" w:rsidP="009604B9">
      <w:pPr>
        <w:pStyle w:val="ListParagraph"/>
        <w:numPr>
          <w:ilvl w:val="2"/>
          <w:numId w:val="19"/>
        </w:numPr>
        <w:spacing w:after="160" w:line="259" w:lineRule="auto"/>
        <w:rPr>
          <w:color w:val="auto"/>
        </w:rPr>
      </w:pPr>
      <w:r w:rsidRPr="009604B9">
        <w:rPr>
          <w:color w:val="auto"/>
        </w:rPr>
        <w:t xml:space="preserve">the site cannot maintain a simultaneous electrical connection to ERCOT and another grid, or </w:t>
      </w:r>
    </w:p>
    <w:p w14:paraId="3951FB07" w14:textId="513C0131" w:rsidR="009604B9" w:rsidRPr="00F4284B" w:rsidRDefault="009604B9" w:rsidP="009604B9">
      <w:pPr>
        <w:pStyle w:val="ListParagraph"/>
        <w:numPr>
          <w:ilvl w:val="2"/>
          <w:numId w:val="19"/>
        </w:numPr>
        <w:spacing w:after="160" w:line="259" w:lineRule="auto"/>
        <w:rPr>
          <w:color w:val="auto"/>
        </w:rPr>
      </w:pPr>
      <w:r w:rsidRPr="009604B9">
        <w:rPr>
          <w:color w:val="auto"/>
        </w:rPr>
        <w:t xml:space="preserve">energy withdrawn by the ESR from another grid cannot be injected into </w:t>
      </w:r>
      <w:r w:rsidRPr="00F4284B">
        <w:rPr>
          <w:color w:val="auto"/>
        </w:rPr>
        <w:t>ERCOT (or vice versa) without first going through the ESR’s chemical storage medium or other energy conversion process.</w:t>
      </w:r>
    </w:p>
    <w:p w14:paraId="7B2E17AA" w14:textId="3D4F0BA4" w:rsidR="00D508E3" w:rsidRPr="00223B17" w:rsidRDefault="00D508E3" w:rsidP="009604B9">
      <w:pPr>
        <w:pStyle w:val="ListParagraph"/>
        <w:numPr>
          <w:ilvl w:val="0"/>
          <w:numId w:val="23"/>
        </w:numPr>
        <w:spacing w:after="160" w:line="259" w:lineRule="auto"/>
        <w:rPr>
          <w:color w:val="auto"/>
        </w:rPr>
      </w:pPr>
      <w:r w:rsidRPr="00223B17">
        <w:rPr>
          <w:color w:val="auto"/>
        </w:rPr>
        <w:t xml:space="preserve">This risk could also be addressed if FERC were to issue an order under Sections 210 and 211 of the Federal Power Act requiring interconnection and transmission service.  But an order may not be available in many cases due to certain conditions in the statute. </w:t>
      </w:r>
    </w:p>
    <w:p w14:paraId="6F437645" w14:textId="77777777" w:rsidR="00423342" w:rsidRPr="00223B17" w:rsidRDefault="00423342" w:rsidP="00423342">
      <w:pPr>
        <w:pStyle w:val="ListParagraph"/>
        <w:spacing w:after="160" w:line="259" w:lineRule="auto"/>
        <w:ind w:left="1440"/>
        <w:rPr>
          <w:color w:val="auto"/>
        </w:rPr>
      </w:pPr>
    </w:p>
    <w:p w14:paraId="11E93C18" w14:textId="4CDE0453" w:rsidR="00423342" w:rsidRPr="00423342" w:rsidRDefault="00423342" w:rsidP="00423342">
      <w:pPr>
        <w:pStyle w:val="ListParagraph"/>
        <w:numPr>
          <w:ilvl w:val="0"/>
          <w:numId w:val="19"/>
        </w:numPr>
        <w:spacing w:after="160" w:line="259" w:lineRule="auto"/>
        <w:rPr>
          <w:color w:val="auto"/>
        </w:rPr>
      </w:pPr>
      <w:r w:rsidRPr="00423342">
        <w:rPr>
          <w:color w:val="auto"/>
        </w:rPr>
        <w:t xml:space="preserve">Is energy consumed by a </w:t>
      </w:r>
      <w:r w:rsidR="00202ABB">
        <w:rPr>
          <w:color w:val="auto"/>
        </w:rPr>
        <w:t>SW</w:t>
      </w:r>
      <w:r w:rsidRPr="00423342">
        <w:rPr>
          <w:color w:val="auto"/>
        </w:rPr>
        <w:t>ESR eligibl</w:t>
      </w:r>
      <w:r w:rsidR="00764B2A">
        <w:rPr>
          <w:color w:val="auto"/>
        </w:rPr>
        <w:t>e</w:t>
      </w:r>
      <w:r w:rsidRPr="00423342">
        <w:rPr>
          <w:color w:val="auto"/>
        </w:rPr>
        <w:t xml:space="preserve"> for Wholesale Storage Load Treatment?</w:t>
      </w:r>
    </w:p>
    <w:p w14:paraId="3BB321DC" w14:textId="1538AEC3" w:rsidR="00423342" w:rsidRPr="00423342" w:rsidRDefault="00623490" w:rsidP="00423342">
      <w:pPr>
        <w:pStyle w:val="ListParagraph"/>
        <w:numPr>
          <w:ilvl w:val="1"/>
          <w:numId w:val="19"/>
        </w:numPr>
        <w:spacing w:after="160" w:line="259" w:lineRule="auto"/>
        <w:rPr>
          <w:color w:val="auto"/>
        </w:rPr>
      </w:pPr>
      <w:r>
        <w:rPr>
          <w:color w:val="auto"/>
        </w:rPr>
        <w:t>P</w:t>
      </w:r>
      <w:r w:rsidR="00423342" w:rsidRPr="00423342">
        <w:rPr>
          <w:color w:val="auto"/>
        </w:rPr>
        <w:t xml:space="preserve">rotocol language </w:t>
      </w:r>
      <w:r w:rsidR="00C83D98">
        <w:rPr>
          <w:color w:val="auto"/>
        </w:rPr>
        <w:t xml:space="preserve">and system changes for implementation are </w:t>
      </w:r>
      <w:r>
        <w:rPr>
          <w:color w:val="auto"/>
        </w:rPr>
        <w:t xml:space="preserve">needed </w:t>
      </w:r>
      <w:r w:rsidR="00C83D98">
        <w:rPr>
          <w:color w:val="auto"/>
        </w:rPr>
        <w:t>prior to</w:t>
      </w:r>
      <w:r w:rsidR="00423342" w:rsidRPr="00423342">
        <w:rPr>
          <w:color w:val="auto"/>
        </w:rPr>
        <w:t xml:space="preserve"> WSL treatment </w:t>
      </w:r>
      <w:r w:rsidR="00C83D98">
        <w:rPr>
          <w:color w:val="auto"/>
        </w:rPr>
        <w:t xml:space="preserve">availability </w:t>
      </w:r>
      <w:r w:rsidR="00423342" w:rsidRPr="00423342">
        <w:rPr>
          <w:color w:val="auto"/>
        </w:rPr>
        <w:t xml:space="preserve">for </w:t>
      </w:r>
      <w:r w:rsidR="00202ABB">
        <w:rPr>
          <w:color w:val="auto"/>
        </w:rPr>
        <w:t>SW</w:t>
      </w:r>
      <w:r w:rsidR="00423342" w:rsidRPr="00423342">
        <w:rPr>
          <w:color w:val="auto"/>
        </w:rPr>
        <w:t>ESRs</w:t>
      </w:r>
      <w:r w:rsidR="00C83D98">
        <w:rPr>
          <w:color w:val="auto"/>
        </w:rPr>
        <w:t xml:space="preserve"> </w:t>
      </w:r>
      <w:r w:rsidR="00093DEA">
        <w:rPr>
          <w:color w:val="auto"/>
        </w:rPr>
        <w:t xml:space="preserve">when </w:t>
      </w:r>
      <w:r w:rsidR="00C83D98">
        <w:rPr>
          <w:color w:val="auto"/>
        </w:rPr>
        <w:t xml:space="preserve">charging </w:t>
      </w:r>
      <w:r w:rsidR="00093DEA">
        <w:rPr>
          <w:color w:val="auto"/>
        </w:rPr>
        <w:t>from the ERCOT grid</w:t>
      </w:r>
      <w:r w:rsidR="00C83D98">
        <w:rPr>
          <w:color w:val="auto"/>
        </w:rPr>
        <w:t xml:space="preserve">. </w:t>
      </w:r>
    </w:p>
    <w:p w14:paraId="6226D727" w14:textId="4E2C6B73" w:rsidR="00423342" w:rsidRPr="00423342" w:rsidRDefault="00423342" w:rsidP="00423342">
      <w:pPr>
        <w:pStyle w:val="ListParagraph"/>
        <w:numPr>
          <w:ilvl w:val="1"/>
          <w:numId w:val="19"/>
        </w:numPr>
        <w:spacing w:after="160" w:line="259" w:lineRule="auto"/>
        <w:rPr>
          <w:color w:val="auto"/>
        </w:rPr>
      </w:pPr>
      <w:r w:rsidRPr="00423342">
        <w:rPr>
          <w:color w:val="auto"/>
        </w:rPr>
        <w:t xml:space="preserve">Protocol language could be developed to specify that the quantity of energy </w:t>
      </w:r>
      <w:r w:rsidR="001C2774">
        <w:rPr>
          <w:color w:val="auto"/>
        </w:rPr>
        <w:t xml:space="preserve">withdrawn from the ERCOT grid </w:t>
      </w:r>
      <w:r w:rsidR="00093DEA">
        <w:rPr>
          <w:color w:val="auto"/>
        </w:rPr>
        <w:t xml:space="preserve">that is </w:t>
      </w:r>
      <w:r w:rsidRPr="00423342">
        <w:rPr>
          <w:color w:val="auto"/>
        </w:rPr>
        <w:t>eligible for WSL treatment is limited to the quantity</w:t>
      </w:r>
      <w:r w:rsidR="00C83D98">
        <w:rPr>
          <w:color w:val="auto"/>
        </w:rPr>
        <w:t xml:space="preserve"> of energy</w:t>
      </w:r>
      <w:r w:rsidRPr="00423342">
        <w:rPr>
          <w:color w:val="auto"/>
        </w:rPr>
        <w:t xml:space="preserve"> </w:t>
      </w:r>
      <w:r w:rsidR="00C83D98">
        <w:rPr>
          <w:color w:val="auto"/>
        </w:rPr>
        <w:t>injected in</w:t>
      </w:r>
      <w:r w:rsidRPr="00423342">
        <w:rPr>
          <w:color w:val="auto"/>
        </w:rPr>
        <w:t xml:space="preserve">to the </w:t>
      </w:r>
      <w:r w:rsidRPr="00423342">
        <w:rPr>
          <w:color w:val="auto"/>
          <w:u w:val="single"/>
        </w:rPr>
        <w:t>ERCOT</w:t>
      </w:r>
      <w:r w:rsidRPr="00423342">
        <w:rPr>
          <w:color w:val="auto"/>
        </w:rPr>
        <w:t xml:space="preserve"> grid.</w:t>
      </w:r>
    </w:p>
    <w:p w14:paraId="5E66FFC9" w14:textId="72355664" w:rsidR="00F4284B" w:rsidRDefault="00423342" w:rsidP="00423342">
      <w:pPr>
        <w:pStyle w:val="ListParagraph"/>
        <w:numPr>
          <w:ilvl w:val="1"/>
          <w:numId w:val="19"/>
        </w:numPr>
        <w:spacing w:after="160" w:line="259" w:lineRule="auto"/>
        <w:rPr>
          <w:color w:val="auto"/>
        </w:rPr>
      </w:pPr>
      <w:r w:rsidRPr="00423342">
        <w:rPr>
          <w:color w:val="auto"/>
        </w:rPr>
        <w:t xml:space="preserve">System changes required </w:t>
      </w:r>
      <w:r w:rsidR="00612F82">
        <w:rPr>
          <w:color w:val="auto"/>
        </w:rPr>
        <w:t>c</w:t>
      </w:r>
      <w:r w:rsidR="001A0370">
        <w:rPr>
          <w:color w:val="auto"/>
        </w:rPr>
        <w:t xml:space="preserve">ould </w:t>
      </w:r>
      <w:r w:rsidRPr="00423342">
        <w:rPr>
          <w:color w:val="auto"/>
        </w:rPr>
        <w:t>build on the “Generation Accumulator” concept in NPRR995 (which has been approved by the ERCOT Bo</w:t>
      </w:r>
      <w:r w:rsidR="00612F82">
        <w:rPr>
          <w:color w:val="auto"/>
        </w:rPr>
        <w:t>ard</w:t>
      </w:r>
      <w:r w:rsidRPr="00423342">
        <w:rPr>
          <w:color w:val="auto"/>
        </w:rPr>
        <w:t>).</w:t>
      </w:r>
    </w:p>
    <w:p w14:paraId="0718D208" w14:textId="03401CCA" w:rsidR="00423342" w:rsidRDefault="00423342" w:rsidP="00423342">
      <w:pPr>
        <w:pStyle w:val="ListParagraph"/>
        <w:numPr>
          <w:ilvl w:val="1"/>
          <w:numId w:val="19"/>
        </w:numPr>
        <w:spacing w:after="160" w:line="259" w:lineRule="auto"/>
        <w:rPr>
          <w:color w:val="auto"/>
        </w:rPr>
      </w:pPr>
      <w:r w:rsidRPr="00423342">
        <w:rPr>
          <w:color w:val="auto"/>
        </w:rPr>
        <w:t xml:space="preserve">Additionally, </w:t>
      </w:r>
      <w:r w:rsidR="0073596C">
        <w:rPr>
          <w:color w:val="auto"/>
        </w:rPr>
        <w:t xml:space="preserve">under this approach, </w:t>
      </w:r>
      <w:r w:rsidRPr="00423342">
        <w:rPr>
          <w:color w:val="auto"/>
        </w:rPr>
        <w:t xml:space="preserve">all metering requirements and exclusions of energy consumed for thermal management of the ESR </w:t>
      </w:r>
      <w:r w:rsidR="00612F82">
        <w:rPr>
          <w:color w:val="auto"/>
        </w:rPr>
        <w:t>sh</w:t>
      </w:r>
      <w:r w:rsidR="0073596C">
        <w:rPr>
          <w:color w:val="auto"/>
        </w:rPr>
        <w:t>ould apply</w:t>
      </w:r>
      <w:r w:rsidRPr="00423342">
        <w:rPr>
          <w:color w:val="auto"/>
        </w:rPr>
        <w:t>.</w:t>
      </w:r>
    </w:p>
    <w:p w14:paraId="47BA9610" w14:textId="77777777" w:rsidR="00F4284B" w:rsidRPr="00423342" w:rsidRDefault="00F4284B" w:rsidP="00F4284B">
      <w:pPr>
        <w:pStyle w:val="ListParagraph"/>
        <w:spacing w:after="160" w:line="259" w:lineRule="auto"/>
        <w:ind w:left="1440"/>
        <w:rPr>
          <w:color w:val="auto"/>
        </w:rPr>
      </w:pPr>
    </w:p>
    <w:p w14:paraId="3827EDA7" w14:textId="2C3C9236" w:rsidR="00423342" w:rsidRPr="00423342" w:rsidRDefault="00423342" w:rsidP="00423342">
      <w:pPr>
        <w:pStyle w:val="ListParagraph"/>
        <w:spacing w:before="120" w:after="120"/>
        <w:contextualSpacing w:val="0"/>
        <w:rPr>
          <w:rFonts w:cs="Arial"/>
          <w:b/>
          <w:bCs/>
          <w:iCs/>
          <w:color w:val="auto"/>
          <w:u w:val="single"/>
        </w:rPr>
      </w:pPr>
      <w:bookmarkStart w:id="0" w:name="_Hlk85613597"/>
      <w:r w:rsidRPr="00423342">
        <w:rPr>
          <w:rFonts w:cs="Arial"/>
          <w:b/>
          <w:bCs/>
          <w:iCs/>
          <w:color w:val="auto"/>
          <w:u w:val="single"/>
        </w:rPr>
        <w:t>Settlement</w:t>
      </w:r>
      <w:r>
        <w:rPr>
          <w:rFonts w:cs="Arial"/>
          <w:b/>
          <w:bCs/>
          <w:iCs/>
          <w:color w:val="auto"/>
          <w:u w:val="single"/>
        </w:rPr>
        <w:t xml:space="preserve"> Issues</w:t>
      </w:r>
      <w:r w:rsidRPr="00423342">
        <w:rPr>
          <w:rFonts w:cs="Arial"/>
          <w:b/>
          <w:bCs/>
          <w:iCs/>
          <w:color w:val="auto"/>
          <w:u w:val="single"/>
        </w:rPr>
        <w:t xml:space="preserve"> </w:t>
      </w:r>
    </w:p>
    <w:p w14:paraId="60BFE493" w14:textId="77777777" w:rsidR="004141F8" w:rsidRPr="004141F8" w:rsidRDefault="004141F8" w:rsidP="004141F8">
      <w:pPr>
        <w:pStyle w:val="ListParagraph"/>
        <w:rPr>
          <w:rFonts w:cs="Arial"/>
          <w:iCs/>
          <w:color w:val="auto"/>
        </w:rPr>
      </w:pPr>
    </w:p>
    <w:p w14:paraId="478A94F7" w14:textId="71752A8A" w:rsidR="00645746" w:rsidRDefault="00AA3D4B" w:rsidP="00645746">
      <w:pPr>
        <w:pStyle w:val="ListParagraph"/>
        <w:numPr>
          <w:ilvl w:val="0"/>
          <w:numId w:val="19"/>
        </w:numPr>
        <w:spacing w:after="160" w:line="259" w:lineRule="auto"/>
        <w:rPr>
          <w:rFonts w:cs="Arial"/>
          <w:iCs/>
          <w:color w:val="auto"/>
        </w:rPr>
      </w:pPr>
      <w:r>
        <w:rPr>
          <w:rFonts w:cs="Arial"/>
          <w:iCs/>
          <w:color w:val="auto"/>
        </w:rPr>
        <w:t xml:space="preserve">If </w:t>
      </w:r>
      <w:r w:rsidR="00D508E3">
        <w:rPr>
          <w:rFonts w:cs="Arial"/>
          <w:iCs/>
          <w:color w:val="auto"/>
        </w:rPr>
        <w:t>a SW</w:t>
      </w:r>
      <w:r w:rsidR="00612F82">
        <w:rPr>
          <w:rFonts w:cs="Arial"/>
          <w:iCs/>
          <w:color w:val="auto"/>
        </w:rPr>
        <w:t>ESR</w:t>
      </w:r>
      <w:r>
        <w:rPr>
          <w:rFonts w:cs="Arial"/>
          <w:iCs/>
          <w:color w:val="auto"/>
        </w:rPr>
        <w:t xml:space="preserve"> is </w:t>
      </w:r>
      <w:r w:rsidR="00612F82">
        <w:rPr>
          <w:rFonts w:cs="Arial"/>
          <w:iCs/>
          <w:color w:val="auto"/>
        </w:rPr>
        <w:t>directed to switch to ERCOT from a non-ERCOT Control Area,</w:t>
      </w:r>
      <w:r>
        <w:rPr>
          <w:rFonts w:cs="Arial"/>
          <w:iCs/>
          <w:color w:val="auto"/>
        </w:rPr>
        <w:t xml:space="preserve"> the QSE for the</w:t>
      </w:r>
      <w:r w:rsidR="00645746">
        <w:rPr>
          <w:rFonts w:cs="Arial"/>
          <w:iCs/>
          <w:color w:val="auto"/>
        </w:rPr>
        <w:t xml:space="preserve"> SWESR </w:t>
      </w:r>
      <w:r>
        <w:rPr>
          <w:rFonts w:cs="Arial"/>
          <w:iCs/>
          <w:color w:val="auto"/>
        </w:rPr>
        <w:t xml:space="preserve">should be eligible </w:t>
      </w:r>
      <w:r w:rsidR="00645746">
        <w:rPr>
          <w:rFonts w:cs="Arial"/>
          <w:iCs/>
          <w:color w:val="auto"/>
        </w:rPr>
        <w:t xml:space="preserve">for electricity costs incurred to charge the ESR to comply with the switch instruction, regardless of where </w:t>
      </w:r>
      <w:r w:rsidR="00634708">
        <w:rPr>
          <w:rFonts w:cs="Arial"/>
          <w:iCs/>
          <w:color w:val="auto"/>
        </w:rPr>
        <w:t xml:space="preserve">(non-ERCOT control area or at ERCOT control area) </w:t>
      </w:r>
      <w:r w:rsidR="00645746">
        <w:rPr>
          <w:rFonts w:cs="Arial"/>
          <w:iCs/>
          <w:color w:val="auto"/>
        </w:rPr>
        <w:t>the ESR charged.</w:t>
      </w:r>
    </w:p>
    <w:p w14:paraId="442E5930" w14:textId="77777777" w:rsidR="004141F8" w:rsidRDefault="004141F8" w:rsidP="004141F8">
      <w:pPr>
        <w:pStyle w:val="ListParagraph"/>
        <w:spacing w:after="160" w:line="259" w:lineRule="auto"/>
        <w:rPr>
          <w:rFonts w:cs="Arial"/>
          <w:iCs/>
          <w:color w:val="auto"/>
        </w:rPr>
      </w:pPr>
    </w:p>
    <w:p w14:paraId="469B46C8" w14:textId="4E257820" w:rsidR="00645746" w:rsidRDefault="00BC37FE" w:rsidP="00645746">
      <w:pPr>
        <w:pStyle w:val="ListParagraph"/>
        <w:numPr>
          <w:ilvl w:val="0"/>
          <w:numId w:val="19"/>
        </w:numPr>
        <w:spacing w:after="160" w:line="259" w:lineRule="auto"/>
        <w:rPr>
          <w:rFonts w:cs="Arial"/>
          <w:iCs/>
          <w:color w:val="auto"/>
        </w:rPr>
      </w:pPr>
      <w:r>
        <w:rPr>
          <w:rFonts w:cs="Arial"/>
          <w:iCs/>
          <w:color w:val="auto"/>
        </w:rPr>
        <w:t xml:space="preserve">The switchable cost guarantee for SWESRs </w:t>
      </w:r>
      <w:r w:rsidR="00AA3D4B">
        <w:rPr>
          <w:rFonts w:cs="Arial"/>
          <w:iCs/>
          <w:color w:val="auto"/>
        </w:rPr>
        <w:t xml:space="preserve">should </w:t>
      </w:r>
      <w:r>
        <w:rPr>
          <w:rFonts w:cs="Arial"/>
          <w:iCs/>
          <w:color w:val="auto"/>
        </w:rPr>
        <w:t xml:space="preserve">not include Startup </w:t>
      </w:r>
      <w:r w:rsidR="00612F82">
        <w:rPr>
          <w:rFonts w:cs="Arial"/>
          <w:iCs/>
          <w:color w:val="auto"/>
        </w:rPr>
        <w:t xml:space="preserve">or </w:t>
      </w:r>
      <w:r>
        <w:rPr>
          <w:rFonts w:cs="Arial"/>
          <w:iCs/>
          <w:color w:val="auto"/>
        </w:rPr>
        <w:t>minimum energy costs</w:t>
      </w:r>
      <w:r w:rsidR="00223B17">
        <w:rPr>
          <w:rFonts w:cs="Arial"/>
          <w:iCs/>
          <w:color w:val="auto"/>
        </w:rPr>
        <w:t>.</w:t>
      </w:r>
      <w:r>
        <w:rPr>
          <w:rFonts w:cs="Arial"/>
          <w:iCs/>
          <w:color w:val="auto"/>
        </w:rPr>
        <w:t xml:space="preserve"> </w:t>
      </w:r>
    </w:p>
    <w:p w14:paraId="780582D9" w14:textId="77777777" w:rsidR="004141F8" w:rsidRPr="004141F8" w:rsidRDefault="004141F8" w:rsidP="004141F8">
      <w:pPr>
        <w:pStyle w:val="ListParagraph"/>
        <w:rPr>
          <w:rFonts w:cs="Arial"/>
          <w:iCs/>
          <w:color w:val="auto"/>
        </w:rPr>
      </w:pPr>
    </w:p>
    <w:p w14:paraId="2558FE75" w14:textId="4E74A2BA" w:rsidR="0034515A" w:rsidRPr="0034515A" w:rsidRDefault="00645746" w:rsidP="0034515A">
      <w:pPr>
        <w:pStyle w:val="ListParagraph"/>
        <w:numPr>
          <w:ilvl w:val="0"/>
          <w:numId w:val="19"/>
        </w:numPr>
        <w:spacing w:after="160" w:line="259" w:lineRule="auto"/>
        <w:rPr>
          <w:rFonts w:cs="Arial"/>
          <w:iCs/>
          <w:color w:val="auto"/>
        </w:rPr>
      </w:pPr>
      <w:r w:rsidRPr="0034515A">
        <w:rPr>
          <w:rFonts w:cs="Arial"/>
          <w:iCs/>
          <w:color w:val="auto"/>
        </w:rPr>
        <w:t xml:space="preserve"> </w:t>
      </w:r>
      <w:r w:rsidR="00D508E3">
        <w:rPr>
          <w:rFonts w:cs="Arial"/>
          <w:iCs/>
          <w:color w:val="auto"/>
        </w:rPr>
        <w:t xml:space="preserve">The </w:t>
      </w:r>
      <w:r w:rsidRPr="0034515A">
        <w:rPr>
          <w:rFonts w:cs="Arial"/>
          <w:iCs/>
          <w:color w:val="auto"/>
        </w:rPr>
        <w:t xml:space="preserve">SWESR </w:t>
      </w:r>
      <w:r w:rsidR="00612F82">
        <w:rPr>
          <w:rFonts w:cs="Arial"/>
          <w:iCs/>
          <w:color w:val="auto"/>
        </w:rPr>
        <w:t>sh</w:t>
      </w:r>
      <w:r w:rsidR="00764B2A">
        <w:rPr>
          <w:rFonts w:cs="Arial"/>
          <w:iCs/>
          <w:color w:val="auto"/>
        </w:rPr>
        <w:t>ould</w:t>
      </w:r>
      <w:r w:rsidR="00764B2A" w:rsidRPr="0034515A">
        <w:rPr>
          <w:rFonts w:cs="Arial"/>
          <w:iCs/>
          <w:color w:val="auto"/>
        </w:rPr>
        <w:t xml:space="preserve"> </w:t>
      </w:r>
      <w:r w:rsidR="0034515A" w:rsidRPr="0034515A">
        <w:rPr>
          <w:rFonts w:cs="Arial"/>
          <w:iCs/>
          <w:color w:val="auto"/>
        </w:rPr>
        <w:t xml:space="preserve">be made whole to </w:t>
      </w:r>
      <w:r w:rsidR="00081BF8">
        <w:rPr>
          <w:rFonts w:cs="Arial"/>
          <w:iCs/>
          <w:color w:val="auto"/>
        </w:rPr>
        <w:t xml:space="preserve">approved </w:t>
      </w:r>
      <w:r w:rsidR="0034515A" w:rsidRPr="0034515A">
        <w:rPr>
          <w:rFonts w:cs="Arial"/>
          <w:iCs/>
          <w:color w:val="auto"/>
        </w:rPr>
        <w:t>switchable cost</w:t>
      </w:r>
      <w:r w:rsidR="00BC37FE">
        <w:rPr>
          <w:rFonts w:cs="Arial"/>
          <w:iCs/>
          <w:color w:val="auto"/>
        </w:rPr>
        <w:t>s</w:t>
      </w:r>
      <w:r w:rsidR="0034515A" w:rsidRPr="0034515A">
        <w:rPr>
          <w:rFonts w:cs="Arial"/>
          <w:iCs/>
          <w:color w:val="auto"/>
        </w:rPr>
        <w:t xml:space="preserve"> </w:t>
      </w:r>
      <w:r w:rsidR="00BC37FE">
        <w:rPr>
          <w:rFonts w:cs="Arial"/>
          <w:iCs/>
          <w:color w:val="auto"/>
        </w:rPr>
        <w:t>a</w:t>
      </w:r>
      <w:r w:rsidR="0034515A" w:rsidRPr="0034515A">
        <w:rPr>
          <w:rFonts w:cs="Arial"/>
          <w:iCs/>
          <w:color w:val="auto"/>
        </w:rPr>
        <w:t xml:space="preserve">bove ERCOT calculated Real-Time revenues, similar to SWGRs. </w:t>
      </w:r>
    </w:p>
    <w:bookmarkEnd w:id="0"/>
    <w:p w14:paraId="180305D1" w14:textId="77777777" w:rsidR="009604A8" w:rsidRPr="00080650" w:rsidRDefault="009604A8" w:rsidP="009604A8">
      <w:pPr>
        <w:pStyle w:val="Heading1"/>
        <w:ind w:left="360" w:hanging="360"/>
        <w:rPr>
          <w:rFonts w:ascii="Arial" w:hAnsi="Arial" w:cs="Arial"/>
          <w:i/>
          <w:sz w:val="22"/>
          <w:szCs w:val="22"/>
        </w:rPr>
      </w:pPr>
    </w:p>
    <w:p w14:paraId="4702E949" w14:textId="77777777" w:rsidR="009604A8" w:rsidRPr="00073E79" w:rsidRDefault="009604A8" w:rsidP="009604A8">
      <w:pPr>
        <w:pStyle w:val="Heading1"/>
        <w:ind w:left="360" w:hanging="360"/>
        <w:rPr>
          <w:rFonts w:ascii="Arial" w:hAnsi="Arial" w:cs="Arial"/>
          <w:i/>
          <w:sz w:val="22"/>
          <w:szCs w:val="22"/>
        </w:rPr>
      </w:pPr>
      <w:r w:rsidRPr="00073E79">
        <w:rPr>
          <w:rFonts w:ascii="Arial" w:hAnsi="Arial" w:cs="Arial"/>
          <w:i/>
          <w:sz w:val="22"/>
          <w:szCs w:val="22"/>
        </w:rPr>
        <w:t xml:space="preserve">Key Topic/Concept recommendation Language Previously </w:t>
      </w:r>
      <w:r>
        <w:rPr>
          <w:rFonts w:ascii="Arial" w:hAnsi="Arial" w:cs="Arial"/>
          <w:i/>
          <w:sz w:val="22"/>
          <w:szCs w:val="22"/>
        </w:rPr>
        <w:t>APProved</w:t>
      </w:r>
      <w:r w:rsidRPr="00073E79">
        <w:rPr>
          <w:rFonts w:ascii="Arial" w:hAnsi="Arial" w:cs="Arial"/>
          <w:i/>
          <w:sz w:val="22"/>
          <w:szCs w:val="22"/>
        </w:rPr>
        <w:t xml:space="preserve"> by tac</w:t>
      </w:r>
    </w:p>
    <w:p w14:paraId="231A0D73" w14:textId="77777777" w:rsidR="00D05BB9" w:rsidRPr="00073E79" w:rsidRDefault="00D05BB9" w:rsidP="00073E79">
      <w:pPr>
        <w:pStyle w:val="ListParagraph"/>
        <w:spacing w:before="120" w:after="120"/>
        <w:ind w:left="0"/>
        <w:contextualSpacing w:val="0"/>
        <w:rPr>
          <w:rFonts w:cs="Arial"/>
          <w:iCs/>
          <w:color w:val="auto"/>
        </w:rPr>
      </w:pPr>
    </w:p>
    <w:p w14:paraId="3982AD59" w14:textId="1D4965B6" w:rsidR="0031655A"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w:t>
      </w:r>
      <w:r w:rsidR="00E854CC">
        <w:rPr>
          <w:rFonts w:ascii="Arial" w:hAnsi="Arial" w:cs="Arial"/>
          <w:i/>
          <w:sz w:val="22"/>
          <w:szCs w:val="22"/>
        </w:rPr>
        <w:t>ROS and WMS</w:t>
      </w:r>
    </w:p>
    <w:p w14:paraId="65410E7D" w14:textId="77777777" w:rsidR="000743DC" w:rsidRDefault="000743DC" w:rsidP="000743DC">
      <w:pPr>
        <w:pStyle w:val="ListParagraph"/>
        <w:spacing w:before="120" w:after="120"/>
        <w:ind w:left="0"/>
        <w:contextualSpacing w:val="0"/>
        <w:rPr>
          <w:rFonts w:cs="Arial"/>
          <w:iCs/>
          <w:color w:val="auto"/>
        </w:rPr>
      </w:pPr>
      <w:r>
        <w:rPr>
          <w:rFonts w:cs="Arial"/>
          <w:iCs/>
          <w:color w:val="auto"/>
        </w:rPr>
        <w:t>None.</w:t>
      </w:r>
    </w:p>
    <w:p w14:paraId="0BD5C57A" w14:textId="77777777" w:rsidR="009604A8" w:rsidRDefault="009604A8" w:rsidP="000743DC">
      <w:pPr>
        <w:pStyle w:val="ListParagraph"/>
        <w:spacing w:before="120" w:after="120"/>
        <w:ind w:left="0"/>
        <w:contextualSpacing w:val="0"/>
        <w:rPr>
          <w:rFonts w:cs="Arial"/>
          <w:iCs/>
          <w:color w:val="auto"/>
        </w:rPr>
      </w:pPr>
    </w:p>
    <w:p w14:paraId="23059AA9"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290B07DC" w14:textId="77777777" w:rsidR="00BE67D9" w:rsidRPr="000743DC" w:rsidRDefault="00514E96" w:rsidP="0010171E">
      <w:pPr>
        <w:spacing w:before="120" w:after="120"/>
        <w:rPr>
          <w:rFonts w:cs="Arial"/>
          <w:iCs/>
        </w:rPr>
      </w:pPr>
      <w:r w:rsidRPr="0010171E">
        <w:rPr>
          <w:rFonts w:ascii="Arial" w:hAnsi="Arial" w:cs="Arial"/>
          <w:iCs/>
        </w:rPr>
        <w:t>None</w:t>
      </w:r>
      <w:r w:rsidRPr="000743DC">
        <w:rPr>
          <w:rFonts w:cs="Arial"/>
          <w:iCs/>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2D73778F" w14:textId="77777777" w:rsidTr="0050618E">
        <w:trPr>
          <w:cantSplit/>
          <w:trHeight w:val="432"/>
        </w:trPr>
        <w:tc>
          <w:tcPr>
            <w:tcW w:w="2880" w:type="dxa"/>
            <w:shd w:val="clear" w:color="auto" w:fill="FFFFFF"/>
            <w:vAlign w:val="center"/>
          </w:tcPr>
          <w:p w14:paraId="27393A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59925118" w14:textId="77777777" w:rsidR="004A490A" w:rsidRDefault="004A490A" w:rsidP="0050618E">
            <w:pPr>
              <w:pStyle w:val="NormalArial"/>
            </w:pPr>
          </w:p>
          <w:p w14:paraId="5D3DF882" w14:textId="77777777" w:rsidR="004A490A" w:rsidRDefault="004A490A" w:rsidP="00383B4E">
            <w:pPr>
              <w:pStyle w:val="NormalArial"/>
            </w:pPr>
          </w:p>
        </w:tc>
      </w:tr>
      <w:tr w:rsidR="004A490A" w14:paraId="65628151" w14:textId="77777777" w:rsidTr="00273AE9">
        <w:trPr>
          <w:cantSplit/>
          <w:trHeight w:val="782"/>
        </w:trPr>
        <w:tc>
          <w:tcPr>
            <w:tcW w:w="2880" w:type="dxa"/>
            <w:shd w:val="clear" w:color="auto" w:fill="FFFFFF"/>
            <w:vAlign w:val="center"/>
          </w:tcPr>
          <w:p w14:paraId="41BE64BE"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402BA4EA" w14:textId="77777777" w:rsidR="004A490A" w:rsidRPr="00D1439B" w:rsidRDefault="004A490A" w:rsidP="00BC7ACB">
            <w:pPr>
              <w:pStyle w:val="NormalArial"/>
              <w:rPr>
                <w:color w:val="FF0000"/>
              </w:rPr>
            </w:pPr>
          </w:p>
        </w:tc>
      </w:tr>
    </w:tbl>
    <w:p w14:paraId="0F07F83D" w14:textId="5A27C47F" w:rsidR="00B15817" w:rsidRDefault="00B15817" w:rsidP="00BC2D06"/>
    <w:p w14:paraId="76687269" w14:textId="48762ED8" w:rsidR="002F3F01" w:rsidRDefault="002F3F01">
      <w:r>
        <w:br w:type="page"/>
      </w:r>
    </w:p>
    <w:p w14:paraId="78EFDEB8" w14:textId="77777777" w:rsidR="00E44C4C" w:rsidRDefault="00E44C4C" w:rsidP="00BC2D06"/>
    <w:p w14:paraId="5BD26979" w14:textId="148F9B38" w:rsidR="00E854CC" w:rsidRPr="002F3F01" w:rsidRDefault="00E854CC" w:rsidP="00BC2D06">
      <w:pPr>
        <w:rPr>
          <w:u w:val="single"/>
        </w:rPr>
      </w:pPr>
      <w:r w:rsidRPr="002F3F01">
        <w:rPr>
          <w:u w:val="single"/>
        </w:rPr>
        <w:t>Append</w:t>
      </w:r>
      <w:r w:rsidR="009A51BA" w:rsidRPr="002F3F01">
        <w:rPr>
          <w:u w:val="single"/>
        </w:rPr>
        <w:t>ix:</w:t>
      </w:r>
    </w:p>
    <w:p w14:paraId="644260FA" w14:textId="25403946" w:rsidR="00E44C4C" w:rsidRDefault="00E44C4C" w:rsidP="00BC2D06"/>
    <w:p w14:paraId="2BE1F2CB" w14:textId="162C30B6" w:rsidR="002F3F01" w:rsidRDefault="002F3F01" w:rsidP="00BC2D06"/>
    <w:p w14:paraId="38557D3A" w14:textId="4D717FD5" w:rsidR="002F3F01" w:rsidRDefault="002F3F01" w:rsidP="00BC2D06">
      <w:r>
        <w:t>Figure 1:  One Inverter Configuration</w:t>
      </w:r>
    </w:p>
    <w:p w14:paraId="4E8C8695" w14:textId="341C5483" w:rsidR="00E44C4C" w:rsidRDefault="00A15962" w:rsidP="00BC2D06">
      <w:r w:rsidRPr="00A15962">
        <w:rPr>
          <w:noProof/>
        </w:rPr>
        <w:drawing>
          <wp:inline distT="0" distB="0" distL="0" distR="0" wp14:anchorId="3DE2EECC" wp14:editId="13D165DC">
            <wp:extent cx="6141493" cy="46061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6274" cy="4632206"/>
                    </a:xfrm>
                    <a:prstGeom prst="rect">
                      <a:avLst/>
                    </a:prstGeom>
                  </pic:spPr>
                </pic:pic>
              </a:graphicData>
            </a:graphic>
          </wp:inline>
        </w:drawing>
      </w:r>
    </w:p>
    <w:p w14:paraId="5C768768" w14:textId="4A3585EF" w:rsidR="009A51BA" w:rsidRDefault="009A51BA" w:rsidP="00BC2D06"/>
    <w:p w14:paraId="026003E9" w14:textId="66835A6B" w:rsidR="009A51BA" w:rsidRDefault="009A51BA" w:rsidP="00BC2D06"/>
    <w:p w14:paraId="5830A9B0" w14:textId="1641F987" w:rsidR="002F3F01" w:rsidRDefault="002F3F01">
      <w:r>
        <w:br w:type="page"/>
      </w:r>
    </w:p>
    <w:p w14:paraId="7C0E8023" w14:textId="66B1F37A" w:rsidR="00E44C4C" w:rsidRDefault="002F3F01" w:rsidP="00BC2D06">
      <w:r>
        <w:lastRenderedPageBreak/>
        <w:t>Figure 2:  Two Inverter Configuration</w:t>
      </w:r>
      <w:r w:rsidR="00E96D5F">
        <w:t>: (</w:t>
      </w:r>
      <w:r>
        <w:t>This Configuration is “out of scope” and not allowed.)</w:t>
      </w:r>
    </w:p>
    <w:p w14:paraId="10917F29" w14:textId="38C80BEE" w:rsidR="00E44C4C" w:rsidRDefault="00E44C4C" w:rsidP="00BC2D06"/>
    <w:p w14:paraId="6D7E809A" w14:textId="5DEDEA4D" w:rsidR="00E44C4C" w:rsidRDefault="00E44C4C" w:rsidP="00BC2D06">
      <w:r w:rsidRPr="00E44C4C">
        <w:rPr>
          <w:noProof/>
        </w:rPr>
        <w:drawing>
          <wp:inline distT="0" distB="0" distL="0" distR="0" wp14:anchorId="0B427F97" wp14:editId="5EA46D65">
            <wp:extent cx="6353033" cy="476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4446" cy="4788335"/>
                    </a:xfrm>
                    <a:prstGeom prst="rect">
                      <a:avLst/>
                    </a:prstGeom>
                  </pic:spPr>
                </pic:pic>
              </a:graphicData>
            </a:graphic>
          </wp:inline>
        </w:drawing>
      </w:r>
    </w:p>
    <w:sectPr w:rsidR="00E44C4C">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DBDFF" w14:textId="77777777" w:rsidR="00271451" w:rsidRDefault="00271451">
      <w:r>
        <w:separator/>
      </w:r>
    </w:p>
  </w:endnote>
  <w:endnote w:type="continuationSeparator" w:id="0">
    <w:p w14:paraId="79A511E4" w14:textId="77777777" w:rsidR="00271451" w:rsidRDefault="0027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C3E9" w14:textId="77777777" w:rsidR="0064770B" w:rsidRPr="00412DCA" w:rsidRDefault="006477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C435" w14:textId="6CAFB1B5" w:rsidR="0064770B" w:rsidRDefault="0064770B">
    <w:pPr>
      <w:pStyle w:val="Footer"/>
      <w:tabs>
        <w:tab w:val="clear" w:pos="4320"/>
        <w:tab w:val="clear" w:pos="8640"/>
        <w:tab w:val="right" w:pos="9360"/>
      </w:tabs>
      <w:rPr>
        <w:rFonts w:ascii="Arial" w:hAnsi="Arial" w:cs="Arial"/>
        <w:sz w:val="18"/>
      </w:rPr>
    </w:pPr>
    <w:r>
      <w:rPr>
        <w:rFonts w:ascii="Arial" w:hAnsi="Arial" w:cs="Arial"/>
        <w:sz w:val="18"/>
      </w:rPr>
      <w:t>KTC 15.3 (Draft for Discussion at 10-25-21 WMWG Meeting</w:t>
    </w:r>
    <w:r w:rsidR="00223B17">
      <w:rPr>
        <w:rFonts w:ascii="Arial" w:hAnsi="Arial" w:cs="Arial"/>
        <w:sz w:val="18"/>
      </w:rPr>
      <w:t xml:space="preserve">)  Posted 10-22-21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3DED9A2" w14:textId="77777777" w:rsidR="0064770B" w:rsidRPr="00412DCA" w:rsidRDefault="0064770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BD62" w14:textId="77777777" w:rsidR="0064770B" w:rsidRPr="00412DCA" w:rsidRDefault="006477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E0AE" w14:textId="77777777" w:rsidR="00271451" w:rsidRDefault="00271451">
      <w:r>
        <w:separator/>
      </w:r>
    </w:p>
  </w:footnote>
  <w:footnote w:type="continuationSeparator" w:id="0">
    <w:p w14:paraId="7CD2D639" w14:textId="77777777" w:rsidR="00271451" w:rsidRDefault="0027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121D" w14:textId="77777777" w:rsidR="0064770B" w:rsidRDefault="0064770B"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46F589F"/>
    <w:multiLevelType w:val="hybridMultilevel"/>
    <w:tmpl w:val="08AE715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8E0EA1"/>
    <w:multiLevelType w:val="hybridMultilevel"/>
    <w:tmpl w:val="7EF29CC4"/>
    <w:lvl w:ilvl="0" w:tplc="8B6AD54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47B0F"/>
    <w:multiLevelType w:val="hybridMultilevel"/>
    <w:tmpl w:val="61046642"/>
    <w:lvl w:ilvl="0" w:tplc="492A2BFA">
      <w:start w:val="1"/>
      <w:numFmt w:val="bullet"/>
      <w:lvlText w:val="•"/>
      <w:lvlJc w:val="left"/>
      <w:pPr>
        <w:tabs>
          <w:tab w:val="num" w:pos="720"/>
        </w:tabs>
        <w:ind w:left="720" w:hanging="360"/>
      </w:pPr>
      <w:rPr>
        <w:rFonts w:ascii="Arial" w:hAnsi="Arial" w:hint="default"/>
      </w:rPr>
    </w:lvl>
    <w:lvl w:ilvl="1" w:tplc="630C2D42">
      <w:start w:val="1"/>
      <w:numFmt w:val="bullet"/>
      <w:lvlText w:val="•"/>
      <w:lvlJc w:val="left"/>
      <w:pPr>
        <w:tabs>
          <w:tab w:val="num" w:pos="1440"/>
        </w:tabs>
        <w:ind w:left="1440" w:hanging="360"/>
      </w:pPr>
      <w:rPr>
        <w:rFonts w:ascii="Arial" w:hAnsi="Arial" w:hint="default"/>
      </w:rPr>
    </w:lvl>
    <w:lvl w:ilvl="2" w:tplc="8FF63594" w:tentative="1">
      <w:start w:val="1"/>
      <w:numFmt w:val="bullet"/>
      <w:lvlText w:val="•"/>
      <w:lvlJc w:val="left"/>
      <w:pPr>
        <w:tabs>
          <w:tab w:val="num" w:pos="2160"/>
        </w:tabs>
        <w:ind w:left="2160" w:hanging="360"/>
      </w:pPr>
      <w:rPr>
        <w:rFonts w:ascii="Arial" w:hAnsi="Arial" w:hint="default"/>
      </w:rPr>
    </w:lvl>
    <w:lvl w:ilvl="3" w:tplc="FEE0872A" w:tentative="1">
      <w:start w:val="1"/>
      <w:numFmt w:val="bullet"/>
      <w:lvlText w:val="•"/>
      <w:lvlJc w:val="left"/>
      <w:pPr>
        <w:tabs>
          <w:tab w:val="num" w:pos="2880"/>
        </w:tabs>
        <w:ind w:left="2880" w:hanging="360"/>
      </w:pPr>
      <w:rPr>
        <w:rFonts w:ascii="Arial" w:hAnsi="Arial" w:hint="default"/>
      </w:rPr>
    </w:lvl>
    <w:lvl w:ilvl="4" w:tplc="DD8CD4C4" w:tentative="1">
      <w:start w:val="1"/>
      <w:numFmt w:val="bullet"/>
      <w:lvlText w:val="•"/>
      <w:lvlJc w:val="left"/>
      <w:pPr>
        <w:tabs>
          <w:tab w:val="num" w:pos="3600"/>
        </w:tabs>
        <w:ind w:left="3600" w:hanging="360"/>
      </w:pPr>
      <w:rPr>
        <w:rFonts w:ascii="Arial" w:hAnsi="Arial" w:hint="default"/>
      </w:rPr>
    </w:lvl>
    <w:lvl w:ilvl="5" w:tplc="E8128E74" w:tentative="1">
      <w:start w:val="1"/>
      <w:numFmt w:val="bullet"/>
      <w:lvlText w:val="•"/>
      <w:lvlJc w:val="left"/>
      <w:pPr>
        <w:tabs>
          <w:tab w:val="num" w:pos="4320"/>
        </w:tabs>
        <w:ind w:left="4320" w:hanging="360"/>
      </w:pPr>
      <w:rPr>
        <w:rFonts w:ascii="Arial" w:hAnsi="Arial" w:hint="default"/>
      </w:rPr>
    </w:lvl>
    <w:lvl w:ilvl="6" w:tplc="A2AAF2C6" w:tentative="1">
      <w:start w:val="1"/>
      <w:numFmt w:val="bullet"/>
      <w:lvlText w:val="•"/>
      <w:lvlJc w:val="left"/>
      <w:pPr>
        <w:tabs>
          <w:tab w:val="num" w:pos="5040"/>
        </w:tabs>
        <w:ind w:left="5040" w:hanging="360"/>
      </w:pPr>
      <w:rPr>
        <w:rFonts w:ascii="Arial" w:hAnsi="Arial" w:hint="default"/>
      </w:rPr>
    </w:lvl>
    <w:lvl w:ilvl="7" w:tplc="3CD87844" w:tentative="1">
      <w:start w:val="1"/>
      <w:numFmt w:val="bullet"/>
      <w:lvlText w:val="•"/>
      <w:lvlJc w:val="left"/>
      <w:pPr>
        <w:tabs>
          <w:tab w:val="num" w:pos="5760"/>
        </w:tabs>
        <w:ind w:left="5760" w:hanging="360"/>
      </w:pPr>
      <w:rPr>
        <w:rFonts w:ascii="Arial" w:hAnsi="Arial" w:hint="default"/>
      </w:rPr>
    </w:lvl>
    <w:lvl w:ilvl="8" w:tplc="6EA091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BB0"/>
    <w:multiLevelType w:val="hybridMultilevel"/>
    <w:tmpl w:val="007E2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831CD"/>
    <w:multiLevelType w:val="hybridMultilevel"/>
    <w:tmpl w:val="D14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81F1F"/>
    <w:multiLevelType w:val="hybridMultilevel"/>
    <w:tmpl w:val="3BB4C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63B5F"/>
    <w:multiLevelType w:val="hybridMultilevel"/>
    <w:tmpl w:val="DA50C4F6"/>
    <w:lvl w:ilvl="0" w:tplc="A74A48C4">
      <w:start w:val="1"/>
      <w:numFmt w:val="bullet"/>
      <w:lvlText w:val=""/>
      <w:lvlJc w:val="left"/>
      <w:pPr>
        <w:tabs>
          <w:tab w:val="num" w:pos="720"/>
        </w:tabs>
        <w:ind w:left="720" w:hanging="360"/>
      </w:pPr>
      <w:rPr>
        <w:rFonts w:ascii="Wingdings" w:hAnsi="Wingdings" w:hint="default"/>
      </w:rPr>
    </w:lvl>
    <w:lvl w:ilvl="1" w:tplc="F4004A8E" w:tentative="1">
      <w:start w:val="1"/>
      <w:numFmt w:val="bullet"/>
      <w:lvlText w:val=""/>
      <w:lvlJc w:val="left"/>
      <w:pPr>
        <w:tabs>
          <w:tab w:val="num" w:pos="1440"/>
        </w:tabs>
        <w:ind w:left="1440" w:hanging="360"/>
      </w:pPr>
      <w:rPr>
        <w:rFonts w:ascii="Wingdings" w:hAnsi="Wingdings" w:hint="default"/>
      </w:rPr>
    </w:lvl>
    <w:lvl w:ilvl="2" w:tplc="7D9AE038">
      <w:start w:val="1"/>
      <w:numFmt w:val="bullet"/>
      <w:lvlText w:val=""/>
      <w:lvlJc w:val="left"/>
      <w:pPr>
        <w:tabs>
          <w:tab w:val="num" w:pos="2160"/>
        </w:tabs>
        <w:ind w:left="2160" w:hanging="360"/>
      </w:pPr>
      <w:rPr>
        <w:rFonts w:ascii="Wingdings" w:hAnsi="Wingdings" w:hint="default"/>
      </w:rPr>
    </w:lvl>
    <w:lvl w:ilvl="3" w:tplc="5B2638B0" w:tentative="1">
      <w:start w:val="1"/>
      <w:numFmt w:val="bullet"/>
      <w:lvlText w:val=""/>
      <w:lvlJc w:val="left"/>
      <w:pPr>
        <w:tabs>
          <w:tab w:val="num" w:pos="2880"/>
        </w:tabs>
        <w:ind w:left="2880" w:hanging="360"/>
      </w:pPr>
      <w:rPr>
        <w:rFonts w:ascii="Wingdings" w:hAnsi="Wingdings" w:hint="default"/>
      </w:rPr>
    </w:lvl>
    <w:lvl w:ilvl="4" w:tplc="3BC6894E" w:tentative="1">
      <w:start w:val="1"/>
      <w:numFmt w:val="bullet"/>
      <w:lvlText w:val=""/>
      <w:lvlJc w:val="left"/>
      <w:pPr>
        <w:tabs>
          <w:tab w:val="num" w:pos="3600"/>
        </w:tabs>
        <w:ind w:left="3600" w:hanging="360"/>
      </w:pPr>
      <w:rPr>
        <w:rFonts w:ascii="Wingdings" w:hAnsi="Wingdings" w:hint="default"/>
      </w:rPr>
    </w:lvl>
    <w:lvl w:ilvl="5" w:tplc="FD66FBD0" w:tentative="1">
      <w:start w:val="1"/>
      <w:numFmt w:val="bullet"/>
      <w:lvlText w:val=""/>
      <w:lvlJc w:val="left"/>
      <w:pPr>
        <w:tabs>
          <w:tab w:val="num" w:pos="4320"/>
        </w:tabs>
        <w:ind w:left="4320" w:hanging="360"/>
      </w:pPr>
      <w:rPr>
        <w:rFonts w:ascii="Wingdings" w:hAnsi="Wingdings" w:hint="default"/>
      </w:rPr>
    </w:lvl>
    <w:lvl w:ilvl="6" w:tplc="DD525510" w:tentative="1">
      <w:start w:val="1"/>
      <w:numFmt w:val="bullet"/>
      <w:lvlText w:val=""/>
      <w:lvlJc w:val="left"/>
      <w:pPr>
        <w:tabs>
          <w:tab w:val="num" w:pos="5040"/>
        </w:tabs>
        <w:ind w:left="5040" w:hanging="360"/>
      </w:pPr>
      <w:rPr>
        <w:rFonts w:ascii="Wingdings" w:hAnsi="Wingdings" w:hint="default"/>
      </w:rPr>
    </w:lvl>
    <w:lvl w:ilvl="7" w:tplc="B5FAA91A" w:tentative="1">
      <w:start w:val="1"/>
      <w:numFmt w:val="bullet"/>
      <w:lvlText w:val=""/>
      <w:lvlJc w:val="left"/>
      <w:pPr>
        <w:tabs>
          <w:tab w:val="num" w:pos="5760"/>
        </w:tabs>
        <w:ind w:left="5760" w:hanging="360"/>
      </w:pPr>
      <w:rPr>
        <w:rFonts w:ascii="Wingdings" w:hAnsi="Wingdings" w:hint="default"/>
      </w:rPr>
    </w:lvl>
    <w:lvl w:ilvl="8" w:tplc="E90285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33145"/>
    <w:multiLevelType w:val="hybridMultilevel"/>
    <w:tmpl w:val="ADF62976"/>
    <w:lvl w:ilvl="0" w:tplc="F11EAC60">
      <w:start w:val="1"/>
      <w:numFmt w:val="bullet"/>
      <w:lvlText w:val="•"/>
      <w:lvlJc w:val="left"/>
      <w:pPr>
        <w:tabs>
          <w:tab w:val="num" w:pos="720"/>
        </w:tabs>
        <w:ind w:left="720" w:hanging="360"/>
      </w:pPr>
      <w:rPr>
        <w:rFonts w:ascii="Arial" w:hAnsi="Arial" w:hint="default"/>
      </w:rPr>
    </w:lvl>
    <w:lvl w:ilvl="1" w:tplc="7F04583C">
      <w:start w:val="1"/>
      <w:numFmt w:val="bullet"/>
      <w:lvlText w:val="•"/>
      <w:lvlJc w:val="left"/>
      <w:pPr>
        <w:tabs>
          <w:tab w:val="num" w:pos="1440"/>
        </w:tabs>
        <w:ind w:left="1440" w:hanging="360"/>
      </w:pPr>
      <w:rPr>
        <w:rFonts w:ascii="Arial" w:hAnsi="Arial" w:hint="default"/>
      </w:rPr>
    </w:lvl>
    <w:lvl w:ilvl="2" w:tplc="836EA454" w:tentative="1">
      <w:start w:val="1"/>
      <w:numFmt w:val="bullet"/>
      <w:lvlText w:val="•"/>
      <w:lvlJc w:val="left"/>
      <w:pPr>
        <w:tabs>
          <w:tab w:val="num" w:pos="2160"/>
        </w:tabs>
        <w:ind w:left="2160" w:hanging="360"/>
      </w:pPr>
      <w:rPr>
        <w:rFonts w:ascii="Arial" w:hAnsi="Arial" w:hint="default"/>
      </w:rPr>
    </w:lvl>
    <w:lvl w:ilvl="3" w:tplc="ADF63318" w:tentative="1">
      <w:start w:val="1"/>
      <w:numFmt w:val="bullet"/>
      <w:lvlText w:val="•"/>
      <w:lvlJc w:val="left"/>
      <w:pPr>
        <w:tabs>
          <w:tab w:val="num" w:pos="2880"/>
        </w:tabs>
        <w:ind w:left="2880" w:hanging="360"/>
      </w:pPr>
      <w:rPr>
        <w:rFonts w:ascii="Arial" w:hAnsi="Arial" w:hint="default"/>
      </w:rPr>
    </w:lvl>
    <w:lvl w:ilvl="4" w:tplc="9C6EA33C" w:tentative="1">
      <w:start w:val="1"/>
      <w:numFmt w:val="bullet"/>
      <w:lvlText w:val="•"/>
      <w:lvlJc w:val="left"/>
      <w:pPr>
        <w:tabs>
          <w:tab w:val="num" w:pos="3600"/>
        </w:tabs>
        <w:ind w:left="3600" w:hanging="360"/>
      </w:pPr>
      <w:rPr>
        <w:rFonts w:ascii="Arial" w:hAnsi="Arial" w:hint="default"/>
      </w:rPr>
    </w:lvl>
    <w:lvl w:ilvl="5" w:tplc="DED0879A" w:tentative="1">
      <w:start w:val="1"/>
      <w:numFmt w:val="bullet"/>
      <w:lvlText w:val="•"/>
      <w:lvlJc w:val="left"/>
      <w:pPr>
        <w:tabs>
          <w:tab w:val="num" w:pos="4320"/>
        </w:tabs>
        <w:ind w:left="4320" w:hanging="360"/>
      </w:pPr>
      <w:rPr>
        <w:rFonts w:ascii="Arial" w:hAnsi="Arial" w:hint="default"/>
      </w:rPr>
    </w:lvl>
    <w:lvl w:ilvl="6" w:tplc="997E23B0" w:tentative="1">
      <w:start w:val="1"/>
      <w:numFmt w:val="bullet"/>
      <w:lvlText w:val="•"/>
      <w:lvlJc w:val="left"/>
      <w:pPr>
        <w:tabs>
          <w:tab w:val="num" w:pos="5040"/>
        </w:tabs>
        <w:ind w:left="5040" w:hanging="360"/>
      </w:pPr>
      <w:rPr>
        <w:rFonts w:ascii="Arial" w:hAnsi="Arial" w:hint="default"/>
      </w:rPr>
    </w:lvl>
    <w:lvl w:ilvl="7" w:tplc="9960811E" w:tentative="1">
      <w:start w:val="1"/>
      <w:numFmt w:val="bullet"/>
      <w:lvlText w:val="•"/>
      <w:lvlJc w:val="left"/>
      <w:pPr>
        <w:tabs>
          <w:tab w:val="num" w:pos="5760"/>
        </w:tabs>
        <w:ind w:left="5760" w:hanging="360"/>
      </w:pPr>
      <w:rPr>
        <w:rFonts w:ascii="Arial" w:hAnsi="Arial" w:hint="default"/>
      </w:rPr>
    </w:lvl>
    <w:lvl w:ilvl="8" w:tplc="F522AC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463C86"/>
    <w:multiLevelType w:val="hybridMultilevel"/>
    <w:tmpl w:val="2A205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7405F"/>
    <w:multiLevelType w:val="hybridMultilevel"/>
    <w:tmpl w:val="FACAD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845AD"/>
    <w:multiLevelType w:val="hybridMultilevel"/>
    <w:tmpl w:val="A6AA6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648FA"/>
    <w:multiLevelType w:val="hybridMultilevel"/>
    <w:tmpl w:val="D06079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1F2755"/>
    <w:multiLevelType w:val="hybridMultilevel"/>
    <w:tmpl w:val="F920F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C1F60"/>
    <w:multiLevelType w:val="hybridMultilevel"/>
    <w:tmpl w:val="D3DE6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75A51"/>
    <w:multiLevelType w:val="hybridMultilevel"/>
    <w:tmpl w:val="1CDC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D3516F"/>
    <w:multiLevelType w:val="hybridMultilevel"/>
    <w:tmpl w:val="AC1427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27CBD"/>
    <w:multiLevelType w:val="hybridMultilevel"/>
    <w:tmpl w:val="5DF03E74"/>
    <w:lvl w:ilvl="0" w:tplc="7452D2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554A2"/>
    <w:multiLevelType w:val="hybridMultilevel"/>
    <w:tmpl w:val="693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42718"/>
    <w:multiLevelType w:val="hybridMultilevel"/>
    <w:tmpl w:val="029ECEAE"/>
    <w:lvl w:ilvl="0" w:tplc="7FA8CD7A">
      <w:start w:val="1"/>
      <w:numFmt w:val="bullet"/>
      <w:lvlText w:val="•"/>
      <w:lvlJc w:val="left"/>
      <w:pPr>
        <w:tabs>
          <w:tab w:val="num" w:pos="720"/>
        </w:tabs>
        <w:ind w:left="720" w:hanging="360"/>
      </w:pPr>
      <w:rPr>
        <w:rFonts w:ascii="Arial" w:hAnsi="Arial" w:hint="default"/>
      </w:rPr>
    </w:lvl>
    <w:lvl w:ilvl="1" w:tplc="36FA7C50">
      <w:start w:val="178"/>
      <w:numFmt w:val="bullet"/>
      <w:lvlText w:val="–"/>
      <w:lvlJc w:val="left"/>
      <w:pPr>
        <w:tabs>
          <w:tab w:val="num" w:pos="1440"/>
        </w:tabs>
        <w:ind w:left="1440" w:hanging="360"/>
      </w:pPr>
      <w:rPr>
        <w:rFonts w:ascii="Arial" w:hAnsi="Arial" w:hint="default"/>
      </w:rPr>
    </w:lvl>
    <w:lvl w:ilvl="2" w:tplc="AAEE1182" w:tentative="1">
      <w:start w:val="1"/>
      <w:numFmt w:val="bullet"/>
      <w:lvlText w:val="•"/>
      <w:lvlJc w:val="left"/>
      <w:pPr>
        <w:tabs>
          <w:tab w:val="num" w:pos="2160"/>
        </w:tabs>
        <w:ind w:left="2160" w:hanging="360"/>
      </w:pPr>
      <w:rPr>
        <w:rFonts w:ascii="Arial" w:hAnsi="Arial" w:hint="default"/>
      </w:rPr>
    </w:lvl>
    <w:lvl w:ilvl="3" w:tplc="FA24FD38" w:tentative="1">
      <w:start w:val="1"/>
      <w:numFmt w:val="bullet"/>
      <w:lvlText w:val="•"/>
      <w:lvlJc w:val="left"/>
      <w:pPr>
        <w:tabs>
          <w:tab w:val="num" w:pos="2880"/>
        </w:tabs>
        <w:ind w:left="2880" w:hanging="360"/>
      </w:pPr>
      <w:rPr>
        <w:rFonts w:ascii="Arial" w:hAnsi="Arial" w:hint="default"/>
      </w:rPr>
    </w:lvl>
    <w:lvl w:ilvl="4" w:tplc="DFD24008" w:tentative="1">
      <w:start w:val="1"/>
      <w:numFmt w:val="bullet"/>
      <w:lvlText w:val="•"/>
      <w:lvlJc w:val="left"/>
      <w:pPr>
        <w:tabs>
          <w:tab w:val="num" w:pos="3600"/>
        </w:tabs>
        <w:ind w:left="3600" w:hanging="360"/>
      </w:pPr>
      <w:rPr>
        <w:rFonts w:ascii="Arial" w:hAnsi="Arial" w:hint="default"/>
      </w:rPr>
    </w:lvl>
    <w:lvl w:ilvl="5" w:tplc="07CEDA18" w:tentative="1">
      <w:start w:val="1"/>
      <w:numFmt w:val="bullet"/>
      <w:lvlText w:val="•"/>
      <w:lvlJc w:val="left"/>
      <w:pPr>
        <w:tabs>
          <w:tab w:val="num" w:pos="4320"/>
        </w:tabs>
        <w:ind w:left="4320" w:hanging="360"/>
      </w:pPr>
      <w:rPr>
        <w:rFonts w:ascii="Arial" w:hAnsi="Arial" w:hint="default"/>
      </w:rPr>
    </w:lvl>
    <w:lvl w:ilvl="6" w:tplc="5378AABC" w:tentative="1">
      <w:start w:val="1"/>
      <w:numFmt w:val="bullet"/>
      <w:lvlText w:val="•"/>
      <w:lvlJc w:val="left"/>
      <w:pPr>
        <w:tabs>
          <w:tab w:val="num" w:pos="5040"/>
        </w:tabs>
        <w:ind w:left="5040" w:hanging="360"/>
      </w:pPr>
      <w:rPr>
        <w:rFonts w:ascii="Arial" w:hAnsi="Arial" w:hint="default"/>
      </w:rPr>
    </w:lvl>
    <w:lvl w:ilvl="7" w:tplc="817615C8" w:tentative="1">
      <w:start w:val="1"/>
      <w:numFmt w:val="bullet"/>
      <w:lvlText w:val="•"/>
      <w:lvlJc w:val="left"/>
      <w:pPr>
        <w:tabs>
          <w:tab w:val="num" w:pos="5760"/>
        </w:tabs>
        <w:ind w:left="5760" w:hanging="360"/>
      </w:pPr>
      <w:rPr>
        <w:rFonts w:ascii="Arial" w:hAnsi="Arial" w:hint="default"/>
      </w:rPr>
    </w:lvl>
    <w:lvl w:ilvl="8" w:tplc="F9A833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0D1EB3"/>
    <w:multiLevelType w:val="hybridMultilevel"/>
    <w:tmpl w:val="F2C4CC20"/>
    <w:lvl w:ilvl="0" w:tplc="0409000F">
      <w:start w:val="1"/>
      <w:numFmt w:val="decimal"/>
      <w:lvlText w:val="%1."/>
      <w:lvlJc w:val="left"/>
      <w:pPr>
        <w:ind w:left="720" w:hanging="360"/>
      </w:pPr>
      <w:rPr>
        <w:rFonts w:hint="default"/>
      </w:rPr>
    </w:lvl>
    <w:lvl w:ilvl="1" w:tplc="DE9220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0"/>
  </w:num>
  <w:num w:numId="3">
    <w:abstractNumId w:val="4"/>
  </w:num>
  <w:num w:numId="4">
    <w:abstractNumId w:val="12"/>
  </w:num>
  <w:num w:numId="5">
    <w:abstractNumId w:val="21"/>
  </w:num>
  <w:num w:numId="6">
    <w:abstractNumId w:val="19"/>
  </w:num>
  <w:num w:numId="7">
    <w:abstractNumId w:val="20"/>
  </w:num>
  <w:num w:numId="8">
    <w:abstractNumId w:val="7"/>
  </w:num>
  <w:num w:numId="9">
    <w:abstractNumId w:val="15"/>
  </w:num>
  <w:num w:numId="10">
    <w:abstractNumId w:val="16"/>
  </w:num>
  <w:num w:numId="11">
    <w:abstractNumId w:val="8"/>
  </w:num>
  <w:num w:numId="12">
    <w:abstractNumId w:val="10"/>
  </w:num>
  <w:num w:numId="13">
    <w:abstractNumId w:val="6"/>
  </w:num>
  <w:num w:numId="14">
    <w:abstractNumId w:val="11"/>
  </w:num>
  <w:num w:numId="15">
    <w:abstractNumId w:val="5"/>
  </w:num>
  <w:num w:numId="16">
    <w:abstractNumId w:val="13"/>
  </w:num>
  <w:num w:numId="17">
    <w:abstractNumId w:val="1"/>
  </w:num>
  <w:num w:numId="18">
    <w:abstractNumId w:val="14"/>
  </w:num>
  <w:num w:numId="19">
    <w:abstractNumId w:val="17"/>
  </w:num>
  <w:num w:numId="20">
    <w:abstractNumId w:val="9"/>
  </w:num>
  <w:num w:numId="21">
    <w:abstractNumId w:val="3"/>
  </w:num>
  <w:num w:numId="22">
    <w:abstractNumId w:val="2"/>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3C1"/>
    <w:rsid w:val="00002043"/>
    <w:rsid w:val="0000233D"/>
    <w:rsid w:val="000044F4"/>
    <w:rsid w:val="00006711"/>
    <w:rsid w:val="00016A32"/>
    <w:rsid w:val="000173B2"/>
    <w:rsid w:val="00017417"/>
    <w:rsid w:val="00032100"/>
    <w:rsid w:val="00035E25"/>
    <w:rsid w:val="00036EC5"/>
    <w:rsid w:val="00037288"/>
    <w:rsid w:val="00041793"/>
    <w:rsid w:val="00042BC7"/>
    <w:rsid w:val="00050616"/>
    <w:rsid w:val="0005511D"/>
    <w:rsid w:val="000556F3"/>
    <w:rsid w:val="00060A5A"/>
    <w:rsid w:val="000629A5"/>
    <w:rsid w:val="000646B0"/>
    <w:rsid w:val="00064B44"/>
    <w:rsid w:val="00067219"/>
    <w:rsid w:val="00067FE2"/>
    <w:rsid w:val="000730E5"/>
    <w:rsid w:val="00073E79"/>
    <w:rsid w:val="000743DC"/>
    <w:rsid w:val="0007682E"/>
    <w:rsid w:val="00080650"/>
    <w:rsid w:val="0008084B"/>
    <w:rsid w:val="00081BF8"/>
    <w:rsid w:val="00083364"/>
    <w:rsid w:val="000849FF"/>
    <w:rsid w:val="0008593B"/>
    <w:rsid w:val="0009111B"/>
    <w:rsid w:val="00093DEA"/>
    <w:rsid w:val="000A1E1B"/>
    <w:rsid w:val="000B4575"/>
    <w:rsid w:val="000B586B"/>
    <w:rsid w:val="000B691A"/>
    <w:rsid w:val="000C232B"/>
    <w:rsid w:val="000D09D1"/>
    <w:rsid w:val="000D0BDF"/>
    <w:rsid w:val="000D1AEB"/>
    <w:rsid w:val="000D3E64"/>
    <w:rsid w:val="000F13C5"/>
    <w:rsid w:val="000F3BC2"/>
    <w:rsid w:val="000F464E"/>
    <w:rsid w:val="000F5AB7"/>
    <w:rsid w:val="0010122B"/>
    <w:rsid w:val="0010171E"/>
    <w:rsid w:val="001029B7"/>
    <w:rsid w:val="00105A36"/>
    <w:rsid w:val="00105C3D"/>
    <w:rsid w:val="00107D6A"/>
    <w:rsid w:val="001168E0"/>
    <w:rsid w:val="001313B4"/>
    <w:rsid w:val="00134367"/>
    <w:rsid w:val="0014546D"/>
    <w:rsid w:val="0014561B"/>
    <w:rsid w:val="001500D9"/>
    <w:rsid w:val="001507C7"/>
    <w:rsid w:val="00155C47"/>
    <w:rsid w:val="00156DB7"/>
    <w:rsid w:val="00157228"/>
    <w:rsid w:val="00160C3C"/>
    <w:rsid w:val="00161490"/>
    <w:rsid w:val="0016203C"/>
    <w:rsid w:val="001724BE"/>
    <w:rsid w:val="00172A98"/>
    <w:rsid w:val="00174C84"/>
    <w:rsid w:val="0017783C"/>
    <w:rsid w:val="0018159C"/>
    <w:rsid w:val="00186771"/>
    <w:rsid w:val="0019314C"/>
    <w:rsid w:val="001A0370"/>
    <w:rsid w:val="001A7A9B"/>
    <w:rsid w:val="001B3C1D"/>
    <w:rsid w:val="001B47E3"/>
    <w:rsid w:val="001B67E6"/>
    <w:rsid w:val="001B6827"/>
    <w:rsid w:val="001C1790"/>
    <w:rsid w:val="001C23AA"/>
    <w:rsid w:val="001C2774"/>
    <w:rsid w:val="001C2B1C"/>
    <w:rsid w:val="001C4FAB"/>
    <w:rsid w:val="001C575C"/>
    <w:rsid w:val="001C6C4E"/>
    <w:rsid w:val="001E15A0"/>
    <w:rsid w:val="001E44C8"/>
    <w:rsid w:val="001E5EB4"/>
    <w:rsid w:val="001E6C1F"/>
    <w:rsid w:val="001F2A7E"/>
    <w:rsid w:val="001F38F0"/>
    <w:rsid w:val="001F3E90"/>
    <w:rsid w:val="00202ABB"/>
    <w:rsid w:val="00210802"/>
    <w:rsid w:val="00215DF8"/>
    <w:rsid w:val="00222679"/>
    <w:rsid w:val="00223B17"/>
    <w:rsid w:val="00236BB2"/>
    <w:rsid w:val="00237426"/>
    <w:rsid w:val="00237430"/>
    <w:rsid w:val="00242AA1"/>
    <w:rsid w:val="00243D17"/>
    <w:rsid w:val="0025413A"/>
    <w:rsid w:val="00263AC9"/>
    <w:rsid w:val="00271451"/>
    <w:rsid w:val="002716F2"/>
    <w:rsid w:val="00273AE9"/>
    <w:rsid w:val="002762FB"/>
    <w:rsid w:val="00276A99"/>
    <w:rsid w:val="00284E7E"/>
    <w:rsid w:val="00286AD9"/>
    <w:rsid w:val="00290376"/>
    <w:rsid w:val="00292AC2"/>
    <w:rsid w:val="00293403"/>
    <w:rsid w:val="002966F3"/>
    <w:rsid w:val="002A4DD6"/>
    <w:rsid w:val="002A7ACE"/>
    <w:rsid w:val="002B21FF"/>
    <w:rsid w:val="002B27E4"/>
    <w:rsid w:val="002B5DD7"/>
    <w:rsid w:val="002B62BF"/>
    <w:rsid w:val="002B69F3"/>
    <w:rsid w:val="002B763A"/>
    <w:rsid w:val="002C0AE6"/>
    <w:rsid w:val="002C4A50"/>
    <w:rsid w:val="002D382A"/>
    <w:rsid w:val="002D4395"/>
    <w:rsid w:val="002E106A"/>
    <w:rsid w:val="002E4BE8"/>
    <w:rsid w:val="002E4FC9"/>
    <w:rsid w:val="002E72C9"/>
    <w:rsid w:val="002F1EDD"/>
    <w:rsid w:val="002F3F01"/>
    <w:rsid w:val="0030064A"/>
    <w:rsid w:val="003013F2"/>
    <w:rsid w:val="0030232A"/>
    <w:rsid w:val="00302C16"/>
    <w:rsid w:val="0030694A"/>
    <w:rsid w:val="003069F4"/>
    <w:rsid w:val="003103B4"/>
    <w:rsid w:val="00310954"/>
    <w:rsid w:val="00312789"/>
    <w:rsid w:val="0031655A"/>
    <w:rsid w:val="00325A5A"/>
    <w:rsid w:val="00331E71"/>
    <w:rsid w:val="003419ED"/>
    <w:rsid w:val="0034515A"/>
    <w:rsid w:val="0035063F"/>
    <w:rsid w:val="00353267"/>
    <w:rsid w:val="00360920"/>
    <w:rsid w:val="00363D6D"/>
    <w:rsid w:val="0036537E"/>
    <w:rsid w:val="0037360A"/>
    <w:rsid w:val="003742F5"/>
    <w:rsid w:val="00383B4E"/>
    <w:rsid w:val="00384709"/>
    <w:rsid w:val="00386C35"/>
    <w:rsid w:val="00386E28"/>
    <w:rsid w:val="0038717E"/>
    <w:rsid w:val="00397E45"/>
    <w:rsid w:val="003A3BD3"/>
    <w:rsid w:val="003A3D77"/>
    <w:rsid w:val="003A496A"/>
    <w:rsid w:val="003B4E19"/>
    <w:rsid w:val="003B578F"/>
    <w:rsid w:val="003B5AED"/>
    <w:rsid w:val="003B7F6A"/>
    <w:rsid w:val="003C6B7B"/>
    <w:rsid w:val="003E54CA"/>
    <w:rsid w:val="00403E6B"/>
    <w:rsid w:val="00404698"/>
    <w:rsid w:val="0040588D"/>
    <w:rsid w:val="004135BD"/>
    <w:rsid w:val="004141F8"/>
    <w:rsid w:val="00421767"/>
    <w:rsid w:val="00422077"/>
    <w:rsid w:val="00422571"/>
    <w:rsid w:val="00423342"/>
    <w:rsid w:val="0042743C"/>
    <w:rsid w:val="00427C6E"/>
    <w:rsid w:val="004302A4"/>
    <w:rsid w:val="00431F26"/>
    <w:rsid w:val="00444CFA"/>
    <w:rsid w:val="004463BA"/>
    <w:rsid w:val="0045031C"/>
    <w:rsid w:val="0045690E"/>
    <w:rsid w:val="00457D66"/>
    <w:rsid w:val="00467BAA"/>
    <w:rsid w:val="0047515C"/>
    <w:rsid w:val="00480563"/>
    <w:rsid w:val="004822D4"/>
    <w:rsid w:val="0049290B"/>
    <w:rsid w:val="004A0BBF"/>
    <w:rsid w:val="004A4451"/>
    <w:rsid w:val="004A490A"/>
    <w:rsid w:val="004B174C"/>
    <w:rsid w:val="004C0CB3"/>
    <w:rsid w:val="004C511A"/>
    <w:rsid w:val="004C5A57"/>
    <w:rsid w:val="004D3958"/>
    <w:rsid w:val="004E5BD7"/>
    <w:rsid w:val="004E7434"/>
    <w:rsid w:val="004F1207"/>
    <w:rsid w:val="005008DF"/>
    <w:rsid w:val="0050435C"/>
    <w:rsid w:val="005045D0"/>
    <w:rsid w:val="0050618E"/>
    <w:rsid w:val="0051245F"/>
    <w:rsid w:val="005126B0"/>
    <w:rsid w:val="00512CED"/>
    <w:rsid w:val="00514E96"/>
    <w:rsid w:val="0052049A"/>
    <w:rsid w:val="00520C4C"/>
    <w:rsid w:val="00521342"/>
    <w:rsid w:val="005224EF"/>
    <w:rsid w:val="00524C3E"/>
    <w:rsid w:val="00534C6C"/>
    <w:rsid w:val="005442F3"/>
    <w:rsid w:val="0056001D"/>
    <w:rsid w:val="005639FC"/>
    <w:rsid w:val="00573610"/>
    <w:rsid w:val="0057433C"/>
    <w:rsid w:val="005750F8"/>
    <w:rsid w:val="00576B47"/>
    <w:rsid w:val="005841C0"/>
    <w:rsid w:val="005858B5"/>
    <w:rsid w:val="00586936"/>
    <w:rsid w:val="0059260F"/>
    <w:rsid w:val="00593B5D"/>
    <w:rsid w:val="00596109"/>
    <w:rsid w:val="00596D50"/>
    <w:rsid w:val="00596D9F"/>
    <w:rsid w:val="005A2268"/>
    <w:rsid w:val="005A29B0"/>
    <w:rsid w:val="005A5D6E"/>
    <w:rsid w:val="005B1F3A"/>
    <w:rsid w:val="005B6B3D"/>
    <w:rsid w:val="005C21BC"/>
    <w:rsid w:val="005D242D"/>
    <w:rsid w:val="005D4AA7"/>
    <w:rsid w:val="005E11FA"/>
    <w:rsid w:val="005E4778"/>
    <w:rsid w:val="005E5074"/>
    <w:rsid w:val="005E712E"/>
    <w:rsid w:val="005E77AF"/>
    <w:rsid w:val="005F7D05"/>
    <w:rsid w:val="00601DD8"/>
    <w:rsid w:val="00602E52"/>
    <w:rsid w:val="00612E4F"/>
    <w:rsid w:val="00612F82"/>
    <w:rsid w:val="00615D5E"/>
    <w:rsid w:val="00622C9C"/>
    <w:rsid w:val="00622E99"/>
    <w:rsid w:val="00623490"/>
    <w:rsid w:val="006236AB"/>
    <w:rsid w:val="00623C97"/>
    <w:rsid w:val="00624F7F"/>
    <w:rsid w:val="00625E5D"/>
    <w:rsid w:val="006274DA"/>
    <w:rsid w:val="00627A4E"/>
    <w:rsid w:val="00627F3F"/>
    <w:rsid w:val="00634708"/>
    <w:rsid w:val="006347D8"/>
    <w:rsid w:val="006369B2"/>
    <w:rsid w:val="00637F4C"/>
    <w:rsid w:val="00641012"/>
    <w:rsid w:val="00644923"/>
    <w:rsid w:val="00645746"/>
    <w:rsid w:val="00645F3F"/>
    <w:rsid w:val="0064770B"/>
    <w:rsid w:val="00650843"/>
    <w:rsid w:val="006601C2"/>
    <w:rsid w:val="0066370F"/>
    <w:rsid w:val="00675E78"/>
    <w:rsid w:val="006819E0"/>
    <w:rsid w:val="00682CB6"/>
    <w:rsid w:val="00683711"/>
    <w:rsid w:val="006843CE"/>
    <w:rsid w:val="00685CC4"/>
    <w:rsid w:val="00697778"/>
    <w:rsid w:val="006A0784"/>
    <w:rsid w:val="006A0EC3"/>
    <w:rsid w:val="006A697B"/>
    <w:rsid w:val="006A7BA3"/>
    <w:rsid w:val="006B035E"/>
    <w:rsid w:val="006B4DDE"/>
    <w:rsid w:val="006C03AE"/>
    <w:rsid w:val="006C2B15"/>
    <w:rsid w:val="006C3F68"/>
    <w:rsid w:val="006C4EE0"/>
    <w:rsid w:val="006C55AF"/>
    <w:rsid w:val="006D282E"/>
    <w:rsid w:val="006D6028"/>
    <w:rsid w:val="006D62C2"/>
    <w:rsid w:val="006E37BE"/>
    <w:rsid w:val="006E450B"/>
    <w:rsid w:val="006E5141"/>
    <w:rsid w:val="006F0498"/>
    <w:rsid w:val="006F105E"/>
    <w:rsid w:val="006F4B16"/>
    <w:rsid w:val="006F7DA4"/>
    <w:rsid w:val="00700035"/>
    <w:rsid w:val="007166DE"/>
    <w:rsid w:val="0071683C"/>
    <w:rsid w:val="007208A1"/>
    <w:rsid w:val="00724158"/>
    <w:rsid w:val="007334AB"/>
    <w:rsid w:val="00734721"/>
    <w:rsid w:val="0073596C"/>
    <w:rsid w:val="007367E2"/>
    <w:rsid w:val="00741314"/>
    <w:rsid w:val="00743968"/>
    <w:rsid w:val="00755849"/>
    <w:rsid w:val="00764B2A"/>
    <w:rsid w:val="00765A16"/>
    <w:rsid w:val="00782371"/>
    <w:rsid w:val="007852B1"/>
    <w:rsid w:val="00785415"/>
    <w:rsid w:val="007854F5"/>
    <w:rsid w:val="0079116E"/>
    <w:rsid w:val="00791CB9"/>
    <w:rsid w:val="00793130"/>
    <w:rsid w:val="00794B59"/>
    <w:rsid w:val="007A230B"/>
    <w:rsid w:val="007A453E"/>
    <w:rsid w:val="007A626C"/>
    <w:rsid w:val="007B3233"/>
    <w:rsid w:val="007B3F82"/>
    <w:rsid w:val="007B4DCB"/>
    <w:rsid w:val="007B5A42"/>
    <w:rsid w:val="007C199B"/>
    <w:rsid w:val="007C2764"/>
    <w:rsid w:val="007C388D"/>
    <w:rsid w:val="007D3073"/>
    <w:rsid w:val="007D4909"/>
    <w:rsid w:val="007D64B9"/>
    <w:rsid w:val="007D72D4"/>
    <w:rsid w:val="007E0452"/>
    <w:rsid w:val="007E3C76"/>
    <w:rsid w:val="007F147C"/>
    <w:rsid w:val="007F3611"/>
    <w:rsid w:val="00800D69"/>
    <w:rsid w:val="008070C0"/>
    <w:rsid w:val="00807E0E"/>
    <w:rsid w:val="008101BE"/>
    <w:rsid w:val="00811C12"/>
    <w:rsid w:val="008135B6"/>
    <w:rsid w:val="0082104D"/>
    <w:rsid w:val="00823417"/>
    <w:rsid w:val="00832B89"/>
    <w:rsid w:val="00842BDB"/>
    <w:rsid w:val="00845778"/>
    <w:rsid w:val="008513F0"/>
    <w:rsid w:val="00872DE2"/>
    <w:rsid w:val="0088226F"/>
    <w:rsid w:val="00884B6C"/>
    <w:rsid w:val="00885C9D"/>
    <w:rsid w:val="0088730E"/>
    <w:rsid w:val="00887E28"/>
    <w:rsid w:val="0089171F"/>
    <w:rsid w:val="0089307E"/>
    <w:rsid w:val="008A11D0"/>
    <w:rsid w:val="008A167A"/>
    <w:rsid w:val="008B2FAA"/>
    <w:rsid w:val="008C0A99"/>
    <w:rsid w:val="008D5C3A"/>
    <w:rsid w:val="008D701E"/>
    <w:rsid w:val="008D7B10"/>
    <w:rsid w:val="008E5AE0"/>
    <w:rsid w:val="008E6CCE"/>
    <w:rsid w:val="008E6DA2"/>
    <w:rsid w:val="008F23F8"/>
    <w:rsid w:val="008F727F"/>
    <w:rsid w:val="00902222"/>
    <w:rsid w:val="00905691"/>
    <w:rsid w:val="00907B1E"/>
    <w:rsid w:val="00914574"/>
    <w:rsid w:val="00917057"/>
    <w:rsid w:val="009179F6"/>
    <w:rsid w:val="0092393A"/>
    <w:rsid w:val="00927785"/>
    <w:rsid w:val="009342DC"/>
    <w:rsid w:val="00937652"/>
    <w:rsid w:val="00943AFD"/>
    <w:rsid w:val="0094541A"/>
    <w:rsid w:val="00957573"/>
    <w:rsid w:val="009604A8"/>
    <w:rsid w:val="009604B9"/>
    <w:rsid w:val="00961879"/>
    <w:rsid w:val="00963A51"/>
    <w:rsid w:val="009700A1"/>
    <w:rsid w:val="009731C9"/>
    <w:rsid w:val="00974D41"/>
    <w:rsid w:val="00975F6C"/>
    <w:rsid w:val="009777EB"/>
    <w:rsid w:val="00982AE9"/>
    <w:rsid w:val="00983B6E"/>
    <w:rsid w:val="009936F8"/>
    <w:rsid w:val="00994434"/>
    <w:rsid w:val="00996BB5"/>
    <w:rsid w:val="009A3772"/>
    <w:rsid w:val="009A379E"/>
    <w:rsid w:val="009A51BA"/>
    <w:rsid w:val="009A5393"/>
    <w:rsid w:val="009B590D"/>
    <w:rsid w:val="009C0863"/>
    <w:rsid w:val="009C190C"/>
    <w:rsid w:val="009D0B1D"/>
    <w:rsid w:val="009D17F0"/>
    <w:rsid w:val="009E0E5E"/>
    <w:rsid w:val="009E3C91"/>
    <w:rsid w:val="00A05934"/>
    <w:rsid w:val="00A112E9"/>
    <w:rsid w:val="00A11595"/>
    <w:rsid w:val="00A13170"/>
    <w:rsid w:val="00A15962"/>
    <w:rsid w:val="00A20E77"/>
    <w:rsid w:val="00A212BC"/>
    <w:rsid w:val="00A223D8"/>
    <w:rsid w:val="00A22659"/>
    <w:rsid w:val="00A309B4"/>
    <w:rsid w:val="00A320B1"/>
    <w:rsid w:val="00A42796"/>
    <w:rsid w:val="00A5311D"/>
    <w:rsid w:val="00A53345"/>
    <w:rsid w:val="00A65FBF"/>
    <w:rsid w:val="00A70665"/>
    <w:rsid w:val="00A842FD"/>
    <w:rsid w:val="00A84487"/>
    <w:rsid w:val="00A95272"/>
    <w:rsid w:val="00AA0C79"/>
    <w:rsid w:val="00AA3D4B"/>
    <w:rsid w:val="00AA521F"/>
    <w:rsid w:val="00AA5DC4"/>
    <w:rsid w:val="00AA739F"/>
    <w:rsid w:val="00AB6C7A"/>
    <w:rsid w:val="00AC71E0"/>
    <w:rsid w:val="00AD11DC"/>
    <w:rsid w:val="00AD2323"/>
    <w:rsid w:val="00AD3B58"/>
    <w:rsid w:val="00AE23FC"/>
    <w:rsid w:val="00AF1DCF"/>
    <w:rsid w:val="00AF56C6"/>
    <w:rsid w:val="00B00B00"/>
    <w:rsid w:val="00B021C2"/>
    <w:rsid w:val="00B032E8"/>
    <w:rsid w:val="00B15817"/>
    <w:rsid w:val="00B17B62"/>
    <w:rsid w:val="00B220DF"/>
    <w:rsid w:val="00B23D8E"/>
    <w:rsid w:val="00B26B72"/>
    <w:rsid w:val="00B3562F"/>
    <w:rsid w:val="00B356C8"/>
    <w:rsid w:val="00B379B0"/>
    <w:rsid w:val="00B51470"/>
    <w:rsid w:val="00B5476B"/>
    <w:rsid w:val="00B549A7"/>
    <w:rsid w:val="00B554E9"/>
    <w:rsid w:val="00B57F96"/>
    <w:rsid w:val="00B66B91"/>
    <w:rsid w:val="00B67892"/>
    <w:rsid w:val="00B72787"/>
    <w:rsid w:val="00B732F2"/>
    <w:rsid w:val="00B73E40"/>
    <w:rsid w:val="00B7441D"/>
    <w:rsid w:val="00B758D7"/>
    <w:rsid w:val="00B80ECC"/>
    <w:rsid w:val="00B815FD"/>
    <w:rsid w:val="00B85148"/>
    <w:rsid w:val="00B86EC4"/>
    <w:rsid w:val="00B90C7C"/>
    <w:rsid w:val="00BA4D33"/>
    <w:rsid w:val="00BB715A"/>
    <w:rsid w:val="00BC2D06"/>
    <w:rsid w:val="00BC3662"/>
    <w:rsid w:val="00BC37FE"/>
    <w:rsid w:val="00BC597C"/>
    <w:rsid w:val="00BC7ACB"/>
    <w:rsid w:val="00BD42E7"/>
    <w:rsid w:val="00BD43BA"/>
    <w:rsid w:val="00BD590C"/>
    <w:rsid w:val="00BE0177"/>
    <w:rsid w:val="00BE0CA7"/>
    <w:rsid w:val="00BE104E"/>
    <w:rsid w:val="00BE67D9"/>
    <w:rsid w:val="00BE7A7A"/>
    <w:rsid w:val="00BF0DB2"/>
    <w:rsid w:val="00C007C2"/>
    <w:rsid w:val="00C05E0B"/>
    <w:rsid w:val="00C33F35"/>
    <w:rsid w:val="00C34F97"/>
    <w:rsid w:val="00C4001B"/>
    <w:rsid w:val="00C46B99"/>
    <w:rsid w:val="00C52620"/>
    <w:rsid w:val="00C5561A"/>
    <w:rsid w:val="00C564DA"/>
    <w:rsid w:val="00C61D99"/>
    <w:rsid w:val="00C6523C"/>
    <w:rsid w:val="00C65A82"/>
    <w:rsid w:val="00C744EB"/>
    <w:rsid w:val="00C76252"/>
    <w:rsid w:val="00C83D98"/>
    <w:rsid w:val="00C87E25"/>
    <w:rsid w:val="00C90702"/>
    <w:rsid w:val="00C912F6"/>
    <w:rsid w:val="00C917FF"/>
    <w:rsid w:val="00C93A7D"/>
    <w:rsid w:val="00C9766A"/>
    <w:rsid w:val="00CB7596"/>
    <w:rsid w:val="00CC2B31"/>
    <w:rsid w:val="00CC4F39"/>
    <w:rsid w:val="00CC5A6C"/>
    <w:rsid w:val="00CC6AD1"/>
    <w:rsid w:val="00CC7629"/>
    <w:rsid w:val="00CC7C49"/>
    <w:rsid w:val="00CD544C"/>
    <w:rsid w:val="00CD7A74"/>
    <w:rsid w:val="00CF1450"/>
    <w:rsid w:val="00CF4256"/>
    <w:rsid w:val="00CF42C7"/>
    <w:rsid w:val="00D020EF"/>
    <w:rsid w:val="00D04FE8"/>
    <w:rsid w:val="00D05BB9"/>
    <w:rsid w:val="00D1439B"/>
    <w:rsid w:val="00D176CF"/>
    <w:rsid w:val="00D271E3"/>
    <w:rsid w:val="00D2766E"/>
    <w:rsid w:val="00D31904"/>
    <w:rsid w:val="00D32C7F"/>
    <w:rsid w:val="00D34EC7"/>
    <w:rsid w:val="00D3575D"/>
    <w:rsid w:val="00D4139A"/>
    <w:rsid w:val="00D42690"/>
    <w:rsid w:val="00D43855"/>
    <w:rsid w:val="00D47A80"/>
    <w:rsid w:val="00D508E3"/>
    <w:rsid w:val="00D50E0A"/>
    <w:rsid w:val="00D51807"/>
    <w:rsid w:val="00D53FEC"/>
    <w:rsid w:val="00D63BF5"/>
    <w:rsid w:val="00D67D14"/>
    <w:rsid w:val="00D702D1"/>
    <w:rsid w:val="00D713D0"/>
    <w:rsid w:val="00D7258C"/>
    <w:rsid w:val="00D74F0B"/>
    <w:rsid w:val="00D83BEF"/>
    <w:rsid w:val="00D85807"/>
    <w:rsid w:val="00D87349"/>
    <w:rsid w:val="00D90D1A"/>
    <w:rsid w:val="00D91EE9"/>
    <w:rsid w:val="00D94355"/>
    <w:rsid w:val="00D97220"/>
    <w:rsid w:val="00DC562D"/>
    <w:rsid w:val="00DC5C90"/>
    <w:rsid w:val="00DE316A"/>
    <w:rsid w:val="00E00CA6"/>
    <w:rsid w:val="00E039F0"/>
    <w:rsid w:val="00E06390"/>
    <w:rsid w:val="00E067E8"/>
    <w:rsid w:val="00E110A3"/>
    <w:rsid w:val="00E140C4"/>
    <w:rsid w:val="00E14D47"/>
    <w:rsid w:val="00E1553D"/>
    <w:rsid w:val="00E1641C"/>
    <w:rsid w:val="00E26708"/>
    <w:rsid w:val="00E30CEB"/>
    <w:rsid w:val="00E344A2"/>
    <w:rsid w:val="00E34958"/>
    <w:rsid w:val="00E349E9"/>
    <w:rsid w:val="00E354AD"/>
    <w:rsid w:val="00E37AB0"/>
    <w:rsid w:val="00E37F0B"/>
    <w:rsid w:val="00E431CA"/>
    <w:rsid w:val="00E44C4C"/>
    <w:rsid w:val="00E53846"/>
    <w:rsid w:val="00E63496"/>
    <w:rsid w:val="00E66906"/>
    <w:rsid w:val="00E6717A"/>
    <w:rsid w:val="00E715F5"/>
    <w:rsid w:val="00E71C39"/>
    <w:rsid w:val="00E828CD"/>
    <w:rsid w:val="00E854CC"/>
    <w:rsid w:val="00E86681"/>
    <w:rsid w:val="00E9379E"/>
    <w:rsid w:val="00E96D5F"/>
    <w:rsid w:val="00EA049A"/>
    <w:rsid w:val="00EA0BF3"/>
    <w:rsid w:val="00EA56E6"/>
    <w:rsid w:val="00EA7703"/>
    <w:rsid w:val="00EB4C22"/>
    <w:rsid w:val="00EB7DB2"/>
    <w:rsid w:val="00EC335F"/>
    <w:rsid w:val="00EC36A1"/>
    <w:rsid w:val="00EC48FB"/>
    <w:rsid w:val="00EE6D11"/>
    <w:rsid w:val="00EE74B0"/>
    <w:rsid w:val="00EF232A"/>
    <w:rsid w:val="00EF6934"/>
    <w:rsid w:val="00F003F7"/>
    <w:rsid w:val="00F04072"/>
    <w:rsid w:val="00F05A69"/>
    <w:rsid w:val="00F22851"/>
    <w:rsid w:val="00F235C3"/>
    <w:rsid w:val="00F26858"/>
    <w:rsid w:val="00F27BFE"/>
    <w:rsid w:val="00F3123C"/>
    <w:rsid w:val="00F3293E"/>
    <w:rsid w:val="00F3791A"/>
    <w:rsid w:val="00F4284B"/>
    <w:rsid w:val="00F43FFD"/>
    <w:rsid w:val="00F44236"/>
    <w:rsid w:val="00F5104F"/>
    <w:rsid w:val="00F52517"/>
    <w:rsid w:val="00F52FD3"/>
    <w:rsid w:val="00F61490"/>
    <w:rsid w:val="00F625DA"/>
    <w:rsid w:val="00F6458D"/>
    <w:rsid w:val="00F7350B"/>
    <w:rsid w:val="00F7426F"/>
    <w:rsid w:val="00F75635"/>
    <w:rsid w:val="00F95822"/>
    <w:rsid w:val="00F976D0"/>
    <w:rsid w:val="00FA18DE"/>
    <w:rsid w:val="00FA2852"/>
    <w:rsid w:val="00FA3D64"/>
    <w:rsid w:val="00FA57B2"/>
    <w:rsid w:val="00FA6297"/>
    <w:rsid w:val="00FB22BE"/>
    <w:rsid w:val="00FB509B"/>
    <w:rsid w:val="00FB7118"/>
    <w:rsid w:val="00FC1CB1"/>
    <w:rsid w:val="00FC1F37"/>
    <w:rsid w:val="00FC3D4B"/>
    <w:rsid w:val="00FC560C"/>
    <w:rsid w:val="00FC5A91"/>
    <w:rsid w:val="00FC6312"/>
    <w:rsid w:val="00FC6B06"/>
    <w:rsid w:val="00FD02DB"/>
    <w:rsid w:val="00FE2337"/>
    <w:rsid w:val="00FE36E3"/>
    <w:rsid w:val="00FE425D"/>
    <w:rsid w:val="00FE6B01"/>
    <w:rsid w:val="00FE726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E245B"/>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 w:type="character" w:customStyle="1" w:styleId="CommentTextChar">
    <w:name w:val="Comment Text Char"/>
    <w:basedOn w:val="DefaultParagraphFont"/>
    <w:link w:val="CommentText"/>
    <w:uiPriority w:val="99"/>
    <w:semiHidden/>
    <w:rsid w:val="00D5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4870910">
      <w:bodyDiv w:val="1"/>
      <w:marLeft w:val="0"/>
      <w:marRight w:val="0"/>
      <w:marTop w:val="0"/>
      <w:marBottom w:val="0"/>
      <w:divBdr>
        <w:top w:val="none" w:sz="0" w:space="0" w:color="auto"/>
        <w:left w:val="none" w:sz="0" w:space="0" w:color="auto"/>
        <w:bottom w:val="none" w:sz="0" w:space="0" w:color="auto"/>
        <w:right w:val="none" w:sz="0" w:space="0" w:color="auto"/>
      </w:divBdr>
      <w:divsChild>
        <w:div w:id="28453186">
          <w:marLeft w:val="1166"/>
          <w:marRight w:val="0"/>
          <w:marTop w:val="77"/>
          <w:marBottom w:val="0"/>
          <w:divBdr>
            <w:top w:val="none" w:sz="0" w:space="0" w:color="auto"/>
            <w:left w:val="none" w:sz="0" w:space="0" w:color="auto"/>
            <w:bottom w:val="none" w:sz="0" w:space="0" w:color="auto"/>
            <w:right w:val="none" w:sz="0" w:space="0" w:color="auto"/>
          </w:divBdr>
        </w:div>
        <w:div w:id="1294554036">
          <w:marLeft w:val="1166"/>
          <w:marRight w:val="0"/>
          <w:marTop w:val="77"/>
          <w:marBottom w:val="0"/>
          <w:divBdr>
            <w:top w:val="none" w:sz="0" w:space="0" w:color="auto"/>
            <w:left w:val="none" w:sz="0" w:space="0" w:color="auto"/>
            <w:bottom w:val="none" w:sz="0" w:space="0" w:color="auto"/>
            <w:right w:val="none" w:sz="0" w:space="0" w:color="auto"/>
          </w:divBdr>
        </w:div>
        <w:div w:id="1805350503">
          <w:marLeft w:val="1800"/>
          <w:marRight w:val="0"/>
          <w:marTop w:val="77"/>
          <w:marBottom w:val="0"/>
          <w:divBdr>
            <w:top w:val="none" w:sz="0" w:space="0" w:color="auto"/>
            <w:left w:val="none" w:sz="0" w:space="0" w:color="auto"/>
            <w:bottom w:val="none" w:sz="0" w:space="0" w:color="auto"/>
            <w:right w:val="none" w:sz="0" w:space="0" w:color="auto"/>
          </w:divBdr>
        </w:div>
        <w:div w:id="970089089">
          <w:marLeft w:val="1800"/>
          <w:marRight w:val="0"/>
          <w:marTop w:val="7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5262433">
      <w:bodyDiv w:val="1"/>
      <w:marLeft w:val="0"/>
      <w:marRight w:val="0"/>
      <w:marTop w:val="0"/>
      <w:marBottom w:val="0"/>
      <w:divBdr>
        <w:top w:val="none" w:sz="0" w:space="0" w:color="auto"/>
        <w:left w:val="none" w:sz="0" w:space="0" w:color="auto"/>
        <w:bottom w:val="none" w:sz="0" w:space="0" w:color="auto"/>
        <w:right w:val="none" w:sz="0" w:space="0" w:color="auto"/>
      </w:divBdr>
    </w:div>
    <w:div w:id="640227777">
      <w:bodyDiv w:val="1"/>
      <w:marLeft w:val="0"/>
      <w:marRight w:val="0"/>
      <w:marTop w:val="0"/>
      <w:marBottom w:val="0"/>
      <w:divBdr>
        <w:top w:val="none" w:sz="0" w:space="0" w:color="auto"/>
        <w:left w:val="none" w:sz="0" w:space="0" w:color="auto"/>
        <w:bottom w:val="none" w:sz="0" w:space="0" w:color="auto"/>
        <w:right w:val="none" w:sz="0" w:space="0" w:color="auto"/>
      </w:divBdr>
      <w:divsChild>
        <w:div w:id="1420641815">
          <w:marLeft w:val="547"/>
          <w:marRight w:val="0"/>
          <w:marTop w:val="115"/>
          <w:marBottom w:val="0"/>
          <w:divBdr>
            <w:top w:val="none" w:sz="0" w:space="0" w:color="auto"/>
            <w:left w:val="none" w:sz="0" w:space="0" w:color="auto"/>
            <w:bottom w:val="none" w:sz="0" w:space="0" w:color="auto"/>
            <w:right w:val="none" w:sz="0" w:space="0" w:color="auto"/>
          </w:divBdr>
        </w:div>
        <w:div w:id="1811360072">
          <w:marLeft w:val="1166"/>
          <w:marRight w:val="0"/>
          <w:marTop w:val="96"/>
          <w:marBottom w:val="0"/>
          <w:divBdr>
            <w:top w:val="none" w:sz="0" w:space="0" w:color="auto"/>
            <w:left w:val="none" w:sz="0" w:space="0" w:color="auto"/>
            <w:bottom w:val="none" w:sz="0" w:space="0" w:color="auto"/>
            <w:right w:val="none" w:sz="0" w:space="0" w:color="auto"/>
          </w:divBdr>
        </w:div>
        <w:div w:id="1735159156">
          <w:marLeft w:val="1166"/>
          <w:marRight w:val="0"/>
          <w:marTop w:val="96"/>
          <w:marBottom w:val="0"/>
          <w:divBdr>
            <w:top w:val="none" w:sz="0" w:space="0" w:color="auto"/>
            <w:left w:val="none" w:sz="0" w:space="0" w:color="auto"/>
            <w:bottom w:val="none" w:sz="0" w:space="0" w:color="auto"/>
            <w:right w:val="none" w:sz="0" w:space="0" w:color="auto"/>
          </w:divBdr>
        </w:div>
      </w:divsChild>
    </w:div>
    <w:div w:id="1001204655">
      <w:bodyDiv w:val="1"/>
      <w:marLeft w:val="0"/>
      <w:marRight w:val="0"/>
      <w:marTop w:val="0"/>
      <w:marBottom w:val="0"/>
      <w:divBdr>
        <w:top w:val="none" w:sz="0" w:space="0" w:color="auto"/>
        <w:left w:val="none" w:sz="0" w:space="0" w:color="auto"/>
        <w:bottom w:val="none" w:sz="0" w:space="0" w:color="auto"/>
        <w:right w:val="none" w:sz="0" w:space="0" w:color="auto"/>
      </w:divBdr>
      <w:divsChild>
        <w:div w:id="1769619171">
          <w:marLeft w:val="547"/>
          <w:marRight w:val="0"/>
          <w:marTop w:val="106"/>
          <w:marBottom w:val="0"/>
          <w:divBdr>
            <w:top w:val="none" w:sz="0" w:space="0" w:color="auto"/>
            <w:left w:val="none" w:sz="0" w:space="0" w:color="auto"/>
            <w:bottom w:val="none" w:sz="0" w:space="0" w:color="auto"/>
            <w:right w:val="none" w:sz="0" w:space="0" w:color="auto"/>
          </w:divBdr>
        </w:div>
        <w:div w:id="1244143761">
          <w:marLeft w:val="1166"/>
          <w:marRight w:val="0"/>
          <w:marTop w:val="86"/>
          <w:marBottom w:val="0"/>
          <w:divBdr>
            <w:top w:val="none" w:sz="0" w:space="0" w:color="auto"/>
            <w:left w:val="none" w:sz="0" w:space="0" w:color="auto"/>
            <w:bottom w:val="none" w:sz="0" w:space="0" w:color="auto"/>
            <w:right w:val="none" w:sz="0" w:space="0" w:color="auto"/>
          </w:divBdr>
        </w:div>
        <w:div w:id="131943787">
          <w:marLeft w:val="1166"/>
          <w:marRight w:val="0"/>
          <w:marTop w:val="86"/>
          <w:marBottom w:val="0"/>
          <w:divBdr>
            <w:top w:val="none" w:sz="0" w:space="0" w:color="auto"/>
            <w:left w:val="none" w:sz="0" w:space="0" w:color="auto"/>
            <w:bottom w:val="none" w:sz="0" w:space="0" w:color="auto"/>
            <w:right w:val="none" w:sz="0" w:space="0" w:color="auto"/>
          </w:divBdr>
        </w:div>
        <w:div w:id="694775259">
          <w:marLeft w:val="1166"/>
          <w:marRight w:val="0"/>
          <w:marTop w:val="86"/>
          <w:marBottom w:val="0"/>
          <w:divBdr>
            <w:top w:val="none" w:sz="0" w:space="0" w:color="auto"/>
            <w:left w:val="none" w:sz="0" w:space="0" w:color="auto"/>
            <w:bottom w:val="none" w:sz="0" w:space="0" w:color="auto"/>
            <w:right w:val="none" w:sz="0" w:space="0" w:color="auto"/>
          </w:divBdr>
        </w:div>
        <w:div w:id="1482036027">
          <w:marLeft w:val="547"/>
          <w:marRight w:val="0"/>
          <w:marTop w:val="106"/>
          <w:marBottom w:val="0"/>
          <w:divBdr>
            <w:top w:val="none" w:sz="0" w:space="0" w:color="auto"/>
            <w:left w:val="none" w:sz="0" w:space="0" w:color="auto"/>
            <w:bottom w:val="none" w:sz="0" w:space="0" w:color="auto"/>
            <w:right w:val="none" w:sz="0" w:space="0" w:color="auto"/>
          </w:divBdr>
        </w:div>
        <w:div w:id="1846169016">
          <w:marLeft w:val="547"/>
          <w:marRight w:val="0"/>
          <w:marTop w:val="106"/>
          <w:marBottom w:val="0"/>
          <w:divBdr>
            <w:top w:val="none" w:sz="0" w:space="0" w:color="auto"/>
            <w:left w:val="none" w:sz="0" w:space="0" w:color="auto"/>
            <w:bottom w:val="none" w:sz="0" w:space="0" w:color="auto"/>
            <w:right w:val="none" w:sz="0" w:space="0" w:color="auto"/>
          </w:divBdr>
        </w:div>
      </w:divsChild>
    </w:div>
    <w:div w:id="1383823129">
      <w:bodyDiv w:val="1"/>
      <w:marLeft w:val="0"/>
      <w:marRight w:val="0"/>
      <w:marTop w:val="0"/>
      <w:marBottom w:val="0"/>
      <w:divBdr>
        <w:top w:val="none" w:sz="0" w:space="0" w:color="auto"/>
        <w:left w:val="none" w:sz="0" w:space="0" w:color="auto"/>
        <w:bottom w:val="none" w:sz="0" w:space="0" w:color="auto"/>
        <w:right w:val="none" w:sz="0" w:space="0" w:color="auto"/>
      </w:divBdr>
      <w:divsChild>
        <w:div w:id="1684285454">
          <w:marLeft w:val="1800"/>
          <w:marRight w:val="0"/>
          <w:marTop w:val="77"/>
          <w:marBottom w:val="0"/>
          <w:divBdr>
            <w:top w:val="none" w:sz="0" w:space="0" w:color="auto"/>
            <w:left w:val="none" w:sz="0" w:space="0" w:color="auto"/>
            <w:bottom w:val="none" w:sz="0" w:space="0" w:color="auto"/>
            <w:right w:val="none" w:sz="0" w:space="0" w:color="auto"/>
          </w:divBdr>
        </w:div>
        <w:div w:id="724522519">
          <w:marLeft w:val="1800"/>
          <w:marRight w:val="0"/>
          <w:marTop w:val="77"/>
          <w:marBottom w:val="0"/>
          <w:divBdr>
            <w:top w:val="none" w:sz="0" w:space="0" w:color="auto"/>
            <w:left w:val="none" w:sz="0" w:space="0" w:color="auto"/>
            <w:bottom w:val="none" w:sz="0" w:space="0" w:color="auto"/>
            <w:right w:val="none" w:sz="0" w:space="0" w:color="auto"/>
          </w:divBdr>
        </w:div>
      </w:divsChild>
    </w:div>
    <w:div w:id="1402293498">
      <w:bodyDiv w:val="1"/>
      <w:marLeft w:val="0"/>
      <w:marRight w:val="0"/>
      <w:marTop w:val="0"/>
      <w:marBottom w:val="0"/>
      <w:divBdr>
        <w:top w:val="none" w:sz="0" w:space="0" w:color="auto"/>
        <w:left w:val="none" w:sz="0" w:space="0" w:color="auto"/>
        <w:bottom w:val="none" w:sz="0" w:space="0" w:color="auto"/>
        <w:right w:val="none" w:sz="0" w:space="0" w:color="auto"/>
      </w:divBdr>
      <w:divsChild>
        <w:div w:id="422647886">
          <w:marLeft w:val="547"/>
          <w:marRight w:val="0"/>
          <w:marTop w:val="96"/>
          <w:marBottom w:val="0"/>
          <w:divBdr>
            <w:top w:val="none" w:sz="0" w:space="0" w:color="auto"/>
            <w:left w:val="none" w:sz="0" w:space="0" w:color="auto"/>
            <w:bottom w:val="none" w:sz="0" w:space="0" w:color="auto"/>
            <w:right w:val="none" w:sz="0" w:space="0" w:color="auto"/>
          </w:divBdr>
        </w:div>
        <w:div w:id="740368643">
          <w:marLeft w:val="1166"/>
          <w:marRight w:val="0"/>
          <w:marTop w:val="77"/>
          <w:marBottom w:val="0"/>
          <w:divBdr>
            <w:top w:val="none" w:sz="0" w:space="0" w:color="auto"/>
            <w:left w:val="none" w:sz="0" w:space="0" w:color="auto"/>
            <w:bottom w:val="none" w:sz="0" w:space="0" w:color="auto"/>
            <w:right w:val="none" w:sz="0" w:space="0" w:color="auto"/>
          </w:divBdr>
        </w:div>
        <w:div w:id="681979819">
          <w:marLeft w:val="1166"/>
          <w:marRight w:val="0"/>
          <w:marTop w:val="77"/>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143471301">
          <w:marLeft w:val="547"/>
          <w:marRight w:val="0"/>
          <w:marTop w:val="115"/>
          <w:marBottom w:val="0"/>
          <w:divBdr>
            <w:top w:val="none" w:sz="0" w:space="0" w:color="auto"/>
            <w:left w:val="none" w:sz="0" w:space="0" w:color="auto"/>
            <w:bottom w:val="none" w:sz="0" w:space="0" w:color="auto"/>
            <w:right w:val="none" w:sz="0" w:space="0" w:color="auto"/>
          </w:divBdr>
        </w:div>
      </w:divsChild>
    </w:div>
    <w:div w:id="1475293170">
      <w:bodyDiv w:val="1"/>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547"/>
          <w:marRight w:val="0"/>
          <w:marTop w:val="115"/>
          <w:marBottom w:val="0"/>
          <w:divBdr>
            <w:top w:val="none" w:sz="0" w:space="0" w:color="auto"/>
            <w:left w:val="none" w:sz="0" w:space="0" w:color="auto"/>
            <w:bottom w:val="none" w:sz="0" w:space="0" w:color="auto"/>
            <w:right w:val="none" w:sz="0" w:space="0" w:color="auto"/>
          </w:divBdr>
        </w:div>
        <w:div w:id="591594468">
          <w:marLeft w:val="1166"/>
          <w:marRight w:val="0"/>
          <w:marTop w:val="96"/>
          <w:marBottom w:val="0"/>
          <w:divBdr>
            <w:top w:val="none" w:sz="0" w:space="0" w:color="auto"/>
            <w:left w:val="none" w:sz="0" w:space="0" w:color="auto"/>
            <w:bottom w:val="none" w:sz="0" w:space="0" w:color="auto"/>
            <w:right w:val="none" w:sz="0" w:space="0" w:color="auto"/>
          </w:divBdr>
        </w:div>
      </w:divsChild>
    </w:div>
    <w:div w:id="1491946188">
      <w:bodyDiv w:val="1"/>
      <w:marLeft w:val="0"/>
      <w:marRight w:val="0"/>
      <w:marTop w:val="0"/>
      <w:marBottom w:val="0"/>
      <w:divBdr>
        <w:top w:val="none" w:sz="0" w:space="0" w:color="auto"/>
        <w:left w:val="none" w:sz="0" w:space="0" w:color="auto"/>
        <w:bottom w:val="none" w:sz="0" w:space="0" w:color="auto"/>
        <w:right w:val="none" w:sz="0" w:space="0" w:color="auto"/>
      </w:divBdr>
      <w:divsChild>
        <w:div w:id="690303729">
          <w:marLeft w:val="806"/>
          <w:marRight w:val="0"/>
          <w:marTop w:val="7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885991">
      <w:bodyDiv w:val="1"/>
      <w:marLeft w:val="0"/>
      <w:marRight w:val="0"/>
      <w:marTop w:val="0"/>
      <w:marBottom w:val="0"/>
      <w:divBdr>
        <w:top w:val="none" w:sz="0" w:space="0" w:color="auto"/>
        <w:left w:val="none" w:sz="0" w:space="0" w:color="auto"/>
        <w:bottom w:val="none" w:sz="0" w:space="0" w:color="auto"/>
        <w:right w:val="none" w:sz="0" w:space="0" w:color="auto"/>
      </w:divBdr>
      <w:divsChild>
        <w:div w:id="56560463">
          <w:marLeft w:val="806"/>
          <w:marRight w:val="0"/>
          <w:marTop w:val="75"/>
          <w:marBottom w:val="0"/>
          <w:divBdr>
            <w:top w:val="none" w:sz="0" w:space="0" w:color="auto"/>
            <w:left w:val="none" w:sz="0" w:space="0" w:color="auto"/>
            <w:bottom w:val="none" w:sz="0" w:space="0" w:color="auto"/>
            <w:right w:val="none" w:sz="0" w:space="0" w:color="auto"/>
          </w:divBdr>
        </w:div>
      </w:divsChild>
    </w:div>
    <w:div w:id="1669138946">
      <w:bodyDiv w:val="1"/>
      <w:marLeft w:val="0"/>
      <w:marRight w:val="0"/>
      <w:marTop w:val="0"/>
      <w:marBottom w:val="0"/>
      <w:divBdr>
        <w:top w:val="none" w:sz="0" w:space="0" w:color="auto"/>
        <w:left w:val="none" w:sz="0" w:space="0" w:color="auto"/>
        <w:bottom w:val="none" w:sz="0" w:space="0" w:color="auto"/>
        <w:right w:val="none" w:sz="0" w:space="0" w:color="auto"/>
      </w:divBdr>
    </w:div>
    <w:div w:id="1906795297">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4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D3212-9BC1-4181-BA2C-B71D39E72433}">
  <ds:schemaRefs>
    <ds:schemaRef ds:uri="http://schemas.openxmlformats.org/officeDocument/2006/bibliography"/>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37683940-8102-47C4-B7D7-679A21061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kragsdale</cp:lastModifiedBy>
  <cp:revision>3</cp:revision>
  <cp:lastPrinted>2013-11-15T22:11:00Z</cp:lastPrinted>
  <dcterms:created xsi:type="dcterms:W3CDTF">2021-10-22T03:57:00Z</dcterms:created>
  <dcterms:modified xsi:type="dcterms:W3CDTF">2021-10-22T04:07:00Z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