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260"/>
        <w:gridCol w:w="6300"/>
      </w:tblGrid>
      <w:tr w:rsidR="00F63DAA" w:rsidRPr="00F63DAA" w14:paraId="040A529C" w14:textId="77777777" w:rsidTr="00D23F4E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FBEA41" w14:textId="77777777" w:rsidR="00F63DAA" w:rsidRPr="00F63DAA" w:rsidRDefault="00F63DAA" w:rsidP="00F63DAA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F63DAA">
              <w:rPr>
                <w:rFonts w:ascii="Arial" w:hAnsi="Arial"/>
                <w:b/>
                <w:bCs/>
              </w:rPr>
              <w:t>OBDRR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A566719" w14:textId="77777777" w:rsidR="00F63DAA" w:rsidRPr="00F63DAA" w:rsidRDefault="001E44A3" w:rsidP="00F63DAA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hyperlink r:id="rId8" w:history="1">
              <w:r w:rsidR="00F63DAA" w:rsidRPr="00F63DAA">
                <w:rPr>
                  <w:rFonts w:ascii="Arial" w:hAnsi="Arial"/>
                  <w:b/>
                  <w:bCs/>
                  <w:color w:val="0000FF"/>
                  <w:u w:val="single"/>
                </w:rPr>
                <w:t>032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BE1FB8" w14:textId="77777777" w:rsidR="00F63DAA" w:rsidRPr="00F63DAA" w:rsidRDefault="00F63DAA" w:rsidP="00F63DAA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F63DAA">
              <w:rPr>
                <w:rFonts w:ascii="Arial" w:hAnsi="Arial"/>
                <w:b/>
                <w:bCs/>
              </w:rPr>
              <w:t>OBDRR Title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BD3B66C" w14:textId="77777777" w:rsidR="00F63DAA" w:rsidRPr="00F63DAA" w:rsidRDefault="00F63DAA" w:rsidP="00F63DAA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F63DAA">
              <w:rPr>
                <w:rFonts w:ascii="Arial" w:hAnsi="Arial"/>
                <w:b/>
                <w:bCs/>
              </w:rPr>
              <w:t>Non-Spin Changes Related to NPRR1093, Load Resource Participation in Non-Spinning Reserve</w:t>
            </w:r>
          </w:p>
        </w:tc>
      </w:tr>
      <w:tr w:rsidR="00F63DAA" w:rsidRPr="00F63DAA" w14:paraId="6DC1DCC7" w14:textId="77777777" w:rsidTr="00D23F4E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0FEA70" w14:textId="77777777" w:rsidR="00F63DAA" w:rsidRPr="00F63DAA" w:rsidRDefault="00F63DAA" w:rsidP="00F63DAA">
            <w:pPr>
              <w:rPr>
                <w:rFonts w:ascii="Arial" w:hAnsi="Arial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19444" w14:textId="77777777" w:rsidR="00F63DAA" w:rsidRPr="00F63DAA" w:rsidRDefault="00F63DAA" w:rsidP="00F63DAA">
            <w:pPr>
              <w:rPr>
                <w:rFonts w:ascii="Arial" w:hAnsi="Arial"/>
              </w:rPr>
            </w:pPr>
          </w:p>
        </w:tc>
      </w:tr>
      <w:tr w:rsidR="00F63DAA" w:rsidRPr="00F63DAA" w14:paraId="178762D8" w14:textId="77777777" w:rsidTr="00D23F4E">
        <w:trPr>
          <w:trHeight w:val="432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73EE3D" w14:textId="1BDE2E3F" w:rsidR="00F63DAA" w:rsidRPr="00F63DAA" w:rsidRDefault="001044A2" w:rsidP="00F63DA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1044A2">
              <w:rPr>
                <w:rFonts w:ascii="Arial" w:hAnsi="Arial"/>
                <w:b/>
                <w:bCs/>
              </w:rPr>
              <w:t>Submitter’s Information</w:t>
            </w:r>
          </w:p>
        </w:tc>
      </w:tr>
      <w:tr w:rsidR="00F63DAA" w:rsidRPr="00F63DAA" w14:paraId="472EC12B" w14:textId="77777777" w:rsidTr="00D23F4E">
        <w:trPr>
          <w:trHeight w:val="43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FE7B34A" w14:textId="77777777" w:rsidR="00F63DAA" w:rsidRPr="00F63DAA" w:rsidRDefault="00F63DAA" w:rsidP="00F63DAA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</w:rPr>
            </w:pPr>
            <w:r w:rsidRPr="00F63DAA">
              <w:rPr>
                <w:rFonts w:ascii="Arial" w:hAnsi="Arial"/>
                <w:b/>
              </w:rPr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36D5E7EA" w14:textId="77777777" w:rsidR="00F63DAA" w:rsidRPr="00F63DAA" w:rsidRDefault="00F63DAA" w:rsidP="00F63DAA">
            <w:pPr>
              <w:rPr>
                <w:rFonts w:ascii="Arial" w:hAnsi="Arial"/>
              </w:rPr>
            </w:pPr>
            <w:r w:rsidRPr="00F63DAA">
              <w:rPr>
                <w:rFonts w:ascii="Arial" w:hAnsi="Arial"/>
              </w:rPr>
              <w:t>John Dumas (LCRA) and Clif Lange (STEC)</w:t>
            </w:r>
          </w:p>
        </w:tc>
      </w:tr>
      <w:tr w:rsidR="00F63DAA" w:rsidRPr="00F63DAA" w14:paraId="30BD78E0" w14:textId="77777777" w:rsidTr="00D23F4E">
        <w:trPr>
          <w:trHeight w:val="43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7B55B32" w14:textId="77777777" w:rsidR="00F63DAA" w:rsidRPr="00F63DAA" w:rsidRDefault="00F63DAA" w:rsidP="00F63DAA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</w:rPr>
            </w:pPr>
            <w:r w:rsidRPr="00F63DAA">
              <w:rPr>
                <w:rFonts w:ascii="Arial" w:hAnsi="Arial"/>
                <w:b/>
              </w:rPr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33787F6E" w14:textId="1FDFDBB8" w:rsidR="001A6D21" w:rsidRPr="00F63DAA" w:rsidRDefault="001E44A3" w:rsidP="001A6D21">
            <w:pPr>
              <w:rPr>
                <w:rFonts w:ascii="Arial" w:hAnsi="Arial"/>
              </w:rPr>
            </w:pPr>
            <w:hyperlink r:id="rId9" w:history="1">
              <w:r w:rsidR="00C032A8" w:rsidRPr="00043A45">
                <w:rPr>
                  <w:rStyle w:val="Hyperlink"/>
                  <w:rFonts w:ascii="Arial" w:hAnsi="Arial"/>
                </w:rPr>
                <w:t>John.Dumas@lcra.org</w:t>
              </w:r>
            </w:hyperlink>
            <w:r w:rsidR="00C032A8">
              <w:rPr>
                <w:rFonts w:ascii="Arial" w:hAnsi="Arial"/>
              </w:rPr>
              <w:t xml:space="preserve">; </w:t>
            </w:r>
            <w:hyperlink r:id="rId10" w:history="1">
              <w:r w:rsidR="001A6D21" w:rsidRPr="0095261B">
                <w:rPr>
                  <w:rStyle w:val="Hyperlink"/>
                  <w:rFonts w:ascii="Arial" w:hAnsi="Arial"/>
                </w:rPr>
                <w:t>Clif@stec.org</w:t>
              </w:r>
            </w:hyperlink>
          </w:p>
        </w:tc>
      </w:tr>
      <w:tr w:rsidR="00F63DAA" w:rsidRPr="00F63DAA" w14:paraId="00840FF6" w14:textId="77777777" w:rsidTr="00D23F4E">
        <w:trPr>
          <w:trHeight w:val="43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FD30203" w14:textId="77777777" w:rsidR="00F63DAA" w:rsidRPr="00F63DAA" w:rsidRDefault="00F63DAA" w:rsidP="00F63DAA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</w:rPr>
            </w:pPr>
            <w:r w:rsidRPr="00F63DAA">
              <w:rPr>
                <w:rFonts w:ascii="Arial" w:hAnsi="Arial"/>
                <w:b/>
              </w:rPr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0D0128BA" w14:textId="5361AAC4" w:rsidR="00F63DAA" w:rsidRPr="00F63DAA" w:rsidRDefault="00F63DAA" w:rsidP="00F63DAA">
            <w:pPr>
              <w:rPr>
                <w:rFonts w:ascii="Arial" w:hAnsi="Arial"/>
              </w:rPr>
            </w:pPr>
            <w:r w:rsidRPr="00F63DAA">
              <w:rPr>
                <w:rFonts w:ascii="Arial" w:hAnsi="Arial"/>
              </w:rPr>
              <w:t>Lower Colorado River Authority</w:t>
            </w:r>
            <w:r w:rsidR="001A6D21">
              <w:rPr>
                <w:rFonts w:ascii="Arial" w:hAnsi="Arial"/>
              </w:rPr>
              <w:t xml:space="preserve"> (LCRA)</w:t>
            </w:r>
            <w:r w:rsidRPr="00F63DAA">
              <w:rPr>
                <w:rFonts w:ascii="Arial" w:hAnsi="Arial"/>
              </w:rPr>
              <w:t xml:space="preserve"> and South Texas Electric Cooperative</w:t>
            </w:r>
            <w:r w:rsidR="001A6D21">
              <w:rPr>
                <w:rFonts w:ascii="Arial" w:hAnsi="Arial"/>
              </w:rPr>
              <w:t xml:space="preserve"> (STEC)</w:t>
            </w:r>
          </w:p>
        </w:tc>
      </w:tr>
      <w:tr w:rsidR="00F63DAA" w:rsidRPr="00F63DAA" w14:paraId="00A8D04B" w14:textId="77777777" w:rsidTr="00D23F4E">
        <w:trPr>
          <w:trHeight w:val="432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65002B" w14:textId="77777777" w:rsidR="00F63DAA" w:rsidRPr="00F63DAA" w:rsidRDefault="00F63DAA" w:rsidP="00F63DAA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</w:rPr>
            </w:pPr>
            <w:r w:rsidRPr="00F63DAA">
              <w:rPr>
                <w:rFonts w:ascii="Arial" w:hAnsi="Arial"/>
                <w:b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EC46D7A" w14:textId="5CB673AB" w:rsidR="00F63DAA" w:rsidRPr="00F63DAA" w:rsidRDefault="00C032A8" w:rsidP="00F63D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(512) 730-6847; </w:t>
            </w:r>
            <w:r w:rsidRPr="00C032A8">
              <w:rPr>
                <w:rFonts w:ascii="Arial" w:hAnsi="Arial"/>
              </w:rPr>
              <w:t>(361) 485-6206</w:t>
            </w:r>
          </w:p>
        </w:tc>
      </w:tr>
      <w:tr w:rsidR="00F63DAA" w:rsidRPr="00F63DAA" w14:paraId="6AD2B9EF" w14:textId="77777777" w:rsidTr="00D23F4E">
        <w:trPr>
          <w:trHeight w:val="43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74B812B" w14:textId="77777777" w:rsidR="00F63DAA" w:rsidRPr="00F63DAA" w:rsidRDefault="00F63DAA" w:rsidP="00F63DAA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</w:rPr>
            </w:pPr>
            <w:r w:rsidRPr="00F63DAA">
              <w:rPr>
                <w:rFonts w:ascii="Arial" w:hAnsi="Arial"/>
                <w:b/>
              </w:rPr>
              <w:t>Cell Number</w:t>
            </w:r>
          </w:p>
        </w:tc>
        <w:tc>
          <w:tcPr>
            <w:tcW w:w="7560" w:type="dxa"/>
            <w:gridSpan w:val="2"/>
            <w:vAlign w:val="center"/>
          </w:tcPr>
          <w:p w14:paraId="56A74A1A" w14:textId="57A20E89" w:rsidR="00F63DAA" w:rsidRPr="00F63DAA" w:rsidRDefault="00C032A8" w:rsidP="00F63D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(512) 913-9399; </w:t>
            </w:r>
            <w:r w:rsidRPr="00C032A8">
              <w:rPr>
                <w:rFonts w:ascii="Arial" w:hAnsi="Arial"/>
              </w:rPr>
              <w:t>(361) 894-3465</w:t>
            </w:r>
          </w:p>
        </w:tc>
      </w:tr>
      <w:tr w:rsidR="00F63DAA" w:rsidRPr="00F63DAA" w14:paraId="128C5C9C" w14:textId="77777777" w:rsidTr="00D23F4E">
        <w:trPr>
          <w:trHeight w:val="432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33F4A5" w14:textId="77777777" w:rsidR="00F63DAA" w:rsidRPr="00F63DAA" w:rsidRDefault="00F63DAA" w:rsidP="00F63DAA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</w:rPr>
            </w:pPr>
            <w:r w:rsidRPr="00F63DAA">
              <w:rPr>
                <w:rFonts w:ascii="Arial" w:hAnsi="Arial"/>
                <w:b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3D2A4B" w14:textId="6C60A625" w:rsidR="00F63DAA" w:rsidRPr="00F63DAA" w:rsidRDefault="00884BA1" w:rsidP="00F63D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Cooperative</w:t>
            </w:r>
          </w:p>
        </w:tc>
      </w:tr>
    </w:tbl>
    <w:p w14:paraId="0F3CCFDD" w14:textId="2FE12BD6" w:rsidR="00A67F75" w:rsidRDefault="00884BA1" w:rsidP="00906E38">
      <w:pPr>
        <w:tabs>
          <w:tab w:val="num" w:pos="0"/>
        </w:tabs>
        <w:spacing w:before="120" w:after="120"/>
        <w:rPr>
          <w:rFonts w:ascii="Arial" w:hAnsi="Arial"/>
        </w:rPr>
      </w:pPr>
      <w:r>
        <w:rPr>
          <w:rFonts w:ascii="Arial" w:hAnsi="Arial" w:cs="Arial"/>
        </w:rPr>
        <w:t xml:space="preserve">On </w:t>
      </w:r>
      <w:r w:rsidR="00124E72">
        <w:rPr>
          <w:rFonts w:ascii="Arial" w:hAnsi="Arial" w:cs="Arial"/>
        </w:rPr>
        <w:t>October 15,</w:t>
      </w:r>
      <w:r>
        <w:rPr>
          <w:rFonts w:ascii="Arial" w:hAnsi="Arial" w:cs="Arial"/>
        </w:rPr>
        <w:t xml:space="preserve"> 2021,</w:t>
      </w:r>
      <w:r w:rsidR="001A6D21">
        <w:rPr>
          <w:rFonts w:ascii="Arial" w:hAnsi="Arial" w:cs="Arial"/>
        </w:rPr>
        <w:t xml:space="preserve"> </w:t>
      </w:r>
      <w:r w:rsidR="001D2076">
        <w:rPr>
          <w:rFonts w:ascii="Arial" w:hAnsi="Arial" w:cs="Arial"/>
        </w:rPr>
        <w:t xml:space="preserve">LCRA and STEC (“Appellants”) </w:t>
      </w:r>
      <w:r w:rsidR="00124E72">
        <w:rPr>
          <w:rFonts w:ascii="Arial" w:hAnsi="Arial" w:cs="Arial"/>
        </w:rPr>
        <w:t xml:space="preserve">filed a </w:t>
      </w:r>
      <w:r w:rsidR="001E44A3">
        <w:rPr>
          <w:rFonts w:ascii="Arial" w:hAnsi="Arial" w:cs="Arial"/>
        </w:rPr>
        <w:t xml:space="preserve">TAC </w:t>
      </w:r>
      <w:r w:rsidR="00124E72">
        <w:rPr>
          <w:rFonts w:ascii="Arial" w:hAnsi="Arial" w:cs="Arial"/>
        </w:rPr>
        <w:t xml:space="preserve">Recommendation Opposition to the September 25, 2021 TAC decision to recommend approval of </w:t>
      </w:r>
      <w:r w:rsidR="001E44A3">
        <w:rPr>
          <w:rFonts w:ascii="Arial" w:hAnsi="Arial" w:cs="Arial"/>
        </w:rPr>
        <w:t>Other Binding Document Revision Request (</w:t>
      </w:r>
      <w:r w:rsidR="00124E72">
        <w:rPr>
          <w:rFonts w:ascii="Arial" w:hAnsi="Arial" w:cs="Arial"/>
        </w:rPr>
        <w:t>OBDRR</w:t>
      </w:r>
      <w:r w:rsidR="001E44A3">
        <w:rPr>
          <w:rFonts w:ascii="Arial" w:hAnsi="Arial" w:cs="Arial"/>
        </w:rPr>
        <w:t xml:space="preserve">) </w:t>
      </w:r>
      <w:r w:rsidR="00124E72">
        <w:rPr>
          <w:rFonts w:ascii="Arial" w:hAnsi="Arial" w:cs="Arial"/>
        </w:rPr>
        <w:t>032.</w:t>
      </w:r>
      <w:r w:rsidR="001D2076">
        <w:rPr>
          <w:rFonts w:ascii="Arial" w:hAnsi="Arial" w:cs="Arial"/>
        </w:rPr>
        <w:t xml:space="preserve"> </w:t>
      </w:r>
      <w:r w:rsidR="001A6D21">
        <w:rPr>
          <w:rFonts w:ascii="Arial" w:hAnsi="Arial" w:cs="Arial"/>
        </w:rPr>
        <w:t xml:space="preserve"> </w:t>
      </w:r>
      <w:r w:rsidR="001D2076">
        <w:rPr>
          <w:rFonts w:ascii="Arial" w:hAnsi="Arial" w:cs="Arial"/>
        </w:rPr>
        <w:t xml:space="preserve">Appellants oppose </w:t>
      </w:r>
      <w:r w:rsidR="00DF1C8E">
        <w:rPr>
          <w:rFonts w:ascii="Arial" w:hAnsi="Arial" w:cs="Arial"/>
        </w:rPr>
        <w:t xml:space="preserve">the </w:t>
      </w:r>
      <w:r w:rsidR="001D2076">
        <w:rPr>
          <w:rFonts w:ascii="Arial" w:hAnsi="Arial" w:cs="Arial"/>
        </w:rPr>
        <w:t xml:space="preserve">methodology </w:t>
      </w:r>
      <w:r w:rsidR="00DF1C8E">
        <w:rPr>
          <w:rFonts w:ascii="Arial" w:hAnsi="Arial" w:cs="Arial"/>
        </w:rPr>
        <w:t xml:space="preserve">proposed in OBDRR032 </w:t>
      </w:r>
      <w:r w:rsidR="001D2076">
        <w:rPr>
          <w:rFonts w:ascii="Arial" w:hAnsi="Arial" w:cs="Arial"/>
        </w:rPr>
        <w:t>for deploying Non-Controllable Load Resources in a manner that is more favorable than the deployment of Generation Resources providing the same service.</w:t>
      </w:r>
    </w:p>
    <w:p w14:paraId="58593534" w14:textId="4BFDE402" w:rsidR="00124E72" w:rsidRDefault="00124E72" w:rsidP="00906E38">
      <w:pPr>
        <w:tabs>
          <w:tab w:val="num" w:pos="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Since the time of the </w:t>
      </w:r>
      <w:r w:rsidR="00FB5932">
        <w:rPr>
          <w:rFonts w:ascii="Arial" w:hAnsi="Arial"/>
        </w:rPr>
        <w:t>filing of the opposition statement</w:t>
      </w:r>
      <w:r>
        <w:rPr>
          <w:rFonts w:ascii="Arial" w:hAnsi="Arial"/>
        </w:rPr>
        <w:t xml:space="preserve">, the Appellants have continued to work with ERCOT </w:t>
      </w:r>
      <w:r w:rsidR="00FB5932">
        <w:rPr>
          <w:rFonts w:ascii="Arial" w:hAnsi="Arial"/>
        </w:rPr>
        <w:t xml:space="preserve">and PUCT </w:t>
      </w:r>
      <w:r w:rsidR="001E44A3">
        <w:rPr>
          <w:rFonts w:ascii="Arial" w:hAnsi="Arial"/>
        </w:rPr>
        <w:t>S</w:t>
      </w:r>
      <w:r>
        <w:rPr>
          <w:rFonts w:ascii="Arial" w:hAnsi="Arial"/>
        </w:rPr>
        <w:t>taff to identify a deployment option that allow</w:t>
      </w:r>
      <w:r w:rsidR="00DF1C8E">
        <w:rPr>
          <w:rFonts w:ascii="Arial" w:hAnsi="Arial"/>
        </w:rPr>
        <w:t>s</w:t>
      </w:r>
      <w:r>
        <w:rPr>
          <w:rFonts w:ascii="Arial" w:hAnsi="Arial"/>
        </w:rPr>
        <w:t xml:space="preserve"> for the equitable and non-discriminatory treatment of both Non-Controllable Load Resources and Generation Resources providing the same service.  </w:t>
      </w:r>
      <w:r w:rsidR="00314980">
        <w:rPr>
          <w:rFonts w:ascii="Arial" w:hAnsi="Arial"/>
        </w:rPr>
        <w:t>The developed deployment option was discussed in depth at the October 19, 2021</w:t>
      </w:r>
      <w:r w:rsidR="00FB5932">
        <w:rPr>
          <w:rFonts w:ascii="Arial" w:hAnsi="Arial"/>
        </w:rPr>
        <w:t xml:space="preserve"> TAC Non-Spinning Reserve (Non-Spin) Service Workshop.  This workshop allowed an opportunity for ERCOT to present the ideas for stakeholder feedback.  Following the receipt of positive feedback from that workshop, ERCOT staff committed to file a</w:t>
      </w:r>
      <w:r w:rsidR="001E44A3">
        <w:rPr>
          <w:rFonts w:ascii="Arial" w:hAnsi="Arial"/>
        </w:rPr>
        <w:t xml:space="preserve"> Nodal Protocol Revision Request (</w:t>
      </w:r>
      <w:r w:rsidR="00FB5932">
        <w:rPr>
          <w:rFonts w:ascii="Arial" w:hAnsi="Arial"/>
        </w:rPr>
        <w:t>NPRR</w:t>
      </w:r>
      <w:r w:rsidR="001E44A3">
        <w:rPr>
          <w:rFonts w:ascii="Arial" w:hAnsi="Arial"/>
        </w:rPr>
        <w:t>)</w:t>
      </w:r>
      <w:r w:rsidR="00FB5932">
        <w:rPr>
          <w:rFonts w:ascii="Arial" w:hAnsi="Arial"/>
        </w:rPr>
        <w:t xml:space="preserve"> and associated OBDRR</w:t>
      </w:r>
      <w:r w:rsidR="00DF1C8E">
        <w:rPr>
          <w:rFonts w:ascii="Arial" w:hAnsi="Arial"/>
        </w:rPr>
        <w:t xml:space="preserve"> on an Urgent basis</w:t>
      </w:r>
      <w:r w:rsidR="00FB5932">
        <w:rPr>
          <w:rFonts w:ascii="Arial" w:hAnsi="Arial"/>
        </w:rPr>
        <w:t xml:space="preserve"> to effectuate the more equitable treatment.</w:t>
      </w:r>
    </w:p>
    <w:p w14:paraId="77411998" w14:textId="23F0AD63" w:rsidR="00FB5932" w:rsidRDefault="00FB5932" w:rsidP="00906E38">
      <w:pPr>
        <w:tabs>
          <w:tab w:val="num" w:pos="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Given the progress made on the matter in the preceding days and the anticipated submission of a </w:t>
      </w:r>
      <w:r w:rsidR="00DF1C8E">
        <w:rPr>
          <w:rFonts w:ascii="Arial" w:hAnsi="Arial"/>
        </w:rPr>
        <w:t xml:space="preserve">Urgent </w:t>
      </w:r>
      <w:r>
        <w:rPr>
          <w:rFonts w:ascii="Arial" w:hAnsi="Arial"/>
        </w:rPr>
        <w:t xml:space="preserve">NPRR and OBDRR to </w:t>
      </w:r>
      <w:r w:rsidR="00DF1C8E">
        <w:rPr>
          <w:rFonts w:ascii="Arial" w:hAnsi="Arial"/>
        </w:rPr>
        <w:t xml:space="preserve">correct the identified disparate treatment in a manner consistent with the </w:t>
      </w:r>
      <w:r>
        <w:rPr>
          <w:rFonts w:ascii="Arial" w:hAnsi="Arial"/>
        </w:rPr>
        <w:t xml:space="preserve">option presented at the </w:t>
      </w:r>
      <w:r w:rsidR="00DF1C8E">
        <w:rPr>
          <w:rFonts w:ascii="Arial" w:hAnsi="Arial"/>
        </w:rPr>
        <w:t xml:space="preserve">recent </w:t>
      </w:r>
      <w:r>
        <w:rPr>
          <w:rFonts w:ascii="Arial" w:hAnsi="Arial"/>
        </w:rPr>
        <w:t xml:space="preserve">workshop, Appellants have determined that it is unnecessary to continue with opposition to the TAC recommendation regarding OBDRR032.  </w:t>
      </w:r>
    </w:p>
    <w:p w14:paraId="6EB85313" w14:textId="1E0A247B" w:rsidR="00FB5932" w:rsidRPr="00A67F75" w:rsidRDefault="00DF1C8E" w:rsidP="00906E38">
      <w:pPr>
        <w:tabs>
          <w:tab w:val="num" w:pos="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The Appellants will be available to answer any questions that the Board may have at the October 22, 2021 meeting of the ERCOT Board.</w:t>
      </w:r>
    </w:p>
    <w:sectPr w:rsidR="00FB5932" w:rsidRPr="00A67F75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743DF" w14:textId="77777777" w:rsidR="005F0F59" w:rsidRDefault="005F0F59">
      <w:r>
        <w:separator/>
      </w:r>
    </w:p>
  </w:endnote>
  <w:endnote w:type="continuationSeparator" w:id="0">
    <w:p w14:paraId="339E7F40" w14:textId="77777777" w:rsidR="005F0F59" w:rsidRDefault="005F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8F0B" w14:textId="77777777" w:rsidR="003A4138" w:rsidRPr="00412DCA" w:rsidRDefault="003A4138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48D94" w14:textId="64DAB5A2" w:rsidR="00752BFF" w:rsidRDefault="00C0785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032OBDRR-0</w:t>
    </w:r>
    <w:r w:rsidR="00906E38">
      <w:rPr>
        <w:rFonts w:ascii="Arial" w:hAnsi="Arial" w:cs="Arial"/>
        <w:sz w:val="18"/>
      </w:rPr>
      <w:t>6</w:t>
    </w:r>
    <w:r>
      <w:rPr>
        <w:rFonts w:ascii="Arial" w:hAnsi="Arial" w:cs="Arial"/>
        <w:sz w:val="18"/>
      </w:rPr>
      <w:t xml:space="preserve"> TAC Recommendation Opposition by LCRA and STEC</w:t>
    </w:r>
    <w:r w:rsidR="00906E38">
      <w:rPr>
        <w:rFonts w:ascii="Arial" w:hAnsi="Arial" w:cs="Arial"/>
        <w:sz w:val="18"/>
      </w:rPr>
      <w:t xml:space="preserve"> – Updated Position</w:t>
    </w:r>
    <w:r>
      <w:rPr>
        <w:rFonts w:ascii="Arial" w:hAnsi="Arial" w:cs="Arial"/>
        <w:sz w:val="18"/>
      </w:rPr>
      <w:t xml:space="preserve"> 10</w:t>
    </w:r>
    <w:r w:rsidR="00906E38">
      <w:rPr>
        <w:rFonts w:ascii="Arial" w:hAnsi="Arial" w:cs="Arial"/>
        <w:sz w:val="18"/>
      </w:rPr>
      <w:t>20</w:t>
    </w:r>
    <w:r>
      <w:rPr>
        <w:rFonts w:ascii="Arial" w:hAnsi="Arial" w:cs="Arial"/>
        <w:sz w:val="18"/>
      </w:rPr>
      <w:t>21</w:t>
    </w:r>
  </w:p>
  <w:p w14:paraId="08A102DF" w14:textId="53A1382E" w:rsidR="003A4138" w:rsidRDefault="00752BF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  <w:r w:rsidR="003A4138">
      <w:rPr>
        <w:rFonts w:ascii="Arial" w:hAnsi="Arial" w:cs="Arial"/>
        <w:sz w:val="18"/>
      </w:rPr>
      <w:tab/>
      <w:t>Pa</w:t>
    </w:r>
    <w:r w:rsidR="003A4138" w:rsidRPr="00412DCA">
      <w:rPr>
        <w:rFonts w:ascii="Arial" w:hAnsi="Arial" w:cs="Arial"/>
        <w:sz w:val="18"/>
      </w:rPr>
      <w:t xml:space="preserve">ge </w:t>
    </w:r>
    <w:r w:rsidR="003A4138" w:rsidRPr="00412DCA">
      <w:rPr>
        <w:rFonts w:ascii="Arial" w:hAnsi="Arial" w:cs="Arial"/>
        <w:sz w:val="18"/>
      </w:rPr>
      <w:fldChar w:fldCharType="begin"/>
    </w:r>
    <w:r w:rsidR="003A4138" w:rsidRPr="00412DCA">
      <w:rPr>
        <w:rFonts w:ascii="Arial" w:hAnsi="Arial" w:cs="Arial"/>
        <w:sz w:val="18"/>
      </w:rPr>
      <w:instrText xml:space="preserve"> PAGE </w:instrText>
    </w:r>
    <w:r w:rsidR="003A4138" w:rsidRPr="00412DCA">
      <w:rPr>
        <w:rFonts w:ascii="Arial" w:hAnsi="Arial" w:cs="Arial"/>
        <w:sz w:val="18"/>
      </w:rPr>
      <w:fldChar w:fldCharType="separate"/>
    </w:r>
    <w:r w:rsidR="002A0AA5">
      <w:rPr>
        <w:rFonts w:ascii="Arial" w:hAnsi="Arial" w:cs="Arial"/>
        <w:noProof/>
        <w:sz w:val="18"/>
      </w:rPr>
      <w:t>7</w:t>
    </w:r>
    <w:r w:rsidR="003A4138" w:rsidRPr="00412DCA">
      <w:rPr>
        <w:rFonts w:ascii="Arial" w:hAnsi="Arial" w:cs="Arial"/>
        <w:sz w:val="18"/>
      </w:rPr>
      <w:fldChar w:fldCharType="end"/>
    </w:r>
    <w:r w:rsidR="003A4138" w:rsidRPr="00412DCA">
      <w:rPr>
        <w:rFonts w:ascii="Arial" w:hAnsi="Arial" w:cs="Arial"/>
        <w:sz w:val="18"/>
      </w:rPr>
      <w:t xml:space="preserve"> of </w:t>
    </w:r>
    <w:r w:rsidR="003A4138" w:rsidRPr="00412DCA">
      <w:rPr>
        <w:rFonts w:ascii="Arial" w:hAnsi="Arial" w:cs="Arial"/>
        <w:sz w:val="18"/>
      </w:rPr>
      <w:fldChar w:fldCharType="begin"/>
    </w:r>
    <w:r w:rsidR="003A4138" w:rsidRPr="00412DCA">
      <w:rPr>
        <w:rFonts w:ascii="Arial" w:hAnsi="Arial" w:cs="Arial"/>
        <w:sz w:val="18"/>
      </w:rPr>
      <w:instrText xml:space="preserve"> NUMPAGES </w:instrText>
    </w:r>
    <w:r w:rsidR="003A4138" w:rsidRPr="00412DCA">
      <w:rPr>
        <w:rFonts w:ascii="Arial" w:hAnsi="Arial" w:cs="Arial"/>
        <w:sz w:val="18"/>
      </w:rPr>
      <w:fldChar w:fldCharType="separate"/>
    </w:r>
    <w:r w:rsidR="002A0AA5">
      <w:rPr>
        <w:rFonts w:ascii="Arial" w:hAnsi="Arial" w:cs="Arial"/>
        <w:noProof/>
        <w:sz w:val="18"/>
      </w:rPr>
      <w:t>7</w:t>
    </w:r>
    <w:r w:rsidR="003A4138" w:rsidRPr="00412DCA">
      <w:rPr>
        <w:rFonts w:ascii="Arial" w:hAnsi="Arial" w:cs="Arial"/>
        <w:sz w:val="18"/>
      </w:rPr>
      <w:fldChar w:fldCharType="end"/>
    </w:r>
  </w:p>
  <w:p w14:paraId="23F7CAED" w14:textId="1D993AA0" w:rsidR="003A4138" w:rsidRPr="00412DCA" w:rsidRDefault="003A413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BF1D0" w14:textId="77777777" w:rsidR="003A4138" w:rsidRPr="00412DCA" w:rsidRDefault="003A4138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1A3AE" w14:textId="77777777" w:rsidR="005F0F59" w:rsidRDefault="005F0F59">
      <w:r>
        <w:separator/>
      </w:r>
    </w:p>
  </w:footnote>
  <w:footnote w:type="continuationSeparator" w:id="0">
    <w:p w14:paraId="0381DD76" w14:textId="77777777" w:rsidR="005F0F59" w:rsidRDefault="005F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31DDD" w14:textId="2CAC714B" w:rsidR="003A4138" w:rsidRPr="001044A2" w:rsidRDefault="00C07855" w:rsidP="00C07855">
    <w:pPr>
      <w:pStyle w:val="Header"/>
      <w:jc w:val="center"/>
      <w:rPr>
        <w:sz w:val="32"/>
        <w:szCs w:val="32"/>
      </w:rPr>
    </w:pPr>
    <w:r w:rsidRPr="001044A2">
      <w:rPr>
        <w:bCs w:val="0"/>
        <w:sz w:val="32"/>
        <w:szCs w:val="32"/>
      </w:rPr>
      <w:t>TAC Recommendation Opposition</w:t>
    </w:r>
    <w:r w:rsidR="001E44A3">
      <w:rPr>
        <w:bCs w:val="0"/>
        <w:sz w:val="32"/>
        <w:szCs w:val="32"/>
      </w:rPr>
      <w:t xml:space="preserve"> – Updated 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C65A7E"/>
    <w:multiLevelType w:val="hybridMultilevel"/>
    <w:tmpl w:val="E5B4EC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48AA"/>
    <w:multiLevelType w:val="hybridMultilevel"/>
    <w:tmpl w:val="F020C5B0"/>
    <w:lvl w:ilvl="0" w:tplc="80E41B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A4876B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80FA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90E8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F72A0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8562C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5D2E0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AE059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422F0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0215"/>
    <w:multiLevelType w:val="hybridMultilevel"/>
    <w:tmpl w:val="3FD6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81D2D"/>
    <w:multiLevelType w:val="hybridMultilevel"/>
    <w:tmpl w:val="0442A8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7C1E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B7303"/>
    <w:multiLevelType w:val="hybridMultilevel"/>
    <w:tmpl w:val="3210E3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E86688"/>
    <w:multiLevelType w:val="hybridMultilevel"/>
    <w:tmpl w:val="1834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85D15E2"/>
    <w:multiLevelType w:val="hybridMultilevel"/>
    <w:tmpl w:val="FA38B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C2C7B"/>
    <w:multiLevelType w:val="hybridMultilevel"/>
    <w:tmpl w:val="5172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C2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3"/>
  </w:num>
  <w:num w:numId="15">
    <w:abstractNumId w:val="11"/>
  </w:num>
  <w:num w:numId="16">
    <w:abstractNumId w:val="15"/>
  </w:num>
  <w:num w:numId="17">
    <w:abstractNumId w:val="16"/>
  </w:num>
  <w:num w:numId="18">
    <w:abstractNumId w:val="5"/>
  </w:num>
  <w:num w:numId="19">
    <w:abstractNumId w:val="13"/>
  </w:num>
  <w:num w:numId="20">
    <w:abstractNumId w:val="9"/>
  </w:num>
  <w:num w:numId="21">
    <w:abstractNumId w:val="2"/>
  </w:num>
  <w:num w:numId="22">
    <w:abstractNumId w:val="4"/>
  </w:num>
  <w:num w:numId="23">
    <w:abstractNumId w:val="7"/>
  </w:num>
  <w:num w:numId="24">
    <w:abstractNumId w:val="14"/>
  </w:num>
  <w:num w:numId="25">
    <w:abstractNumId w:val="8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22117"/>
    <w:rsid w:val="000233AD"/>
    <w:rsid w:val="00032C08"/>
    <w:rsid w:val="00067FE2"/>
    <w:rsid w:val="000710D5"/>
    <w:rsid w:val="000D7040"/>
    <w:rsid w:val="001044A2"/>
    <w:rsid w:val="00110DA1"/>
    <w:rsid w:val="00124E72"/>
    <w:rsid w:val="00132E7E"/>
    <w:rsid w:val="00145425"/>
    <w:rsid w:val="0014546D"/>
    <w:rsid w:val="00147CD9"/>
    <w:rsid w:val="00175161"/>
    <w:rsid w:val="0019314C"/>
    <w:rsid w:val="001A6D21"/>
    <w:rsid w:val="001B18C6"/>
    <w:rsid w:val="001C1419"/>
    <w:rsid w:val="001D2076"/>
    <w:rsid w:val="001E2AEB"/>
    <w:rsid w:val="001E44A3"/>
    <w:rsid w:val="0024193F"/>
    <w:rsid w:val="00242603"/>
    <w:rsid w:val="00291547"/>
    <w:rsid w:val="0029370A"/>
    <w:rsid w:val="002A0AA5"/>
    <w:rsid w:val="002A0ECC"/>
    <w:rsid w:val="002B6665"/>
    <w:rsid w:val="002B763A"/>
    <w:rsid w:val="00300362"/>
    <w:rsid w:val="003013F2"/>
    <w:rsid w:val="00303C50"/>
    <w:rsid w:val="0030694A"/>
    <w:rsid w:val="00314980"/>
    <w:rsid w:val="0032677B"/>
    <w:rsid w:val="00327381"/>
    <w:rsid w:val="00372F76"/>
    <w:rsid w:val="00387DF7"/>
    <w:rsid w:val="00396DF7"/>
    <w:rsid w:val="003A3D77"/>
    <w:rsid w:val="003A4138"/>
    <w:rsid w:val="003C5BA2"/>
    <w:rsid w:val="003C5F69"/>
    <w:rsid w:val="003F017A"/>
    <w:rsid w:val="00424216"/>
    <w:rsid w:val="004463BA"/>
    <w:rsid w:val="00474489"/>
    <w:rsid w:val="004822D4"/>
    <w:rsid w:val="00483953"/>
    <w:rsid w:val="004A562B"/>
    <w:rsid w:val="004B26B4"/>
    <w:rsid w:val="004B2984"/>
    <w:rsid w:val="005064CB"/>
    <w:rsid w:val="00520A18"/>
    <w:rsid w:val="005305A0"/>
    <w:rsid w:val="00534C6C"/>
    <w:rsid w:val="005E3F9D"/>
    <w:rsid w:val="005E489D"/>
    <w:rsid w:val="005F0F59"/>
    <w:rsid w:val="00622CC8"/>
    <w:rsid w:val="006264CE"/>
    <w:rsid w:val="006424E7"/>
    <w:rsid w:val="00646F3A"/>
    <w:rsid w:val="00653565"/>
    <w:rsid w:val="0068206B"/>
    <w:rsid w:val="006A137E"/>
    <w:rsid w:val="006D2265"/>
    <w:rsid w:val="006E5682"/>
    <w:rsid w:val="006E6E27"/>
    <w:rsid w:val="006F4DE3"/>
    <w:rsid w:val="00706B0F"/>
    <w:rsid w:val="0071466E"/>
    <w:rsid w:val="00743968"/>
    <w:rsid w:val="00752BFF"/>
    <w:rsid w:val="00791CB9"/>
    <w:rsid w:val="007A5405"/>
    <w:rsid w:val="007D1B33"/>
    <w:rsid w:val="00815177"/>
    <w:rsid w:val="0082208D"/>
    <w:rsid w:val="00843CDC"/>
    <w:rsid w:val="0088116F"/>
    <w:rsid w:val="00884BA1"/>
    <w:rsid w:val="008A51E7"/>
    <w:rsid w:val="008B7D89"/>
    <w:rsid w:val="008F6441"/>
    <w:rsid w:val="00906E38"/>
    <w:rsid w:val="00963A51"/>
    <w:rsid w:val="009847A0"/>
    <w:rsid w:val="009A3772"/>
    <w:rsid w:val="009A63D4"/>
    <w:rsid w:val="009D41F1"/>
    <w:rsid w:val="009E067E"/>
    <w:rsid w:val="00A14C6E"/>
    <w:rsid w:val="00A51CDE"/>
    <w:rsid w:val="00A66F31"/>
    <w:rsid w:val="00A67F75"/>
    <w:rsid w:val="00A8000E"/>
    <w:rsid w:val="00A9500C"/>
    <w:rsid w:val="00A954D0"/>
    <w:rsid w:val="00AF56C6"/>
    <w:rsid w:val="00AF687F"/>
    <w:rsid w:val="00B57F96"/>
    <w:rsid w:val="00B92EF9"/>
    <w:rsid w:val="00BC2D06"/>
    <w:rsid w:val="00BE5A71"/>
    <w:rsid w:val="00C032A8"/>
    <w:rsid w:val="00C07855"/>
    <w:rsid w:val="00C16A9B"/>
    <w:rsid w:val="00C41E24"/>
    <w:rsid w:val="00C90702"/>
    <w:rsid w:val="00C917FF"/>
    <w:rsid w:val="00C95034"/>
    <w:rsid w:val="00CF7E0F"/>
    <w:rsid w:val="00D0279A"/>
    <w:rsid w:val="00D335F2"/>
    <w:rsid w:val="00D47A80"/>
    <w:rsid w:val="00D97220"/>
    <w:rsid w:val="00DC3584"/>
    <w:rsid w:val="00DC7B5D"/>
    <w:rsid w:val="00DD3218"/>
    <w:rsid w:val="00DF1C8E"/>
    <w:rsid w:val="00E00114"/>
    <w:rsid w:val="00E30A7E"/>
    <w:rsid w:val="00E37AB0"/>
    <w:rsid w:val="00E72B3F"/>
    <w:rsid w:val="00E93772"/>
    <w:rsid w:val="00E979D4"/>
    <w:rsid w:val="00EA4CC3"/>
    <w:rsid w:val="00EA6110"/>
    <w:rsid w:val="00EB6E17"/>
    <w:rsid w:val="00F240C8"/>
    <w:rsid w:val="00F276A4"/>
    <w:rsid w:val="00F35C71"/>
    <w:rsid w:val="00F44236"/>
    <w:rsid w:val="00F51F2E"/>
    <w:rsid w:val="00F53C30"/>
    <w:rsid w:val="00F63DAA"/>
    <w:rsid w:val="00F87E79"/>
    <w:rsid w:val="00FB5932"/>
    <w:rsid w:val="00F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1E080"/>
  <w15:chartTrackingRefBased/>
  <w15:docId w15:val="{75C543D3-EB71-4172-8DD8-E3D0FDE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basedOn w:val="Normal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F51F2E"/>
    <w:pPr>
      <w:spacing w:before="100" w:beforeAutospacing="1" w:after="100" w:afterAutospacing="1"/>
    </w:pPr>
  </w:style>
  <w:style w:type="character" w:customStyle="1" w:styleId="HeaderChar">
    <w:name w:val="Header Char"/>
    <w:link w:val="Header"/>
    <w:locked/>
    <w:rsid w:val="0032677B"/>
    <w:rPr>
      <w:rFonts w:ascii="Arial" w:hAnsi="Arial"/>
      <w:b/>
      <w:bCs/>
      <w:sz w:val="24"/>
      <w:szCs w:val="24"/>
    </w:rPr>
  </w:style>
  <w:style w:type="character" w:styleId="FollowedHyperlink">
    <w:name w:val="FollowedHyperlink"/>
    <w:rsid w:val="006A137E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0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7E7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3C50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rsid w:val="008B7D89"/>
  </w:style>
  <w:style w:type="character" w:styleId="UnresolvedMention">
    <w:name w:val="Unresolved Mention"/>
    <w:basedOn w:val="DefaultParagraphFont"/>
    <w:uiPriority w:val="99"/>
    <w:semiHidden/>
    <w:unhideWhenUsed/>
    <w:rsid w:val="001C1419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rsid w:val="00A95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OBDRR03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if@ste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Dumas@lcra.org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5E5E-E7EB-4F52-B392-5A356926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2259</CharactersWithSpaces>
  <SharedDoc>false</SharedDoc>
  <HLinks>
    <vt:vector size="12" baseType="variant">
      <vt:variant>
        <vt:i4>5374074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http://www.ercot.com/content/wcm/key_documents_lists/90101/Revision_Request_and_Comment_Submission_Guidelines.doc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dc:description/>
  <cp:lastModifiedBy>ERCOT</cp:lastModifiedBy>
  <cp:revision>3</cp:revision>
  <cp:lastPrinted>2001-06-20T16:28:00Z</cp:lastPrinted>
  <dcterms:created xsi:type="dcterms:W3CDTF">2021-10-20T19:47:00Z</dcterms:created>
  <dcterms:modified xsi:type="dcterms:W3CDTF">2021-10-20T19:49:00Z</dcterms:modified>
</cp:coreProperties>
</file>