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3BC0FF" w14:textId="77777777" w:rsidR="003B1591" w:rsidRPr="00C754FC" w:rsidRDefault="00C754FC">
      <w:pPr>
        <w:rPr>
          <w:b/>
          <w:sz w:val="28"/>
          <w:szCs w:val="28"/>
        </w:rPr>
      </w:pPr>
      <w:r w:rsidRPr="00C754FC">
        <w:rPr>
          <w:b/>
          <w:sz w:val="28"/>
          <w:szCs w:val="28"/>
        </w:rPr>
        <w:t>RECTF</w:t>
      </w:r>
    </w:p>
    <w:p w14:paraId="7967FD6E" w14:textId="3C2B4707" w:rsidR="00C754FC" w:rsidRPr="00C754FC" w:rsidRDefault="00676163">
      <w:pPr>
        <w:rPr>
          <w:b/>
          <w:sz w:val="28"/>
          <w:szCs w:val="28"/>
        </w:rPr>
      </w:pPr>
      <w:r>
        <w:rPr>
          <w:b/>
          <w:sz w:val="28"/>
          <w:szCs w:val="28"/>
        </w:rPr>
        <w:t>September 28th</w:t>
      </w:r>
      <w:r w:rsidR="00C754FC" w:rsidRPr="00C754FC">
        <w:rPr>
          <w:b/>
          <w:sz w:val="28"/>
          <w:szCs w:val="28"/>
        </w:rPr>
        <w:t>, 2021</w:t>
      </w:r>
    </w:p>
    <w:p w14:paraId="25725C79" w14:textId="13EEBCAC" w:rsidR="00C754FC" w:rsidRDefault="00C754FC">
      <w:pPr>
        <w:rPr>
          <w:b/>
          <w:sz w:val="28"/>
          <w:szCs w:val="28"/>
        </w:rPr>
      </w:pPr>
      <w:r w:rsidRPr="00C754FC">
        <w:rPr>
          <w:b/>
          <w:sz w:val="28"/>
          <w:szCs w:val="28"/>
        </w:rPr>
        <w:t>WebEx only</w:t>
      </w:r>
    </w:p>
    <w:p w14:paraId="48C8BFF7" w14:textId="77777777" w:rsidR="00CD1AB7" w:rsidRDefault="00CD1AB7">
      <w:pPr>
        <w:rPr>
          <w:b/>
          <w:sz w:val="28"/>
          <w:szCs w:val="28"/>
        </w:rPr>
      </w:pPr>
    </w:p>
    <w:tbl>
      <w:tblPr>
        <w:tblStyle w:val="GridTable4-Accent5"/>
        <w:tblW w:w="10710" w:type="dxa"/>
        <w:tblInd w:w="-522" w:type="dxa"/>
        <w:tblLook w:val="04A0" w:firstRow="1" w:lastRow="0" w:firstColumn="1" w:lastColumn="0" w:noHBand="0" w:noVBand="1"/>
      </w:tblPr>
      <w:tblGrid>
        <w:gridCol w:w="2093"/>
        <w:gridCol w:w="1302"/>
        <w:gridCol w:w="1892"/>
        <w:gridCol w:w="90"/>
        <w:gridCol w:w="1202"/>
        <w:gridCol w:w="2346"/>
        <w:gridCol w:w="1785"/>
      </w:tblGrid>
      <w:tr w:rsidR="00C754FC" w14:paraId="0084D4EE" w14:textId="77777777" w:rsidTr="00FC58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2F525D02" w14:textId="77777777" w:rsidR="00C754FC" w:rsidRDefault="00C754FC">
            <w:pPr>
              <w:rPr>
                <w:b w:val="0"/>
                <w:sz w:val="28"/>
                <w:szCs w:val="28"/>
              </w:rPr>
            </w:pPr>
            <w:r>
              <w:rPr>
                <w:b w:val="0"/>
                <w:sz w:val="28"/>
                <w:szCs w:val="28"/>
              </w:rPr>
              <w:t>Attendee</w:t>
            </w:r>
          </w:p>
        </w:tc>
        <w:tc>
          <w:tcPr>
            <w:tcW w:w="1302" w:type="dxa"/>
          </w:tcPr>
          <w:p w14:paraId="05C6E168" w14:textId="77777777" w:rsidR="00C754FC" w:rsidRDefault="00C754FC">
            <w:pPr>
              <w:cnfStyle w:val="100000000000" w:firstRow="1" w:lastRow="0" w:firstColumn="0" w:lastColumn="0" w:oddVBand="0" w:evenVBand="0" w:oddHBand="0" w:evenHBand="0" w:firstRowFirstColumn="0" w:firstRowLastColumn="0" w:lastRowFirstColumn="0" w:lastRowLastColumn="0"/>
              <w:rPr>
                <w:b w:val="0"/>
                <w:sz w:val="28"/>
                <w:szCs w:val="28"/>
              </w:rPr>
            </w:pPr>
            <w:r>
              <w:rPr>
                <w:b w:val="0"/>
                <w:sz w:val="28"/>
                <w:szCs w:val="28"/>
              </w:rPr>
              <w:t>Company</w:t>
            </w:r>
          </w:p>
        </w:tc>
        <w:tc>
          <w:tcPr>
            <w:tcW w:w="1892" w:type="dxa"/>
          </w:tcPr>
          <w:p w14:paraId="39C217CA" w14:textId="77777777" w:rsidR="00C754FC" w:rsidRDefault="00C754FC">
            <w:pPr>
              <w:cnfStyle w:val="100000000000" w:firstRow="1" w:lastRow="0" w:firstColumn="0" w:lastColumn="0" w:oddVBand="0" w:evenVBand="0" w:oddHBand="0" w:evenHBand="0" w:firstRowFirstColumn="0" w:firstRowLastColumn="0" w:lastRowFirstColumn="0" w:lastRowLastColumn="0"/>
              <w:rPr>
                <w:b w:val="0"/>
                <w:sz w:val="28"/>
                <w:szCs w:val="28"/>
              </w:rPr>
            </w:pPr>
            <w:r>
              <w:rPr>
                <w:b w:val="0"/>
                <w:sz w:val="28"/>
                <w:szCs w:val="28"/>
              </w:rPr>
              <w:t>Attendee</w:t>
            </w:r>
          </w:p>
        </w:tc>
        <w:tc>
          <w:tcPr>
            <w:tcW w:w="1292" w:type="dxa"/>
            <w:gridSpan w:val="2"/>
          </w:tcPr>
          <w:p w14:paraId="66178562" w14:textId="77777777" w:rsidR="00C754FC" w:rsidRDefault="00C754FC">
            <w:pPr>
              <w:cnfStyle w:val="100000000000" w:firstRow="1" w:lastRow="0" w:firstColumn="0" w:lastColumn="0" w:oddVBand="0" w:evenVBand="0" w:oddHBand="0" w:evenHBand="0" w:firstRowFirstColumn="0" w:firstRowLastColumn="0" w:lastRowFirstColumn="0" w:lastRowLastColumn="0"/>
              <w:rPr>
                <w:b w:val="0"/>
                <w:sz w:val="28"/>
                <w:szCs w:val="28"/>
              </w:rPr>
            </w:pPr>
            <w:r>
              <w:rPr>
                <w:b w:val="0"/>
                <w:sz w:val="28"/>
                <w:szCs w:val="28"/>
              </w:rPr>
              <w:t>Company</w:t>
            </w:r>
          </w:p>
        </w:tc>
        <w:tc>
          <w:tcPr>
            <w:tcW w:w="2346" w:type="dxa"/>
          </w:tcPr>
          <w:p w14:paraId="2F64FB1C" w14:textId="77777777" w:rsidR="00C754FC" w:rsidRDefault="00C754FC">
            <w:pPr>
              <w:cnfStyle w:val="100000000000" w:firstRow="1" w:lastRow="0" w:firstColumn="0" w:lastColumn="0" w:oddVBand="0" w:evenVBand="0" w:oddHBand="0" w:evenHBand="0" w:firstRowFirstColumn="0" w:firstRowLastColumn="0" w:lastRowFirstColumn="0" w:lastRowLastColumn="0"/>
              <w:rPr>
                <w:b w:val="0"/>
                <w:sz w:val="28"/>
                <w:szCs w:val="28"/>
              </w:rPr>
            </w:pPr>
            <w:r>
              <w:rPr>
                <w:b w:val="0"/>
                <w:sz w:val="28"/>
                <w:szCs w:val="28"/>
              </w:rPr>
              <w:t>Attendee</w:t>
            </w:r>
          </w:p>
        </w:tc>
        <w:tc>
          <w:tcPr>
            <w:tcW w:w="1785" w:type="dxa"/>
          </w:tcPr>
          <w:p w14:paraId="50023A56" w14:textId="77777777" w:rsidR="00C754FC" w:rsidRDefault="00C754FC">
            <w:pPr>
              <w:cnfStyle w:val="100000000000" w:firstRow="1" w:lastRow="0" w:firstColumn="0" w:lastColumn="0" w:oddVBand="0" w:evenVBand="0" w:oddHBand="0" w:evenHBand="0" w:firstRowFirstColumn="0" w:firstRowLastColumn="0" w:lastRowFirstColumn="0" w:lastRowLastColumn="0"/>
              <w:rPr>
                <w:b w:val="0"/>
                <w:sz w:val="28"/>
                <w:szCs w:val="28"/>
              </w:rPr>
            </w:pPr>
            <w:r>
              <w:rPr>
                <w:b w:val="0"/>
                <w:sz w:val="28"/>
                <w:szCs w:val="28"/>
              </w:rPr>
              <w:t>Company</w:t>
            </w:r>
          </w:p>
        </w:tc>
      </w:tr>
      <w:tr w:rsidR="00676163" w14:paraId="6D96721F" w14:textId="77777777" w:rsidTr="00FC58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02E96038" w14:textId="77777777" w:rsidR="00676163" w:rsidRPr="00C754FC" w:rsidRDefault="00676163" w:rsidP="00676163">
            <w:pPr>
              <w:rPr>
                <w:b w:val="0"/>
              </w:rPr>
            </w:pPr>
            <w:r w:rsidRPr="00C754FC">
              <w:rPr>
                <w:b w:val="0"/>
              </w:rPr>
              <w:t>Jim Lee</w:t>
            </w:r>
          </w:p>
        </w:tc>
        <w:tc>
          <w:tcPr>
            <w:tcW w:w="1302" w:type="dxa"/>
          </w:tcPr>
          <w:p w14:paraId="4E1CE8D6" w14:textId="77777777" w:rsidR="00676163" w:rsidRPr="00C754FC" w:rsidRDefault="00676163" w:rsidP="00676163">
            <w:pPr>
              <w:cnfStyle w:val="000000100000" w:firstRow="0" w:lastRow="0" w:firstColumn="0" w:lastColumn="0" w:oddVBand="0" w:evenVBand="0" w:oddHBand="1" w:evenHBand="0" w:firstRowFirstColumn="0" w:firstRowLastColumn="0" w:lastRowFirstColumn="0" w:lastRowLastColumn="0"/>
            </w:pPr>
            <w:r w:rsidRPr="00C754FC">
              <w:t>AEP</w:t>
            </w:r>
          </w:p>
        </w:tc>
        <w:tc>
          <w:tcPr>
            <w:tcW w:w="1982" w:type="dxa"/>
            <w:gridSpan w:val="2"/>
          </w:tcPr>
          <w:p w14:paraId="461D2A53" w14:textId="0D586FD3" w:rsidR="00676163" w:rsidRPr="00C754FC" w:rsidRDefault="00676163" w:rsidP="00676163">
            <w:pPr>
              <w:cnfStyle w:val="000000100000" w:firstRow="0" w:lastRow="0" w:firstColumn="0" w:lastColumn="0" w:oddVBand="0" w:evenVBand="0" w:oddHBand="1" w:evenHBand="0" w:firstRowFirstColumn="0" w:firstRowLastColumn="0" w:lastRowFirstColumn="0" w:lastRowLastColumn="0"/>
            </w:pPr>
            <w:r>
              <w:t>Eric Goodwin Jr</w:t>
            </w:r>
          </w:p>
        </w:tc>
        <w:tc>
          <w:tcPr>
            <w:tcW w:w="1202" w:type="dxa"/>
          </w:tcPr>
          <w:p w14:paraId="67ED95CE" w14:textId="2B0BC8B0" w:rsidR="00676163" w:rsidRPr="00C754FC" w:rsidRDefault="00676163" w:rsidP="00676163">
            <w:pPr>
              <w:cnfStyle w:val="000000100000" w:firstRow="0" w:lastRow="0" w:firstColumn="0" w:lastColumn="0" w:oddVBand="0" w:evenVBand="0" w:oddHBand="1" w:evenHBand="0" w:firstRowFirstColumn="0" w:firstRowLastColumn="0" w:lastRowFirstColumn="0" w:lastRowLastColumn="0"/>
            </w:pPr>
            <w:r>
              <w:t>CNP</w:t>
            </w:r>
          </w:p>
        </w:tc>
        <w:tc>
          <w:tcPr>
            <w:tcW w:w="2346" w:type="dxa"/>
          </w:tcPr>
          <w:p w14:paraId="2098F001" w14:textId="3A667BF2" w:rsidR="00676163" w:rsidRPr="00C754FC" w:rsidRDefault="00676163" w:rsidP="00676163">
            <w:pPr>
              <w:cnfStyle w:val="000000100000" w:firstRow="0" w:lastRow="0" w:firstColumn="0" w:lastColumn="0" w:oddVBand="0" w:evenVBand="0" w:oddHBand="1" w:evenHBand="0" w:firstRowFirstColumn="0" w:firstRowLastColumn="0" w:lastRowFirstColumn="0" w:lastRowLastColumn="0"/>
            </w:pPr>
            <w:r>
              <w:t>Amy Quintero</w:t>
            </w:r>
          </w:p>
        </w:tc>
        <w:tc>
          <w:tcPr>
            <w:tcW w:w="1785" w:type="dxa"/>
          </w:tcPr>
          <w:p w14:paraId="263C2CFB" w14:textId="30B3AA81" w:rsidR="00676163" w:rsidRPr="00C754FC" w:rsidRDefault="00676163" w:rsidP="00676163">
            <w:pPr>
              <w:cnfStyle w:val="000000100000" w:firstRow="0" w:lastRow="0" w:firstColumn="0" w:lastColumn="0" w:oddVBand="0" w:evenVBand="0" w:oddHBand="1" w:evenHBand="0" w:firstRowFirstColumn="0" w:firstRowLastColumn="0" w:lastRowFirstColumn="0" w:lastRowLastColumn="0"/>
            </w:pPr>
            <w:r>
              <w:t>CNP</w:t>
            </w:r>
          </w:p>
        </w:tc>
      </w:tr>
      <w:tr w:rsidR="00676163" w14:paraId="381D4B86" w14:textId="77777777" w:rsidTr="00FC5864">
        <w:tc>
          <w:tcPr>
            <w:cnfStyle w:val="001000000000" w:firstRow="0" w:lastRow="0" w:firstColumn="1" w:lastColumn="0" w:oddVBand="0" w:evenVBand="0" w:oddHBand="0" w:evenHBand="0" w:firstRowFirstColumn="0" w:firstRowLastColumn="0" w:lastRowFirstColumn="0" w:lastRowLastColumn="0"/>
            <w:tcW w:w="2093" w:type="dxa"/>
          </w:tcPr>
          <w:p w14:paraId="3FA50067" w14:textId="77777777" w:rsidR="00676163" w:rsidRPr="00C754FC" w:rsidRDefault="00676163" w:rsidP="00676163">
            <w:pPr>
              <w:rPr>
                <w:b w:val="0"/>
              </w:rPr>
            </w:pPr>
            <w:r w:rsidRPr="00C754FC">
              <w:rPr>
                <w:b w:val="0"/>
              </w:rPr>
              <w:t>Jordan Troublefield</w:t>
            </w:r>
          </w:p>
        </w:tc>
        <w:tc>
          <w:tcPr>
            <w:tcW w:w="1302" w:type="dxa"/>
          </w:tcPr>
          <w:p w14:paraId="380D540C" w14:textId="77777777" w:rsidR="00676163" w:rsidRPr="00C754FC" w:rsidRDefault="00676163" w:rsidP="00676163">
            <w:pPr>
              <w:cnfStyle w:val="000000000000" w:firstRow="0" w:lastRow="0" w:firstColumn="0" w:lastColumn="0" w:oddVBand="0" w:evenVBand="0" w:oddHBand="0" w:evenHBand="0" w:firstRowFirstColumn="0" w:firstRowLastColumn="0" w:lastRowFirstColumn="0" w:lastRowLastColumn="0"/>
            </w:pPr>
            <w:r w:rsidRPr="00C754FC">
              <w:t>ERCOT</w:t>
            </w:r>
          </w:p>
        </w:tc>
        <w:tc>
          <w:tcPr>
            <w:tcW w:w="1982" w:type="dxa"/>
            <w:gridSpan w:val="2"/>
          </w:tcPr>
          <w:p w14:paraId="725E2806" w14:textId="24E78715" w:rsidR="00676163" w:rsidRPr="00C754FC" w:rsidRDefault="00676163" w:rsidP="00676163">
            <w:pPr>
              <w:cnfStyle w:val="000000000000" w:firstRow="0" w:lastRow="0" w:firstColumn="0" w:lastColumn="0" w:oddVBand="0" w:evenVBand="0" w:oddHBand="0" w:evenHBand="0" w:firstRowFirstColumn="0" w:firstRowLastColumn="0" w:lastRowFirstColumn="0" w:lastRowLastColumn="0"/>
            </w:pPr>
            <w:r>
              <w:t>Martin Ramirez</w:t>
            </w:r>
          </w:p>
        </w:tc>
        <w:tc>
          <w:tcPr>
            <w:tcW w:w="1202" w:type="dxa"/>
          </w:tcPr>
          <w:p w14:paraId="21325BF4" w14:textId="2782DA18" w:rsidR="00676163" w:rsidRPr="00C754FC" w:rsidRDefault="00676163" w:rsidP="00676163">
            <w:pPr>
              <w:cnfStyle w:val="000000000000" w:firstRow="0" w:lastRow="0" w:firstColumn="0" w:lastColumn="0" w:oddVBand="0" w:evenVBand="0" w:oddHBand="0" w:evenHBand="0" w:firstRowFirstColumn="0" w:firstRowLastColumn="0" w:lastRowFirstColumn="0" w:lastRowLastColumn="0"/>
            </w:pPr>
            <w:r>
              <w:t>CNP</w:t>
            </w:r>
          </w:p>
        </w:tc>
        <w:tc>
          <w:tcPr>
            <w:tcW w:w="2346" w:type="dxa"/>
          </w:tcPr>
          <w:p w14:paraId="23FE572A" w14:textId="77777777" w:rsidR="00676163" w:rsidRPr="00C754FC" w:rsidRDefault="00676163" w:rsidP="00676163">
            <w:pPr>
              <w:cnfStyle w:val="000000000000" w:firstRow="0" w:lastRow="0" w:firstColumn="0" w:lastColumn="0" w:oddVBand="0" w:evenVBand="0" w:oddHBand="0" w:evenHBand="0" w:firstRowFirstColumn="0" w:firstRowLastColumn="0" w:lastRowFirstColumn="0" w:lastRowLastColumn="0"/>
            </w:pPr>
            <w:r>
              <w:t>Chris Hendrix</w:t>
            </w:r>
          </w:p>
        </w:tc>
        <w:tc>
          <w:tcPr>
            <w:tcW w:w="1785" w:type="dxa"/>
          </w:tcPr>
          <w:p w14:paraId="6F62B096" w14:textId="77777777" w:rsidR="00676163" w:rsidRPr="00C754FC" w:rsidRDefault="00676163" w:rsidP="00676163">
            <w:pPr>
              <w:cnfStyle w:val="000000000000" w:firstRow="0" w:lastRow="0" w:firstColumn="0" w:lastColumn="0" w:oddVBand="0" w:evenVBand="0" w:oddHBand="0" w:evenHBand="0" w:firstRowFirstColumn="0" w:firstRowLastColumn="0" w:lastRowFirstColumn="0" w:lastRowLastColumn="0"/>
            </w:pPr>
            <w:r>
              <w:t>Demand Control</w:t>
            </w:r>
          </w:p>
        </w:tc>
      </w:tr>
      <w:tr w:rsidR="00676163" w14:paraId="682EEC5B" w14:textId="77777777" w:rsidTr="00FC58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56E73636" w14:textId="531D3F8C" w:rsidR="00676163" w:rsidRDefault="00676163" w:rsidP="00676163">
            <w:pPr>
              <w:rPr>
                <w:b w:val="0"/>
              </w:rPr>
            </w:pPr>
            <w:r>
              <w:rPr>
                <w:b w:val="0"/>
              </w:rPr>
              <w:t>Sam Pak</w:t>
            </w:r>
          </w:p>
        </w:tc>
        <w:tc>
          <w:tcPr>
            <w:tcW w:w="1302" w:type="dxa"/>
          </w:tcPr>
          <w:p w14:paraId="7F1789FC" w14:textId="241BC231" w:rsidR="00676163" w:rsidRDefault="00676163" w:rsidP="00676163">
            <w:pPr>
              <w:cnfStyle w:val="000000100000" w:firstRow="0" w:lastRow="0" w:firstColumn="0" w:lastColumn="0" w:oddVBand="0" w:evenVBand="0" w:oddHBand="1" w:evenHBand="0" w:firstRowFirstColumn="0" w:firstRowLastColumn="0" w:lastRowFirstColumn="0" w:lastRowLastColumn="0"/>
            </w:pPr>
            <w:r>
              <w:t>Oncor</w:t>
            </w:r>
          </w:p>
        </w:tc>
        <w:tc>
          <w:tcPr>
            <w:tcW w:w="1982" w:type="dxa"/>
            <w:gridSpan w:val="2"/>
          </w:tcPr>
          <w:p w14:paraId="4515769E" w14:textId="77777777" w:rsidR="00676163" w:rsidRPr="00C754FC" w:rsidRDefault="00676163" w:rsidP="00676163">
            <w:pPr>
              <w:cnfStyle w:val="000000100000" w:firstRow="0" w:lastRow="0" w:firstColumn="0" w:lastColumn="0" w:oddVBand="0" w:evenVBand="0" w:oddHBand="1" w:evenHBand="0" w:firstRowFirstColumn="0" w:firstRowLastColumn="0" w:lastRowFirstColumn="0" w:lastRowLastColumn="0"/>
            </w:pPr>
            <w:r>
              <w:t>Marilyn Hudson</w:t>
            </w:r>
          </w:p>
        </w:tc>
        <w:tc>
          <w:tcPr>
            <w:tcW w:w="1202" w:type="dxa"/>
          </w:tcPr>
          <w:p w14:paraId="63745ECB" w14:textId="77777777" w:rsidR="00676163" w:rsidRPr="00C754FC" w:rsidRDefault="00676163" w:rsidP="00676163">
            <w:pPr>
              <w:cnfStyle w:val="000000100000" w:firstRow="0" w:lastRow="0" w:firstColumn="0" w:lastColumn="0" w:oddVBand="0" w:evenVBand="0" w:oddHBand="1" w:evenHBand="0" w:firstRowFirstColumn="0" w:firstRowLastColumn="0" w:lastRowFirstColumn="0" w:lastRowLastColumn="0"/>
            </w:pPr>
            <w:r>
              <w:t>CNP</w:t>
            </w:r>
          </w:p>
        </w:tc>
        <w:tc>
          <w:tcPr>
            <w:tcW w:w="2346" w:type="dxa"/>
          </w:tcPr>
          <w:p w14:paraId="026571F5" w14:textId="17FBA437" w:rsidR="00676163" w:rsidRPr="00C754FC" w:rsidRDefault="00676163" w:rsidP="00676163">
            <w:pPr>
              <w:cnfStyle w:val="000000100000" w:firstRow="0" w:lastRow="0" w:firstColumn="0" w:lastColumn="0" w:oddVBand="0" w:evenVBand="0" w:oddHBand="1" w:evenHBand="0" w:firstRowFirstColumn="0" w:firstRowLastColumn="0" w:lastRowFirstColumn="0" w:lastRowLastColumn="0"/>
            </w:pPr>
            <w:r>
              <w:t>Eric Broach</w:t>
            </w:r>
          </w:p>
        </w:tc>
        <w:tc>
          <w:tcPr>
            <w:tcW w:w="1785" w:type="dxa"/>
          </w:tcPr>
          <w:p w14:paraId="08D1802D" w14:textId="77777777" w:rsidR="00676163" w:rsidRPr="00C754FC" w:rsidRDefault="00676163" w:rsidP="00676163">
            <w:pPr>
              <w:cnfStyle w:val="000000100000" w:firstRow="0" w:lastRow="0" w:firstColumn="0" w:lastColumn="0" w:oddVBand="0" w:evenVBand="0" w:oddHBand="1" w:evenHBand="0" w:firstRowFirstColumn="0" w:firstRowLastColumn="0" w:lastRowFirstColumn="0" w:lastRowLastColumn="0"/>
            </w:pPr>
            <w:proofErr w:type="spellStart"/>
            <w:r>
              <w:t>Gexa</w:t>
            </w:r>
            <w:proofErr w:type="spellEnd"/>
          </w:p>
        </w:tc>
      </w:tr>
      <w:tr w:rsidR="00676163" w14:paraId="07256329" w14:textId="77777777" w:rsidTr="00FC5864">
        <w:tc>
          <w:tcPr>
            <w:cnfStyle w:val="001000000000" w:firstRow="0" w:lastRow="0" w:firstColumn="1" w:lastColumn="0" w:oddVBand="0" w:evenVBand="0" w:oddHBand="0" w:evenHBand="0" w:firstRowFirstColumn="0" w:firstRowLastColumn="0" w:lastRowFirstColumn="0" w:lastRowLastColumn="0"/>
            <w:tcW w:w="2093" w:type="dxa"/>
          </w:tcPr>
          <w:p w14:paraId="6B2E3DC2" w14:textId="57F58D98" w:rsidR="00676163" w:rsidRPr="00C754FC" w:rsidRDefault="00676163" w:rsidP="00676163">
            <w:pPr>
              <w:rPr>
                <w:b w:val="0"/>
              </w:rPr>
            </w:pPr>
            <w:r>
              <w:rPr>
                <w:b w:val="0"/>
              </w:rPr>
              <w:t>Kyle Patrick</w:t>
            </w:r>
          </w:p>
        </w:tc>
        <w:tc>
          <w:tcPr>
            <w:tcW w:w="1302" w:type="dxa"/>
          </w:tcPr>
          <w:p w14:paraId="68041CCE" w14:textId="0245D81D" w:rsidR="00676163" w:rsidRPr="00C754FC" w:rsidRDefault="00676163" w:rsidP="00676163">
            <w:pPr>
              <w:cnfStyle w:val="000000000000" w:firstRow="0" w:lastRow="0" w:firstColumn="0" w:lastColumn="0" w:oddVBand="0" w:evenVBand="0" w:oddHBand="0" w:evenHBand="0" w:firstRowFirstColumn="0" w:firstRowLastColumn="0" w:lastRowFirstColumn="0" w:lastRowLastColumn="0"/>
            </w:pPr>
            <w:r>
              <w:t>NRG</w:t>
            </w:r>
          </w:p>
        </w:tc>
        <w:tc>
          <w:tcPr>
            <w:tcW w:w="1982" w:type="dxa"/>
            <w:gridSpan w:val="2"/>
          </w:tcPr>
          <w:p w14:paraId="00D2093F" w14:textId="77777777" w:rsidR="00676163" w:rsidRPr="00C754FC" w:rsidRDefault="00676163" w:rsidP="00676163">
            <w:pPr>
              <w:cnfStyle w:val="000000000000" w:firstRow="0" w:lastRow="0" w:firstColumn="0" w:lastColumn="0" w:oddVBand="0" w:evenVBand="0" w:oddHBand="0" w:evenHBand="0" w:firstRowFirstColumn="0" w:firstRowLastColumn="0" w:lastRowFirstColumn="0" w:lastRowLastColumn="0"/>
            </w:pPr>
            <w:r>
              <w:t>Lee Doehring</w:t>
            </w:r>
          </w:p>
        </w:tc>
        <w:tc>
          <w:tcPr>
            <w:tcW w:w="1202" w:type="dxa"/>
          </w:tcPr>
          <w:p w14:paraId="14B95369" w14:textId="77777777" w:rsidR="00676163" w:rsidRPr="00C754FC" w:rsidRDefault="00676163" w:rsidP="00676163">
            <w:pPr>
              <w:cnfStyle w:val="000000000000" w:firstRow="0" w:lastRow="0" w:firstColumn="0" w:lastColumn="0" w:oddVBand="0" w:evenVBand="0" w:oddHBand="0" w:evenHBand="0" w:firstRowFirstColumn="0" w:firstRowLastColumn="0" w:lastRowFirstColumn="0" w:lastRowLastColumn="0"/>
            </w:pPr>
            <w:r>
              <w:t>CNP</w:t>
            </w:r>
          </w:p>
        </w:tc>
        <w:tc>
          <w:tcPr>
            <w:tcW w:w="2346" w:type="dxa"/>
          </w:tcPr>
          <w:p w14:paraId="24C1AC5A" w14:textId="77777777" w:rsidR="00676163" w:rsidRPr="00C754FC" w:rsidRDefault="00676163" w:rsidP="00676163">
            <w:pPr>
              <w:cnfStyle w:val="000000000000" w:firstRow="0" w:lastRow="0" w:firstColumn="0" w:lastColumn="0" w:oddVBand="0" w:evenVBand="0" w:oddHBand="0" w:evenHBand="0" w:firstRowFirstColumn="0" w:firstRowLastColumn="0" w:lastRowFirstColumn="0" w:lastRowLastColumn="0"/>
            </w:pPr>
            <w:r>
              <w:t>Eric Lotter</w:t>
            </w:r>
          </w:p>
        </w:tc>
        <w:tc>
          <w:tcPr>
            <w:tcW w:w="1785" w:type="dxa"/>
          </w:tcPr>
          <w:p w14:paraId="34FDC96E" w14:textId="77777777" w:rsidR="00676163" w:rsidRPr="00C754FC" w:rsidRDefault="00676163" w:rsidP="00676163">
            <w:pPr>
              <w:cnfStyle w:val="000000000000" w:firstRow="0" w:lastRow="0" w:firstColumn="0" w:lastColumn="0" w:oddVBand="0" w:evenVBand="0" w:oddHBand="0" w:evenHBand="0" w:firstRowFirstColumn="0" w:firstRowLastColumn="0" w:lastRowFirstColumn="0" w:lastRowLastColumn="0"/>
            </w:pPr>
            <w:proofErr w:type="spellStart"/>
            <w:r>
              <w:t>GridMonitor</w:t>
            </w:r>
            <w:proofErr w:type="spellEnd"/>
          </w:p>
        </w:tc>
      </w:tr>
      <w:tr w:rsidR="00676163" w14:paraId="272A1FE9" w14:textId="77777777" w:rsidTr="00FC58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4059BDBA" w14:textId="4C80867C" w:rsidR="00676163" w:rsidRDefault="00676163" w:rsidP="00676163">
            <w:pPr>
              <w:rPr>
                <w:b w:val="0"/>
              </w:rPr>
            </w:pPr>
            <w:r w:rsidRPr="00BF6A9F">
              <w:rPr>
                <w:b w:val="0"/>
              </w:rPr>
              <w:t>Norm Levine</w:t>
            </w:r>
          </w:p>
        </w:tc>
        <w:tc>
          <w:tcPr>
            <w:tcW w:w="1302" w:type="dxa"/>
          </w:tcPr>
          <w:p w14:paraId="4DD04FA4" w14:textId="79B4147E" w:rsidR="00676163" w:rsidRDefault="00676163" w:rsidP="00676163">
            <w:pPr>
              <w:cnfStyle w:val="000000100000" w:firstRow="0" w:lastRow="0" w:firstColumn="0" w:lastColumn="0" w:oddVBand="0" w:evenVBand="0" w:oddHBand="1" w:evenHBand="0" w:firstRowFirstColumn="0" w:firstRowLastColumn="0" w:lastRowFirstColumn="0" w:lastRowLastColumn="0"/>
            </w:pPr>
            <w:r>
              <w:t>NRG</w:t>
            </w:r>
          </w:p>
        </w:tc>
        <w:tc>
          <w:tcPr>
            <w:tcW w:w="1982" w:type="dxa"/>
            <w:gridSpan w:val="2"/>
          </w:tcPr>
          <w:p w14:paraId="4B8C1840" w14:textId="77777777" w:rsidR="00676163" w:rsidRPr="00C754FC" w:rsidRDefault="00676163" w:rsidP="00676163">
            <w:pPr>
              <w:cnfStyle w:val="000000100000" w:firstRow="0" w:lastRow="0" w:firstColumn="0" w:lastColumn="0" w:oddVBand="0" w:evenVBand="0" w:oddHBand="1" w:evenHBand="0" w:firstRowFirstColumn="0" w:firstRowLastColumn="0" w:lastRowFirstColumn="0" w:lastRowLastColumn="0"/>
            </w:pPr>
            <w:r>
              <w:t>Terri Wilson Lester</w:t>
            </w:r>
          </w:p>
        </w:tc>
        <w:tc>
          <w:tcPr>
            <w:tcW w:w="1202" w:type="dxa"/>
          </w:tcPr>
          <w:p w14:paraId="588B28A3" w14:textId="77777777" w:rsidR="00676163" w:rsidRPr="00C754FC" w:rsidRDefault="00676163" w:rsidP="00676163">
            <w:pPr>
              <w:cnfStyle w:val="000000100000" w:firstRow="0" w:lastRow="0" w:firstColumn="0" w:lastColumn="0" w:oddVBand="0" w:evenVBand="0" w:oddHBand="1" w:evenHBand="0" w:firstRowFirstColumn="0" w:firstRowLastColumn="0" w:lastRowFirstColumn="0" w:lastRowLastColumn="0"/>
            </w:pPr>
            <w:r>
              <w:t>CNP</w:t>
            </w:r>
          </w:p>
        </w:tc>
        <w:tc>
          <w:tcPr>
            <w:tcW w:w="2346" w:type="dxa"/>
          </w:tcPr>
          <w:p w14:paraId="6DA2E9CD" w14:textId="77777777" w:rsidR="00676163" w:rsidRDefault="00676163" w:rsidP="00676163">
            <w:pPr>
              <w:cnfStyle w:val="000000100000" w:firstRow="0" w:lastRow="0" w:firstColumn="0" w:lastColumn="0" w:oddVBand="0" w:evenVBand="0" w:oddHBand="1" w:evenHBand="0" w:firstRowFirstColumn="0" w:firstRowLastColumn="0" w:lastRowFirstColumn="0" w:lastRowLastColumn="0"/>
              <w:rPr>
                <w:b/>
              </w:rPr>
            </w:pPr>
            <w:r>
              <w:t>Sheri Wiegand</w:t>
            </w:r>
          </w:p>
        </w:tc>
        <w:tc>
          <w:tcPr>
            <w:tcW w:w="1785" w:type="dxa"/>
          </w:tcPr>
          <w:p w14:paraId="1DF04F97" w14:textId="77777777" w:rsidR="00676163" w:rsidRDefault="00676163" w:rsidP="00676163">
            <w:pPr>
              <w:cnfStyle w:val="000000100000" w:firstRow="0" w:lastRow="0" w:firstColumn="0" w:lastColumn="0" w:oddVBand="0" w:evenVBand="0" w:oddHBand="1" w:evenHBand="0" w:firstRowFirstColumn="0" w:firstRowLastColumn="0" w:lastRowFirstColumn="0" w:lastRowLastColumn="0"/>
            </w:pPr>
            <w:proofErr w:type="spellStart"/>
            <w:r>
              <w:t>Vistra</w:t>
            </w:r>
            <w:proofErr w:type="spellEnd"/>
          </w:p>
        </w:tc>
      </w:tr>
      <w:tr w:rsidR="00676163" w14:paraId="7C3B9127" w14:textId="77777777" w:rsidTr="00FC5864">
        <w:tc>
          <w:tcPr>
            <w:cnfStyle w:val="001000000000" w:firstRow="0" w:lastRow="0" w:firstColumn="1" w:lastColumn="0" w:oddVBand="0" w:evenVBand="0" w:oddHBand="0" w:evenHBand="0" w:firstRowFirstColumn="0" w:firstRowLastColumn="0" w:lastRowFirstColumn="0" w:lastRowLastColumn="0"/>
            <w:tcW w:w="2093" w:type="dxa"/>
          </w:tcPr>
          <w:p w14:paraId="1616EF22" w14:textId="0C8327A1" w:rsidR="00676163" w:rsidRDefault="00676163" w:rsidP="00676163">
            <w:pPr>
              <w:rPr>
                <w:b w:val="0"/>
              </w:rPr>
            </w:pPr>
            <w:r w:rsidRPr="00BF6A9F">
              <w:rPr>
                <w:b w:val="0"/>
              </w:rPr>
              <w:t>Angela Ghormley</w:t>
            </w:r>
          </w:p>
        </w:tc>
        <w:tc>
          <w:tcPr>
            <w:tcW w:w="1302" w:type="dxa"/>
          </w:tcPr>
          <w:p w14:paraId="08E0BBC1" w14:textId="1E93F6B9" w:rsidR="00676163" w:rsidRDefault="00676163" w:rsidP="00676163">
            <w:pPr>
              <w:cnfStyle w:val="000000000000" w:firstRow="0" w:lastRow="0" w:firstColumn="0" w:lastColumn="0" w:oddVBand="0" w:evenVBand="0" w:oddHBand="0" w:evenHBand="0" w:firstRowFirstColumn="0" w:firstRowLastColumn="0" w:lastRowFirstColumn="0" w:lastRowLastColumn="0"/>
            </w:pPr>
            <w:r>
              <w:t>Calpine</w:t>
            </w:r>
          </w:p>
        </w:tc>
        <w:tc>
          <w:tcPr>
            <w:tcW w:w="1982" w:type="dxa"/>
            <w:gridSpan w:val="2"/>
          </w:tcPr>
          <w:p w14:paraId="308F8AC5" w14:textId="77777777" w:rsidR="00676163" w:rsidRPr="00C754FC" w:rsidRDefault="00676163" w:rsidP="00676163">
            <w:pPr>
              <w:cnfStyle w:val="000000000000" w:firstRow="0" w:lastRow="0" w:firstColumn="0" w:lastColumn="0" w:oddVBand="0" w:evenVBand="0" w:oddHBand="0" w:evenHBand="0" w:firstRowFirstColumn="0" w:firstRowLastColumn="0" w:lastRowFirstColumn="0" w:lastRowLastColumn="0"/>
            </w:pPr>
            <w:r>
              <w:t>Alberto Lopez</w:t>
            </w:r>
          </w:p>
        </w:tc>
        <w:tc>
          <w:tcPr>
            <w:tcW w:w="1202" w:type="dxa"/>
          </w:tcPr>
          <w:p w14:paraId="0DCB6F20" w14:textId="77777777" w:rsidR="00676163" w:rsidRPr="00C754FC" w:rsidRDefault="00676163" w:rsidP="00676163">
            <w:pPr>
              <w:cnfStyle w:val="000000000000" w:firstRow="0" w:lastRow="0" w:firstColumn="0" w:lastColumn="0" w:oddVBand="0" w:evenVBand="0" w:oddHBand="0" w:evenHBand="0" w:firstRowFirstColumn="0" w:firstRowLastColumn="0" w:lastRowFirstColumn="0" w:lastRowLastColumn="0"/>
            </w:pPr>
            <w:r>
              <w:t>CNP</w:t>
            </w:r>
          </w:p>
        </w:tc>
        <w:tc>
          <w:tcPr>
            <w:tcW w:w="2346" w:type="dxa"/>
          </w:tcPr>
          <w:p w14:paraId="5072E402" w14:textId="77777777" w:rsidR="00676163" w:rsidRDefault="00676163" w:rsidP="00676163">
            <w:pPr>
              <w:cnfStyle w:val="000000000000" w:firstRow="0" w:lastRow="0" w:firstColumn="0" w:lastColumn="0" w:oddVBand="0" w:evenVBand="0" w:oddHBand="0" w:evenHBand="0" w:firstRowFirstColumn="0" w:firstRowLastColumn="0" w:lastRowFirstColumn="0" w:lastRowLastColumn="0"/>
              <w:rPr>
                <w:b/>
              </w:rPr>
            </w:pPr>
            <w:r>
              <w:t>John Schatz</w:t>
            </w:r>
          </w:p>
        </w:tc>
        <w:tc>
          <w:tcPr>
            <w:tcW w:w="1785" w:type="dxa"/>
          </w:tcPr>
          <w:p w14:paraId="62A20235" w14:textId="77777777" w:rsidR="00676163" w:rsidRDefault="00676163" w:rsidP="00676163">
            <w:pPr>
              <w:cnfStyle w:val="000000000000" w:firstRow="0" w:lastRow="0" w:firstColumn="0" w:lastColumn="0" w:oddVBand="0" w:evenVBand="0" w:oddHBand="0" w:evenHBand="0" w:firstRowFirstColumn="0" w:firstRowLastColumn="0" w:lastRowFirstColumn="0" w:lastRowLastColumn="0"/>
            </w:pPr>
            <w:proofErr w:type="spellStart"/>
            <w:r>
              <w:t>Vistra</w:t>
            </w:r>
            <w:proofErr w:type="spellEnd"/>
          </w:p>
        </w:tc>
      </w:tr>
      <w:tr w:rsidR="00676163" w14:paraId="50BF244E" w14:textId="77777777" w:rsidTr="00FC58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143C8692" w14:textId="2D6CE9A1" w:rsidR="00676163" w:rsidRPr="00BF6A9F" w:rsidRDefault="00676163" w:rsidP="00676163">
            <w:pPr>
              <w:rPr>
                <w:b w:val="0"/>
              </w:rPr>
            </w:pPr>
            <w:r>
              <w:rPr>
                <w:b w:val="0"/>
              </w:rPr>
              <w:t xml:space="preserve">Scott Smith </w:t>
            </w:r>
          </w:p>
        </w:tc>
        <w:tc>
          <w:tcPr>
            <w:tcW w:w="1302" w:type="dxa"/>
          </w:tcPr>
          <w:p w14:paraId="71035D30" w14:textId="464B97D6" w:rsidR="00676163" w:rsidRPr="00C754FC" w:rsidRDefault="00676163" w:rsidP="00676163">
            <w:pPr>
              <w:cnfStyle w:val="000000100000" w:firstRow="0" w:lastRow="0" w:firstColumn="0" w:lastColumn="0" w:oddVBand="0" w:evenVBand="0" w:oddHBand="1" w:evenHBand="0" w:firstRowFirstColumn="0" w:firstRowLastColumn="0" w:lastRowFirstColumn="0" w:lastRowLastColumn="0"/>
            </w:pPr>
            <w:r>
              <w:t>Tenaska</w:t>
            </w:r>
          </w:p>
        </w:tc>
        <w:tc>
          <w:tcPr>
            <w:tcW w:w="1982" w:type="dxa"/>
            <w:gridSpan w:val="2"/>
          </w:tcPr>
          <w:p w14:paraId="291AE596" w14:textId="77777777" w:rsidR="00676163" w:rsidRPr="00C754FC" w:rsidRDefault="00676163" w:rsidP="00676163">
            <w:pPr>
              <w:cnfStyle w:val="000000100000" w:firstRow="0" w:lastRow="0" w:firstColumn="0" w:lastColumn="0" w:oddVBand="0" w:evenVBand="0" w:oddHBand="1" w:evenHBand="0" w:firstRowFirstColumn="0" w:firstRowLastColumn="0" w:lastRowFirstColumn="0" w:lastRowLastColumn="0"/>
            </w:pPr>
            <w:r>
              <w:t>Chris Dominguez</w:t>
            </w:r>
          </w:p>
        </w:tc>
        <w:tc>
          <w:tcPr>
            <w:tcW w:w="1202" w:type="dxa"/>
          </w:tcPr>
          <w:p w14:paraId="07E67BBE" w14:textId="77777777" w:rsidR="00676163" w:rsidRPr="00C754FC" w:rsidRDefault="00676163" w:rsidP="00676163">
            <w:pPr>
              <w:cnfStyle w:val="000000100000" w:firstRow="0" w:lastRow="0" w:firstColumn="0" w:lastColumn="0" w:oddVBand="0" w:evenVBand="0" w:oddHBand="1" w:evenHBand="0" w:firstRowFirstColumn="0" w:firstRowLastColumn="0" w:lastRowFirstColumn="0" w:lastRowLastColumn="0"/>
            </w:pPr>
            <w:r>
              <w:t>CNP</w:t>
            </w:r>
          </w:p>
        </w:tc>
        <w:tc>
          <w:tcPr>
            <w:tcW w:w="2346" w:type="dxa"/>
          </w:tcPr>
          <w:p w14:paraId="3025F01B" w14:textId="77777777" w:rsidR="00676163" w:rsidRPr="00BF6A9F" w:rsidRDefault="00676163" w:rsidP="00676163">
            <w:pPr>
              <w:cnfStyle w:val="000000100000" w:firstRow="0" w:lastRow="0" w:firstColumn="0" w:lastColumn="0" w:oddVBand="0" w:evenVBand="0" w:oddHBand="1" w:evenHBand="0" w:firstRowFirstColumn="0" w:firstRowLastColumn="0" w:lastRowFirstColumn="0" w:lastRowLastColumn="0"/>
            </w:pPr>
            <w:r w:rsidRPr="00BF6A9F">
              <w:t>Deb Belin</w:t>
            </w:r>
          </w:p>
        </w:tc>
        <w:tc>
          <w:tcPr>
            <w:tcW w:w="1785" w:type="dxa"/>
          </w:tcPr>
          <w:p w14:paraId="3A790B9C" w14:textId="77777777" w:rsidR="00676163" w:rsidRPr="00C754FC" w:rsidRDefault="00676163" w:rsidP="00676163">
            <w:pPr>
              <w:cnfStyle w:val="000000100000" w:firstRow="0" w:lastRow="0" w:firstColumn="0" w:lastColumn="0" w:oddVBand="0" w:evenVBand="0" w:oddHBand="1" w:evenHBand="0" w:firstRowFirstColumn="0" w:firstRowLastColumn="0" w:lastRowFirstColumn="0" w:lastRowLastColumn="0"/>
            </w:pPr>
            <w:r>
              <w:t>Marketwise</w:t>
            </w:r>
          </w:p>
        </w:tc>
      </w:tr>
      <w:tr w:rsidR="00676163" w14:paraId="41D7791E" w14:textId="77777777" w:rsidTr="00FC5864">
        <w:tc>
          <w:tcPr>
            <w:cnfStyle w:val="001000000000" w:firstRow="0" w:lastRow="0" w:firstColumn="1" w:lastColumn="0" w:oddVBand="0" w:evenVBand="0" w:oddHBand="0" w:evenHBand="0" w:firstRowFirstColumn="0" w:firstRowLastColumn="0" w:lastRowFirstColumn="0" w:lastRowLastColumn="0"/>
            <w:tcW w:w="2093" w:type="dxa"/>
          </w:tcPr>
          <w:p w14:paraId="4FE0ACDC" w14:textId="63C66B4E" w:rsidR="00676163" w:rsidRPr="00BF6A9F" w:rsidRDefault="00676163" w:rsidP="00676163">
            <w:pPr>
              <w:rPr>
                <w:b w:val="0"/>
              </w:rPr>
            </w:pPr>
            <w:r>
              <w:rPr>
                <w:b w:val="0"/>
              </w:rPr>
              <w:t xml:space="preserve">John </w:t>
            </w:r>
            <w:proofErr w:type="spellStart"/>
            <w:r>
              <w:rPr>
                <w:b w:val="0"/>
              </w:rPr>
              <w:t>Varnell</w:t>
            </w:r>
            <w:proofErr w:type="spellEnd"/>
          </w:p>
        </w:tc>
        <w:tc>
          <w:tcPr>
            <w:tcW w:w="1302" w:type="dxa"/>
          </w:tcPr>
          <w:p w14:paraId="79545CAB" w14:textId="6EE464BE" w:rsidR="00676163" w:rsidRPr="00C754FC" w:rsidRDefault="00676163" w:rsidP="00676163">
            <w:pPr>
              <w:cnfStyle w:val="000000000000" w:firstRow="0" w:lastRow="0" w:firstColumn="0" w:lastColumn="0" w:oddVBand="0" w:evenVBand="0" w:oddHBand="0" w:evenHBand="0" w:firstRowFirstColumn="0" w:firstRowLastColumn="0" w:lastRowFirstColumn="0" w:lastRowLastColumn="0"/>
            </w:pPr>
            <w:r>
              <w:t>Tenaska</w:t>
            </w:r>
          </w:p>
        </w:tc>
        <w:tc>
          <w:tcPr>
            <w:tcW w:w="1982" w:type="dxa"/>
            <w:gridSpan w:val="2"/>
          </w:tcPr>
          <w:p w14:paraId="347409C7" w14:textId="77777777" w:rsidR="00676163" w:rsidRPr="00C754FC" w:rsidRDefault="00676163" w:rsidP="00676163">
            <w:pPr>
              <w:cnfStyle w:val="000000000000" w:firstRow="0" w:lastRow="0" w:firstColumn="0" w:lastColumn="0" w:oddVBand="0" w:evenVBand="0" w:oddHBand="0" w:evenHBand="0" w:firstRowFirstColumn="0" w:firstRowLastColumn="0" w:lastRowFirstColumn="0" w:lastRowLastColumn="0"/>
            </w:pPr>
            <w:r>
              <w:t>Kathy Scott</w:t>
            </w:r>
          </w:p>
        </w:tc>
        <w:tc>
          <w:tcPr>
            <w:tcW w:w="1202" w:type="dxa"/>
          </w:tcPr>
          <w:p w14:paraId="62A7E24B" w14:textId="77777777" w:rsidR="00676163" w:rsidRPr="00C754FC" w:rsidRDefault="00676163" w:rsidP="00676163">
            <w:pPr>
              <w:cnfStyle w:val="000000000000" w:firstRow="0" w:lastRow="0" w:firstColumn="0" w:lastColumn="0" w:oddVBand="0" w:evenVBand="0" w:oddHBand="0" w:evenHBand="0" w:firstRowFirstColumn="0" w:firstRowLastColumn="0" w:lastRowFirstColumn="0" w:lastRowLastColumn="0"/>
            </w:pPr>
            <w:r>
              <w:t>CNP</w:t>
            </w:r>
          </w:p>
        </w:tc>
        <w:tc>
          <w:tcPr>
            <w:tcW w:w="2346" w:type="dxa"/>
          </w:tcPr>
          <w:p w14:paraId="5DA150A1" w14:textId="3A7857DE" w:rsidR="00676163" w:rsidRPr="00C754FC" w:rsidRDefault="00676163" w:rsidP="00676163">
            <w:pPr>
              <w:cnfStyle w:val="000000000000" w:firstRow="0" w:lastRow="0" w:firstColumn="0" w:lastColumn="0" w:oddVBand="0" w:evenVBand="0" w:oddHBand="0" w:evenHBand="0" w:firstRowFirstColumn="0" w:firstRowLastColumn="0" w:lastRowFirstColumn="0" w:lastRowLastColumn="0"/>
            </w:pPr>
            <w:r>
              <w:t>Kim Dew</w:t>
            </w:r>
          </w:p>
        </w:tc>
        <w:tc>
          <w:tcPr>
            <w:tcW w:w="1785" w:type="dxa"/>
          </w:tcPr>
          <w:p w14:paraId="109F1439" w14:textId="29E4ACFF" w:rsidR="00676163" w:rsidRPr="00C754FC" w:rsidRDefault="00676163" w:rsidP="00676163">
            <w:pPr>
              <w:cnfStyle w:val="000000000000" w:firstRow="0" w:lastRow="0" w:firstColumn="0" w:lastColumn="0" w:oddVBand="0" w:evenVBand="0" w:oddHBand="0" w:evenHBand="0" w:firstRowFirstColumn="0" w:firstRowLastColumn="0" w:lastRowFirstColumn="0" w:lastRowLastColumn="0"/>
            </w:pPr>
            <w:r>
              <w:t>?</w:t>
            </w:r>
          </w:p>
        </w:tc>
      </w:tr>
      <w:tr w:rsidR="00676163" w14:paraId="48AC38B5" w14:textId="77777777" w:rsidTr="00FC58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024E4666" w14:textId="79749498" w:rsidR="00676163" w:rsidRDefault="00676163" w:rsidP="00676163">
            <w:pPr>
              <w:rPr>
                <w:b w:val="0"/>
              </w:rPr>
            </w:pPr>
            <w:r>
              <w:rPr>
                <w:b w:val="0"/>
              </w:rPr>
              <w:t xml:space="preserve">Richard </w:t>
            </w:r>
            <w:proofErr w:type="spellStart"/>
            <w:r>
              <w:rPr>
                <w:b w:val="0"/>
              </w:rPr>
              <w:t>Beasely</w:t>
            </w:r>
            <w:proofErr w:type="spellEnd"/>
          </w:p>
        </w:tc>
        <w:tc>
          <w:tcPr>
            <w:tcW w:w="1302" w:type="dxa"/>
          </w:tcPr>
          <w:p w14:paraId="0FEF6A02" w14:textId="269B33E0" w:rsidR="00676163" w:rsidRDefault="00676163" w:rsidP="00676163">
            <w:pPr>
              <w:cnfStyle w:val="000000100000" w:firstRow="0" w:lastRow="0" w:firstColumn="0" w:lastColumn="0" w:oddVBand="0" w:evenVBand="0" w:oddHBand="1" w:evenHBand="0" w:firstRowFirstColumn="0" w:firstRowLastColumn="0" w:lastRowFirstColumn="0" w:lastRowLastColumn="0"/>
            </w:pPr>
            <w:r>
              <w:t>CNP</w:t>
            </w:r>
          </w:p>
        </w:tc>
        <w:tc>
          <w:tcPr>
            <w:tcW w:w="1982" w:type="dxa"/>
            <w:gridSpan w:val="2"/>
          </w:tcPr>
          <w:p w14:paraId="6EC295FC" w14:textId="77777777" w:rsidR="00676163" w:rsidRPr="00C754FC" w:rsidRDefault="00676163" w:rsidP="00676163">
            <w:pPr>
              <w:cnfStyle w:val="000000100000" w:firstRow="0" w:lastRow="0" w:firstColumn="0" w:lastColumn="0" w:oddVBand="0" w:evenVBand="0" w:oddHBand="1" w:evenHBand="0" w:firstRowFirstColumn="0" w:firstRowLastColumn="0" w:lastRowFirstColumn="0" w:lastRowLastColumn="0"/>
            </w:pPr>
            <w:r>
              <w:t>Carolyn Reed</w:t>
            </w:r>
          </w:p>
        </w:tc>
        <w:tc>
          <w:tcPr>
            <w:tcW w:w="1202" w:type="dxa"/>
          </w:tcPr>
          <w:p w14:paraId="3A00CB6D" w14:textId="77777777" w:rsidR="00676163" w:rsidRPr="00C754FC" w:rsidRDefault="00676163" w:rsidP="00676163">
            <w:pPr>
              <w:cnfStyle w:val="000000100000" w:firstRow="0" w:lastRow="0" w:firstColumn="0" w:lastColumn="0" w:oddVBand="0" w:evenVBand="0" w:oddHBand="1" w:evenHBand="0" w:firstRowFirstColumn="0" w:firstRowLastColumn="0" w:lastRowFirstColumn="0" w:lastRowLastColumn="0"/>
            </w:pPr>
            <w:r>
              <w:t>CNP</w:t>
            </w:r>
          </w:p>
        </w:tc>
        <w:tc>
          <w:tcPr>
            <w:tcW w:w="2346" w:type="dxa"/>
          </w:tcPr>
          <w:p w14:paraId="4B88D735" w14:textId="58113C92" w:rsidR="00676163" w:rsidRPr="00C754FC" w:rsidRDefault="00676163" w:rsidP="00676163">
            <w:pPr>
              <w:cnfStyle w:val="000000100000" w:firstRow="0" w:lastRow="0" w:firstColumn="0" w:lastColumn="0" w:oddVBand="0" w:evenVBand="0" w:oddHBand="1" w:evenHBand="0" w:firstRowFirstColumn="0" w:firstRowLastColumn="0" w:lastRowFirstColumn="0" w:lastRowLastColumn="0"/>
            </w:pPr>
            <w:r>
              <w:t>Tony March</w:t>
            </w:r>
          </w:p>
        </w:tc>
        <w:tc>
          <w:tcPr>
            <w:tcW w:w="1785" w:type="dxa"/>
          </w:tcPr>
          <w:p w14:paraId="5BB4F873" w14:textId="7AC670DC" w:rsidR="00676163" w:rsidRPr="00C754FC" w:rsidRDefault="00676163" w:rsidP="00676163">
            <w:pPr>
              <w:cnfStyle w:val="000000100000" w:firstRow="0" w:lastRow="0" w:firstColumn="0" w:lastColumn="0" w:oddVBand="0" w:evenVBand="0" w:oddHBand="1" w:evenHBand="0" w:firstRowFirstColumn="0" w:firstRowLastColumn="0" w:lastRowFirstColumn="0" w:lastRowLastColumn="0"/>
            </w:pPr>
            <w:r>
              <w:t>Legends Unity</w:t>
            </w:r>
          </w:p>
        </w:tc>
      </w:tr>
      <w:tr w:rsidR="00676163" w14:paraId="7433A5FC" w14:textId="77777777" w:rsidTr="00FC5864">
        <w:tc>
          <w:tcPr>
            <w:cnfStyle w:val="001000000000" w:firstRow="0" w:lastRow="0" w:firstColumn="1" w:lastColumn="0" w:oddVBand="0" w:evenVBand="0" w:oddHBand="0" w:evenHBand="0" w:firstRowFirstColumn="0" w:firstRowLastColumn="0" w:lastRowFirstColumn="0" w:lastRowLastColumn="0"/>
            <w:tcW w:w="2093" w:type="dxa"/>
          </w:tcPr>
          <w:p w14:paraId="120844EF" w14:textId="7F020490" w:rsidR="00676163" w:rsidRPr="00BF6A9F" w:rsidRDefault="00676163" w:rsidP="00676163">
            <w:pPr>
              <w:rPr>
                <w:b w:val="0"/>
              </w:rPr>
            </w:pPr>
            <w:r>
              <w:rPr>
                <w:b w:val="0"/>
              </w:rPr>
              <w:t>John Hudson</w:t>
            </w:r>
          </w:p>
        </w:tc>
        <w:tc>
          <w:tcPr>
            <w:tcW w:w="1302" w:type="dxa"/>
          </w:tcPr>
          <w:p w14:paraId="62493BBF" w14:textId="7C859C17" w:rsidR="00676163" w:rsidRPr="00C754FC" w:rsidRDefault="00676163" w:rsidP="00676163">
            <w:pPr>
              <w:cnfStyle w:val="000000000000" w:firstRow="0" w:lastRow="0" w:firstColumn="0" w:lastColumn="0" w:oddVBand="0" w:evenVBand="0" w:oddHBand="0" w:evenHBand="0" w:firstRowFirstColumn="0" w:firstRowLastColumn="0" w:lastRowFirstColumn="0" w:lastRowLastColumn="0"/>
            </w:pPr>
            <w:r>
              <w:t>CNP</w:t>
            </w:r>
          </w:p>
        </w:tc>
        <w:tc>
          <w:tcPr>
            <w:tcW w:w="1982" w:type="dxa"/>
            <w:gridSpan w:val="2"/>
          </w:tcPr>
          <w:p w14:paraId="2E85EDB2" w14:textId="77777777" w:rsidR="00676163" w:rsidRPr="00C754FC" w:rsidRDefault="00676163" w:rsidP="00676163">
            <w:pPr>
              <w:cnfStyle w:val="000000000000" w:firstRow="0" w:lastRow="0" w:firstColumn="0" w:lastColumn="0" w:oddVBand="0" w:evenVBand="0" w:oddHBand="0" w:evenHBand="0" w:firstRowFirstColumn="0" w:firstRowLastColumn="0" w:lastRowFirstColumn="0" w:lastRowLastColumn="0"/>
            </w:pPr>
            <w:r>
              <w:t>Jill Bell</w:t>
            </w:r>
          </w:p>
        </w:tc>
        <w:tc>
          <w:tcPr>
            <w:tcW w:w="1202" w:type="dxa"/>
          </w:tcPr>
          <w:p w14:paraId="62FCA14D" w14:textId="77777777" w:rsidR="00676163" w:rsidRPr="00C754FC" w:rsidRDefault="00676163" w:rsidP="00676163">
            <w:pPr>
              <w:cnfStyle w:val="000000000000" w:firstRow="0" w:lastRow="0" w:firstColumn="0" w:lastColumn="0" w:oddVBand="0" w:evenVBand="0" w:oddHBand="0" w:evenHBand="0" w:firstRowFirstColumn="0" w:firstRowLastColumn="0" w:lastRowFirstColumn="0" w:lastRowLastColumn="0"/>
            </w:pPr>
            <w:r>
              <w:t>CNP</w:t>
            </w:r>
          </w:p>
        </w:tc>
        <w:tc>
          <w:tcPr>
            <w:tcW w:w="2346" w:type="dxa"/>
          </w:tcPr>
          <w:p w14:paraId="10C4E66F" w14:textId="77777777" w:rsidR="00676163" w:rsidRPr="00C754FC" w:rsidRDefault="00676163" w:rsidP="00676163">
            <w:pPr>
              <w:cnfStyle w:val="000000000000" w:firstRow="0" w:lastRow="0" w:firstColumn="0" w:lastColumn="0" w:oddVBand="0" w:evenVBand="0" w:oddHBand="0" w:evenHBand="0" w:firstRowFirstColumn="0" w:firstRowLastColumn="0" w:lastRowFirstColumn="0" w:lastRowLastColumn="0"/>
            </w:pPr>
            <w:r>
              <w:t xml:space="preserve">Mansoor </w:t>
            </w:r>
            <w:proofErr w:type="spellStart"/>
            <w:r>
              <w:t>Khanmohamed</w:t>
            </w:r>
            <w:proofErr w:type="spellEnd"/>
          </w:p>
        </w:tc>
        <w:tc>
          <w:tcPr>
            <w:tcW w:w="1785" w:type="dxa"/>
          </w:tcPr>
          <w:p w14:paraId="6CC8F388" w14:textId="77777777" w:rsidR="00676163" w:rsidRPr="00C754FC" w:rsidRDefault="00676163" w:rsidP="00676163">
            <w:pPr>
              <w:cnfStyle w:val="000000000000" w:firstRow="0" w:lastRow="0" w:firstColumn="0" w:lastColumn="0" w:oddVBand="0" w:evenVBand="0" w:oddHBand="0" w:evenHBand="0" w:firstRowFirstColumn="0" w:firstRowLastColumn="0" w:lastRowFirstColumn="0" w:lastRowLastColumn="0"/>
            </w:pPr>
            <w:r>
              <w:t>EDF</w:t>
            </w:r>
          </w:p>
        </w:tc>
      </w:tr>
    </w:tbl>
    <w:p w14:paraId="7C739EDE" w14:textId="77777777" w:rsidR="00C754FC" w:rsidRDefault="00C754FC">
      <w:pPr>
        <w:rPr>
          <w:b/>
          <w:sz w:val="28"/>
          <w:szCs w:val="28"/>
        </w:rPr>
      </w:pPr>
    </w:p>
    <w:p w14:paraId="7AA2A142" w14:textId="77777777" w:rsidR="00A74D4D" w:rsidRDefault="001C3C84">
      <w:r>
        <w:t>Jim Lee opened the meeting reading the Antitrust Admonition.</w:t>
      </w:r>
    </w:p>
    <w:p w14:paraId="4C114F7F" w14:textId="78FD68E4" w:rsidR="00585222" w:rsidRDefault="002C43FA" w:rsidP="009133A5">
      <w:r>
        <w:t xml:space="preserve">Meeting minutes from </w:t>
      </w:r>
      <w:r w:rsidR="00676163">
        <w:t>August 31</w:t>
      </w:r>
      <w:r w:rsidR="00676163" w:rsidRPr="00676163">
        <w:rPr>
          <w:vertAlign w:val="superscript"/>
        </w:rPr>
        <w:t>st</w:t>
      </w:r>
      <w:r w:rsidR="00676163">
        <w:t xml:space="preserve"> </w:t>
      </w:r>
      <w:r w:rsidR="00585222">
        <w:t xml:space="preserve">were </w:t>
      </w:r>
      <w:r w:rsidR="00F25C5F">
        <w:t>reviewed and approved.</w:t>
      </w:r>
    </w:p>
    <w:p w14:paraId="4F2391FA" w14:textId="77777777" w:rsidR="00585222" w:rsidRDefault="00585222" w:rsidP="009133A5"/>
    <w:p w14:paraId="22A411AB" w14:textId="77777777" w:rsidR="001C3C84" w:rsidRPr="009133A5" w:rsidRDefault="009133A5" w:rsidP="009133A5">
      <w:pPr>
        <w:rPr>
          <w:b/>
          <w:u w:val="single"/>
        </w:rPr>
      </w:pPr>
      <w:r w:rsidRPr="009133A5">
        <w:rPr>
          <w:b/>
          <w:u w:val="single"/>
        </w:rPr>
        <w:t xml:space="preserve">Emergency Conditions List </w:t>
      </w:r>
      <w:r w:rsidR="00C95221">
        <w:rPr>
          <w:b/>
          <w:u w:val="single"/>
        </w:rPr>
        <w:t>(ECL)</w:t>
      </w:r>
    </w:p>
    <w:p w14:paraId="0B468B8A" w14:textId="781607BD" w:rsidR="00C95221" w:rsidRDefault="00585222" w:rsidP="001C3C84">
      <w:r>
        <w:t xml:space="preserve">Jim </w:t>
      </w:r>
      <w:r w:rsidR="001C3C84">
        <w:t xml:space="preserve">reviewed the </w:t>
      </w:r>
      <w:r w:rsidR="00C95221">
        <w:t xml:space="preserve">ECL noting </w:t>
      </w:r>
      <w:r w:rsidR="00374268">
        <w:t>revisions to any</w:t>
      </w:r>
      <w:r w:rsidR="00C95221">
        <w:t xml:space="preserve"> item.  A few notables:</w:t>
      </w:r>
    </w:p>
    <w:p w14:paraId="2C63EC60" w14:textId="77777777" w:rsidR="00F25C5F" w:rsidRDefault="00093FCD" w:rsidP="00A50CFC">
      <w:pPr>
        <w:pStyle w:val="ListParagraph"/>
        <w:numPr>
          <w:ilvl w:val="0"/>
          <w:numId w:val="4"/>
        </w:numPr>
      </w:pPr>
      <w:r>
        <w:t xml:space="preserve">#18 – </w:t>
      </w:r>
      <w:r w:rsidRPr="004B083E">
        <w:rPr>
          <w:i/>
        </w:rPr>
        <w:t>Meter Data and Estimations</w:t>
      </w:r>
      <w:r>
        <w:t xml:space="preserve"> </w:t>
      </w:r>
      <w:r w:rsidR="00F25C5F">
        <w:t xml:space="preserve"> </w:t>
      </w:r>
    </w:p>
    <w:p w14:paraId="2EA60432" w14:textId="090F1A78" w:rsidR="00F25C5F" w:rsidRDefault="00F25C5F" w:rsidP="00F25C5F">
      <w:pPr>
        <w:pStyle w:val="ListParagraph"/>
        <w:rPr>
          <w:i/>
        </w:rPr>
      </w:pPr>
      <w:r>
        <w:t xml:space="preserve">#126 – </w:t>
      </w:r>
      <w:r>
        <w:rPr>
          <w:i/>
        </w:rPr>
        <w:t>TDSP Data Practices During Prolonged Widespread Outages</w:t>
      </w:r>
    </w:p>
    <w:p w14:paraId="31FBAE7C" w14:textId="20AC6218" w:rsidR="00093FCD" w:rsidRDefault="00093FCD" w:rsidP="00F25C5F">
      <w:pPr>
        <w:pStyle w:val="ListParagraph"/>
      </w:pPr>
      <w:r>
        <w:t xml:space="preserve">AMS Data Practices matrix </w:t>
      </w:r>
      <w:r w:rsidR="00676163">
        <w:t xml:space="preserve">including the </w:t>
      </w:r>
      <w:r>
        <w:t xml:space="preserve">addendum questions </w:t>
      </w:r>
      <w:r w:rsidR="00676163">
        <w:t xml:space="preserve">regarding prolonged widespread outages </w:t>
      </w:r>
      <w:r w:rsidR="008B2D37">
        <w:t xml:space="preserve">were </w:t>
      </w:r>
      <w:r w:rsidR="00676163">
        <w:t xml:space="preserve">finalized and will be presented by RECTF at the upcoming RMS in October.  Matrix will reside on RMS home page under </w:t>
      </w:r>
      <w:r w:rsidR="00676163" w:rsidRPr="00676163">
        <w:rPr>
          <w:i/>
          <w:iCs/>
        </w:rPr>
        <w:t>Key Documents</w:t>
      </w:r>
      <w:r w:rsidR="00676163">
        <w:t>.</w:t>
      </w:r>
      <w:r w:rsidR="00374268">
        <w:t xml:space="preserve">  These items will then be complete.</w:t>
      </w:r>
    </w:p>
    <w:p w14:paraId="46729C2B" w14:textId="056C3A30" w:rsidR="00CA1226" w:rsidRDefault="00CA1226" w:rsidP="00CA1226">
      <w:pPr>
        <w:pStyle w:val="ListParagraph"/>
        <w:numPr>
          <w:ilvl w:val="0"/>
          <w:numId w:val="4"/>
        </w:numPr>
      </w:pPr>
      <w:r>
        <w:t xml:space="preserve">#125 – </w:t>
      </w:r>
      <w:r w:rsidRPr="00CA1226">
        <w:rPr>
          <w:i/>
          <w:iCs/>
        </w:rPr>
        <w:t>Demand Billing Considerations</w:t>
      </w:r>
      <w:r>
        <w:rPr>
          <w:i/>
          <w:iCs/>
        </w:rPr>
        <w:t xml:space="preserve"> </w:t>
      </w:r>
      <w:r w:rsidR="00CD1AB7">
        <w:rPr>
          <w:i/>
          <w:iCs/>
        </w:rPr>
        <w:t>–</w:t>
      </w:r>
      <w:r>
        <w:rPr>
          <w:i/>
          <w:iCs/>
        </w:rPr>
        <w:t xml:space="preserve"> </w:t>
      </w:r>
      <w:r w:rsidR="00CD1AB7">
        <w:t xml:space="preserve">much discussion on </w:t>
      </w:r>
      <w:r w:rsidR="00BD6F12">
        <w:t xml:space="preserve">the </w:t>
      </w:r>
      <w:r w:rsidR="00CD1AB7">
        <w:t>‘out of market’ PUC directive</w:t>
      </w:r>
      <w:r w:rsidR="00744382">
        <w:t xml:space="preserve"> for TSDPs to reset Demand billing for Customers impacted by cold load pickup during Winter Storm Uri (Feb 2021)</w:t>
      </w:r>
      <w:r w:rsidR="00CD1AB7">
        <w:t xml:space="preserve">.  </w:t>
      </w:r>
      <w:r w:rsidR="00BD6F12">
        <w:t xml:space="preserve">TDSP tariffs do not allow for resetting/revising demand billing unless otherwise directed by the PUCT, so modifying the demand required manual intervention for all impacted TDSPs. Additionally, the TDSPs have differing systems and system constraints; therefore, yielding differing results for impacted MPs. In the end, it was the </w:t>
      </w:r>
      <w:r w:rsidR="00744382">
        <w:t>RECTF recommend</w:t>
      </w:r>
      <w:r w:rsidR="00BD6F12">
        <w:t>ation</w:t>
      </w:r>
      <w:r w:rsidR="00744382">
        <w:t xml:space="preserve"> that in future instances</w:t>
      </w:r>
      <w:r w:rsidR="00BD6F12">
        <w:t xml:space="preserve"> where out of market directives occur</w:t>
      </w:r>
      <w:r w:rsidR="00744382">
        <w:t>, for</w:t>
      </w:r>
      <w:r w:rsidR="00CD1AB7">
        <w:t xml:space="preserve"> all impacted market participants (ERCOT, TDSPs, REPs, PUCT Staff) </w:t>
      </w:r>
      <w:r w:rsidR="00BD6F12">
        <w:t xml:space="preserve">to </w:t>
      </w:r>
      <w:r w:rsidR="00CD1AB7">
        <w:t>collaborate to find a workable solution mitigating any unintended consequences.</w:t>
      </w:r>
      <w:r w:rsidR="00744382">
        <w:t xml:space="preserve"> </w:t>
      </w:r>
    </w:p>
    <w:p w14:paraId="1647D01A" w14:textId="77777777" w:rsidR="00CD1AB7" w:rsidRDefault="004E4A9A" w:rsidP="008276EE">
      <w:pPr>
        <w:pStyle w:val="ListParagraph"/>
        <w:numPr>
          <w:ilvl w:val="0"/>
          <w:numId w:val="4"/>
        </w:numPr>
      </w:pPr>
      <w:r>
        <w:t>#20 – “</w:t>
      </w:r>
      <w:r w:rsidRPr="008276EE">
        <w:rPr>
          <w:i/>
        </w:rPr>
        <w:t xml:space="preserve">Should there be modifications for Validation, Editing and Estimation of meter data?  What is the extent of billing errors caused by this?” </w:t>
      </w:r>
      <w:r>
        <w:t xml:space="preserve"> </w:t>
      </w:r>
      <w:r w:rsidR="00676163">
        <w:t>ACTION item for Randy Roberts was to provide data received by ERCOT on OD + 1.</w:t>
      </w:r>
      <w:r>
        <w:t xml:space="preserve"> Below is a graph of the timeliness of AMS data </w:t>
      </w:r>
      <w:r w:rsidR="00CD1AB7">
        <w:t>r</w:t>
      </w:r>
      <w:r w:rsidR="00775EB0">
        <w:t xml:space="preserve">eceived by ERCOT on Day </w:t>
      </w:r>
      <w:r w:rsidR="00676163">
        <w:t>1</w:t>
      </w:r>
      <w:r w:rsidR="00775EB0">
        <w:t xml:space="preserve"> from </w:t>
      </w:r>
      <w:r w:rsidR="00676163">
        <w:t>March</w:t>
      </w:r>
      <w:r w:rsidR="00775EB0">
        <w:t xml:space="preserve"> through </w:t>
      </w:r>
      <w:r w:rsidR="00676163">
        <w:t>August</w:t>
      </w:r>
      <w:r w:rsidR="00775EB0">
        <w:t xml:space="preserve"> 2021.</w:t>
      </w:r>
    </w:p>
    <w:p w14:paraId="7B847DBC" w14:textId="51A0862A" w:rsidR="006C60DE" w:rsidRDefault="00676163" w:rsidP="00CD1AB7">
      <w:pPr>
        <w:pStyle w:val="ListParagraph"/>
      </w:pPr>
      <w:r w:rsidRPr="00676163">
        <w:rPr>
          <w:noProof/>
        </w:rPr>
        <w:lastRenderedPageBreak/>
        <w:drawing>
          <wp:inline distT="0" distB="0" distL="0" distR="0" wp14:anchorId="3257D145" wp14:editId="0F32EC96">
            <wp:extent cx="3798570" cy="2340082"/>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803261" cy="2342972"/>
                    </a:xfrm>
                    <a:prstGeom prst="rect">
                      <a:avLst/>
                    </a:prstGeom>
                  </pic:spPr>
                </pic:pic>
              </a:graphicData>
            </a:graphic>
          </wp:inline>
        </w:drawing>
      </w:r>
    </w:p>
    <w:p w14:paraId="66F6AF4D" w14:textId="77777777" w:rsidR="00CD1AB7" w:rsidRDefault="00374268" w:rsidP="00775EB0">
      <w:pPr>
        <w:ind w:left="720"/>
      </w:pPr>
      <w:r>
        <w:t xml:space="preserve">Jim will report to TAC confirming </w:t>
      </w:r>
      <w:r w:rsidR="00CA1226">
        <w:t xml:space="preserve">the following regarding </w:t>
      </w:r>
      <w:r>
        <w:t xml:space="preserve">AMS Data </w:t>
      </w:r>
      <w:r w:rsidR="00CA1226">
        <w:t xml:space="preserve">received on Day 1 from the TDSPs:  </w:t>
      </w:r>
    </w:p>
    <w:p w14:paraId="7EBF8218" w14:textId="77777777" w:rsidR="00CD1AB7" w:rsidRDefault="00CA1226" w:rsidP="00CD1AB7">
      <w:pPr>
        <w:ind w:left="720" w:firstLine="720"/>
      </w:pPr>
      <w:r>
        <w:t xml:space="preserve">90% of the time, 97% of the data is received </w:t>
      </w:r>
    </w:p>
    <w:p w14:paraId="24D88FBB" w14:textId="1A7111AB" w:rsidR="00775EB0" w:rsidRDefault="00CA1226" w:rsidP="00CD1AB7">
      <w:pPr>
        <w:ind w:left="720" w:firstLine="720"/>
      </w:pPr>
      <w:r>
        <w:t>95% of the time, 85% of the data is received.</w:t>
      </w:r>
    </w:p>
    <w:p w14:paraId="5A4CDB44" w14:textId="72225821" w:rsidR="00B42D35" w:rsidRDefault="00CA1226" w:rsidP="00A24794">
      <w:pPr>
        <w:pStyle w:val="ListParagraph"/>
        <w:numPr>
          <w:ilvl w:val="0"/>
          <w:numId w:val="4"/>
        </w:numPr>
      </w:pPr>
      <w:r>
        <w:t xml:space="preserve">#118 </w:t>
      </w:r>
      <w:r w:rsidR="00F86F7C">
        <w:t xml:space="preserve">– </w:t>
      </w:r>
      <w:r w:rsidRPr="00CA1226">
        <w:rPr>
          <w:i/>
          <w:iCs/>
        </w:rPr>
        <w:t>New REP requirements</w:t>
      </w:r>
      <w:r>
        <w:t xml:space="preserve"> – this item has officially been removed from the RECTF action items.</w:t>
      </w:r>
    </w:p>
    <w:p w14:paraId="2A9BEDF0" w14:textId="0D3D81AA" w:rsidR="00CA1226" w:rsidRDefault="00CA1226" w:rsidP="00CA1226"/>
    <w:p w14:paraId="0BA408BD" w14:textId="77777777" w:rsidR="00CA1226" w:rsidRDefault="00CA1226" w:rsidP="00CA1226"/>
    <w:p w14:paraId="5184B531" w14:textId="77777777" w:rsidR="000E35BD" w:rsidRDefault="00A00209" w:rsidP="00A00209">
      <w:pPr>
        <w:rPr>
          <w:b/>
          <w:u w:val="single"/>
        </w:rPr>
      </w:pPr>
      <w:r w:rsidRPr="00A00209">
        <w:rPr>
          <w:b/>
          <w:u w:val="single"/>
        </w:rPr>
        <w:t xml:space="preserve">TDSP AMS Data Practices Matrix </w:t>
      </w:r>
    </w:p>
    <w:p w14:paraId="36103B2E" w14:textId="77777777" w:rsidR="00AC794D" w:rsidRDefault="000E35BD" w:rsidP="00A00209">
      <w:r>
        <w:t xml:space="preserve">Jim </w:t>
      </w:r>
      <w:r w:rsidR="00CD1AB7">
        <w:t xml:space="preserve">reviewed </w:t>
      </w:r>
      <w:r w:rsidR="008A390F">
        <w:t xml:space="preserve">the </w:t>
      </w:r>
      <w:r w:rsidR="00CD1AB7">
        <w:t xml:space="preserve">final edits as discussed at the last RECTF meeting, particularly #13 </w:t>
      </w:r>
      <w:r w:rsidR="00AC794D">
        <w:t>adding the following comment:</w:t>
      </w:r>
    </w:p>
    <w:p w14:paraId="6B27EB72" w14:textId="7F500D0C" w:rsidR="00FF31A5" w:rsidRDefault="00AC794D" w:rsidP="00A00209">
      <w:r w:rsidRPr="00AC794D">
        <w:rPr>
          <w:rFonts w:ascii="Calibri" w:hAnsi="Calibri" w:cs="Calibri"/>
          <w:bCs/>
          <w:i/>
          <w:iCs/>
        </w:rPr>
        <w:t>TDSPs will make all reasonable attempts to provide market notice(s) when Gap Retrieval process has been initiated outside of normal Gap Retrieval processing, for potential impacts to Time of Use customer’s billing</w:t>
      </w:r>
      <w:r>
        <w:rPr>
          <w:rFonts w:ascii="Calibri" w:hAnsi="Calibri" w:cs="Calibri"/>
          <w:bCs/>
          <w:sz w:val="20"/>
          <w:szCs w:val="20"/>
        </w:rPr>
        <w:t>.</w:t>
      </w:r>
      <w:r w:rsidR="008A390F">
        <w:t xml:space="preserve"> </w:t>
      </w:r>
    </w:p>
    <w:p w14:paraId="75805BAA" w14:textId="1F974709" w:rsidR="00FF31A5" w:rsidRDefault="00AC794D" w:rsidP="00A00209">
      <w:r>
        <w:t>All other edits were approved.</w:t>
      </w:r>
    </w:p>
    <w:p w14:paraId="4585FA1C" w14:textId="098CD653" w:rsidR="005A351E" w:rsidRDefault="00FF31A5" w:rsidP="00AC794D">
      <w:r>
        <w:t xml:space="preserve"> </w:t>
      </w:r>
    </w:p>
    <w:p w14:paraId="59A25430" w14:textId="77777777" w:rsidR="007B1E7F" w:rsidRDefault="002C03A4" w:rsidP="002C03A4">
      <w:pPr>
        <w:rPr>
          <w:b/>
          <w:u w:val="single"/>
        </w:rPr>
      </w:pPr>
      <w:r w:rsidRPr="002C03A4">
        <w:rPr>
          <w:b/>
          <w:u w:val="single"/>
        </w:rPr>
        <w:t>Weather Preparedness – Q &amp; A – Updated Matrix</w:t>
      </w:r>
    </w:p>
    <w:p w14:paraId="2D394B9B" w14:textId="77777777" w:rsidR="00AC794D" w:rsidRDefault="00AC794D" w:rsidP="00C3680C">
      <w:pPr>
        <w:pStyle w:val="ListParagraph"/>
        <w:ind w:left="0"/>
      </w:pPr>
      <w:r>
        <w:rPr>
          <w:bCs/>
        </w:rPr>
        <w:t xml:space="preserve">Both the </w:t>
      </w:r>
      <w:r w:rsidR="008365A4" w:rsidRPr="001973E2">
        <w:rPr>
          <w:b/>
        </w:rPr>
        <w:t>E</w:t>
      </w:r>
      <w:r>
        <w:rPr>
          <w:b/>
        </w:rPr>
        <w:t xml:space="preserve">nergy </w:t>
      </w:r>
      <w:r w:rsidR="008365A4" w:rsidRPr="001973E2">
        <w:rPr>
          <w:b/>
        </w:rPr>
        <w:t>E</w:t>
      </w:r>
      <w:r>
        <w:rPr>
          <w:b/>
        </w:rPr>
        <w:t xml:space="preserve">mergency </w:t>
      </w:r>
      <w:r w:rsidR="008365A4" w:rsidRPr="001973E2">
        <w:rPr>
          <w:b/>
        </w:rPr>
        <w:t>A</w:t>
      </w:r>
      <w:r>
        <w:rPr>
          <w:b/>
        </w:rPr>
        <w:t>lert</w:t>
      </w:r>
      <w:r w:rsidR="008365A4" w:rsidRPr="001973E2">
        <w:rPr>
          <w:b/>
        </w:rPr>
        <w:t xml:space="preserve"> </w:t>
      </w:r>
      <w:r w:rsidRPr="00AC794D">
        <w:rPr>
          <w:bCs/>
        </w:rPr>
        <w:t>definition</w:t>
      </w:r>
      <w:r>
        <w:rPr>
          <w:bCs/>
        </w:rPr>
        <w:t xml:space="preserve"> </w:t>
      </w:r>
      <w:r>
        <w:t xml:space="preserve">and the </w:t>
      </w:r>
      <w:r>
        <w:rPr>
          <w:b/>
          <w:bCs/>
        </w:rPr>
        <w:t xml:space="preserve">Emergency Operations Plan </w:t>
      </w:r>
      <w:r>
        <w:t xml:space="preserve">definition placed at the top of each matrix </w:t>
      </w:r>
      <w:r w:rsidR="008365A4">
        <w:t>w</w:t>
      </w:r>
      <w:r>
        <w:t>ere</w:t>
      </w:r>
      <w:r w:rsidR="008365A4">
        <w:t xml:space="preserve"> reviewed </w:t>
      </w:r>
      <w:r>
        <w:t>and approved.  These matrices will be utilized during the Winter Weather Preparedness Workshop to be held November 2</w:t>
      </w:r>
      <w:r w:rsidRPr="00AC794D">
        <w:rPr>
          <w:vertAlign w:val="superscript"/>
        </w:rPr>
        <w:t>nd</w:t>
      </w:r>
      <w:r>
        <w:t xml:space="preserve"> after RMS.</w:t>
      </w:r>
    </w:p>
    <w:p w14:paraId="2A5E9CB4" w14:textId="77777777" w:rsidR="00AC794D" w:rsidRDefault="00AC794D" w:rsidP="00AC794D">
      <w:pPr>
        <w:pStyle w:val="ListParagraph"/>
      </w:pPr>
      <w:r w:rsidRPr="00AC794D">
        <w:rPr>
          <w:b/>
          <w:bCs/>
          <w:u w:val="single"/>
        </w:rPr>
        <w:t>Energy Emergency Alert</w:t>
      </w:r>
      <w:r>
        <w:t xml:space="preserve">: </w:t>
      </w:r>
    </w:p>
    <w:p w14:paraId="1116412D" w14:textId="517EC9E0" w:rsidR="00AC794D" w:rsidRDefault="00AC794D" w:rsidP="00AC794D">
      <w:pPr>
        <w:ind w:left="720"/>
      </w:pPr>
      <w:r w:rsidRPr="00AC794D">
        <w:rPr>
          <w:i/>
          <w:iCs/>
        </w:rPr>
        <w:t xml:space="preserve">Energy Emergency Alert (EEA) is a series of emergency procedures ERCOT utilizes when operating reserves drop below specified levels. These procedures are designed to protect the reliability of the electric system as a whole and prevent an uncontrolled system-wide outage. When ERCOT issues an EEA, it </w:t>
      </w:r>
      <w:proofErr w:type="gramStart"/>
      <w:r w:rsidRPr="00AC794D">
        <w:rPr>
          <w:i/>
          <w:iCs/>
        </w:rPr>
        <w:t>is able to</w:t>
      </w:r>
      <w:proofErr w:type="gramEnd"/>
      <w:r w:rsidRPr="00AC794D">
        <w:rPr>
          <w:i/>
          <w:iCs/>
        </w:rPr>
        <w:t xml:space="preserve"> take advantage of additional tools &amp; resources that are only available during scarcity conditions. However, if </w:t>
      </w:r>
      <w:proofErr w:type="gramStart"/>
      <w:r w:rsidRPr="00AC794D">
        <w:rPr>
          <w:i/>
          <w:iCs/>
        </w:rPr>
        <w:t>all of</w:t>
      </w:r>
      <w:proofErr w:type="gramEnd"/>
      <w:r w:rsidRPr="00AC794D">
        <w:rPr>
          <w:i/>
          <w:iCs/>
        </w:rPr>
        <w:t xml:space="preserve"> the available EEA tools are insufficient, ERCOT will instruct Transmission &amp; Distribution Service Providers (TDSPs) to shed load, which may result in rotating outages. EEA procedures are pre-defined and prescribed in ERCOT Nodal Protocols, and TDSPs respond to ERCOT EEA instructions as directed by ERCOT. The matrix below outlines Retail market procedures during an EEA event</w:t>
      </w:r>
      <w:r>
        <w:t>.</w:t>
      </w:r>
    </w:p>
    <w:p w14:paraId="081365E1" w14:textId="6B38117F" w:rsidR="00AC794D" w:rsidRDefault="00AC794D" w:rsidP="00AC794D">
      <w:pPr>
        <w:ind w:left="720"/>
      </w:pPr>
    </w:p>
    <w:p w14:paraId="61042E25" w14:textId="5A63CEAE" w:rsidR="00AC794D" w:rsidRPr="00AC794D" w:rsidRDefault="00AC794D" w:rsidP="00AC794D">
      <w:pPr>
        <w:ind w:left="720"/>
        <w:rPr>
          <w:u w:val="single"/>
        </w:rPr>
      </w:pPr>
      <w:r w:rsidRPr="00AC794D">
        <w:rPr>
          <w:b/>
          <w:bCs/>
          <w:u w:val="single"/>
        </w:rPr>
        <w:t>Emergency Operations Plan</w:t>
      </w:r>
      <w:r>
        <w:rPr>
          <w:b/>
          <w:bCs/>
          <w:u w:val="single"/>
        </w:rPr>
        <w:t>:</w:t>
      </w:r>
    </w:p>
    <w:p w14:paraId="227550BC" w14:textId="1DC26D32" w:rsidR="00AC794D" w:rsidRPr="00AC794D" w:rsidRDefault="00AC794D" w:rsidP="00AC794D">
      <w:pPr>
        <w:ind w:left="720"/>
        <w:rPr>
          <w:i/>
          <w:iCs/>
          <w:color w:val="FF0000"/>
        </w:rPr>
      </w:pPr>
      <w:proofErr w:type="gramStart"/>
      <w:r w:rsidRPr="00AC794D">
        <w:rPr>
          <w:i/>
          <w:iCs/>
        </w:rPr>
        <w:t>Emergency Operations Plan (EOP),</w:t>
      </w:r>
      <w:proofErr w:type="gramEnd"/>
      <w:r w:rsidRPr="00AC794D">
        <w:rPr>
          <w:i/>
          <w:iCs/>
        </w:rPr>
        <w:t xml:space="preserve"> are TDSP operating procedures in the event of widespread emergency events such as hurricanes or ice storms. Because each Transmission &amp; Distribution </w:t>
      </w:r>
      <w:r w:rsidRPr="00AC794D">
        <w:rPr>
          <w:i/>
          <w:iCs/>
        </w:rPr>
        <w:lastRenderedPageBreak/>
        <w:t>Service Provider (TDSP) operates in varying geographical regions resulting in varying emergency situations, the TDSP may elect to activate EOP procedures at their discretion. It is important to note that EOP may be implemented concurrently with ERCOT Energy Emergency Alerts (EEA), if necessary.</w:t>
      </w:r>
    </w:p>
    <w:p w14:paraId="09A70FB2" w14:textId="77777777" w:rsidR="00AC794D" w:rsidRPr="00AC794D" w:rsidRDefault="00AC794D" w:rsidP="00AC794D">
      <w:pPr>
        <w:ind w:left="720"/>
        <w:rPr>
          <w:i/>
          <w:iCs/>
          <w:color w:val="FF0000"/>
        </w:rPr>
      </w:pPr>
    </w:p>
    <w:p w14:paraId="6911D982" w14:textId="77777777" w:rsidR="00AC794D" w:rsidRPr="00AC794D" w:rsidRDefault="00AC794D" w:rsidP="00AC794D">
      <w:pPr>
        <w:ind w:left="720"/>
        <w:rPr>
          <w:i/>
          <w:iCs/>
        </w:rPr>
      </w:pPr>
      <w:r w:rsidRPr="00AC794D">
        <w:rPr>
          <w:i/>
          <w:iCs/>
          <w:color w:val="FF0000"/>
        </w:rPr>
        <w:t xml:space="preserve">Note: TDSPs will utilize the RMS listserv as the primary method of communication with Market Participants during an EOP event. To receive these email notifications and communications, Market Participants </w:t>
      </w:r>
      <w:r w:rsidRPr="00AC794D">
        <w:rPr>
          <w:rFonts w:cstheme="minorHAnsi"/>
          <w:i/>
          <w:iCs/>
          <w:color w:val="FF0000"/>
        </w:rPr>
        <w:t xml:space="preserve">should subscribe to the RMS listserv by going to ERCOT.com </w:t>
      </w:r>
      <w:r w:rsidRPr="00AC794D">
        <w:rPr>
          <w:rFonts w:cstheme="minorHAnsi"/>
          <w:i/>
          <w:iCs/>
        </w:rPr>
        <w:t>“</w:t>
      </w:r>
      <w:hyperlink r:id="rId9" w:history="1">
        <w:r w:rsidRPr="00AC794D">
          <w:rPr>
            <w:rStyle w:val="Hyperlink"/>
            <w:rFonts w:cstheme="minorHAnsi"/>
            <w:b/>
            <w:i/>
            <w:iCs/>
          </w:rPr>
          <w:t>Committees and Groups – RMS</w:t>
        </w:r>
      </w:hyperlink>
      <w:r w:rsidRPr="00AC794D">
        <w:rPr>
          <w:rFonts w:cstheme="minorHAnsi"/>
          <w:i/>
          <w:iCs/>
        </w:rPr>
        <w:t xml:space="preserve">” </w:t>
      </w:r>
      <w:r w:rsidRPr="00AC794D">
        <w:rPr>
          <w:rFonts w:cstheme="minorHAnsi"/>
          <w:i/>
          <w:iCs/>
          <w:color w:val="FF0000"/>
        </w:rPr>
        <w:t>and click on</w:t>
      </w:r>
      <w:r w:rsidRPr="00AC794D">
        <w:rPr>
          <w:rFonts w:cstheme="minorHAnsi"/>
          <w:i/>
          <w:iCs/>
        </w:rPr>
        <w:t xml:space="preserve"> “</w:t>
      </w:r>
      <w:hyperlink r:id="rId10" w:tgtFrame="_blank" w:tooltip="Opens new browser window" w:history="1">
        <w:r w:rsidRPr="00AC794D">
          <w:rPr>
            <w:rStyle w:val="Hyperlink"/>
            <w:rFonts w:cstheme="minorHAnsi"/>
            <w:b/>
            <w:bCs/>
            <w:i/>
            <w:iCs/>
            <w:color w:val="0079DB"/>
            <w:shd w:val="clear" w:color="auto" w:fill="FFFFFF"/>
          </w:rPr>
          <w:t>Subscribe</w:t>
        </w:r>
      </w:hyperlink>
      <w:r w:rsidRPr="00AC794D">
        <w:rPr>
          <w:rFonts w:cstheme="minorHAnsi"/>
          <w:i/>
          <w:iCs/>
          <w:color w:val="000000"/>
          <w:shd w:val="clear" w:color="auto" w:fill="FFFFFF"/>
        </w:rPr>
        <w:t> </w:t>
      </w:r>
      <w:r w:rsidRPr="00AC794D">
        <w:rPr>
          <w:rFonts w:cstheme="minorHAnsi"/>
          <w:i/>
          <w:iCs/>
          <w:color w:val="FF0000"/>
          <w:shd w:val="clear" w:color="auto" w:fill="FFFFFF"/>
        </w:rPr>
        <w:t>to this email list”.</w:t>
      </w:r>
    </w:p>
    <w:p w14:paraId="40DD2E92" w14:textId="6CD232C1" w:rsidR="007874E6" w:rsidRDefault="007874E6" w:rsidP="00AC794D">
      <w:pPr>
        <w:pStyle w:val="ListParagraph"/>
        <w:ind w:left="0"/>
        <w:rPr>
          <w:i/>
          <w:iCs/>
        </w:rPr>
      </w:pPr>
    </w:p>
    <w:p w14:paraId="005061E6" w14:textId="0F489A07" w:rsidR="00BE7A1E" w:rsidRDefault="00BE7A1E" w:rsidP="007874E6">
      <w:pPr>
        <w:rPr>
          <w:b/>
          <w:u w:val="single"/>
        </w:rPr>
      </w:pPr>
      <w:r>
        <w:rPr>
          <w:b/>
          <w:u w:val="single"/>
        </w:rPr>
        <w:t xml:space="preserve">Agenda </w:t>
      </w:r>
      <w:r w:rsidR="00AC794D">
        <w:rPr>
          <w:b/>
          <w:u w:val="single"/>
        </w:rPr>
        <w:t>Review f</w:t>
      </w:r>
      <w:r>
        <w:rPr>
          <w:b/>
          <w:u w:val="single"/>
        </w:rPr>
        <w:t>or Nov 2</w:t>
      </w:r>
      <w:r w:rsidRPr="00BE7A1E">
        <w:rPr>
          <w:b/>
          <w:u w:val="single"/>
          <w:vertAlign w:val="superscript"/>
        </w:rPr>
        <w:t>nd</w:t>
      </w:r>
      <w:r>
        <w:rPr>
          <w:b/>
          <w:u w:val="single"/>
        </w:rPr>
        <w:t xml:space="preserve"> Winter Preparedness Workshop</w:t>
      </w:r>
    </w:p>
    <w:p w14:paraId="26C85347" w14:textId="19CFFECF" w:rsidR="00BE7A1E" w:rsidRDefault="00AC794D" w:rsidP="007874E6">
      <w:r>
        <w:t>The following DRAFT agenda was reviewed.</w:t>
      </w:r>
    </w:p>
    <w:p w14:paraId="31F55BC8" w14:textId="77777777" w:rsidR="00AC794D" w:rsidRDefault="00AC794D" w:rsidP="00AC794D">
      <w:pPr>
        <w:numPr>
          <w:ilvl w:val="0"/>
          <w:numId w:val="10"/>
        </w:numPr>
        <w:shd w:val="clear" w:color="auto" w:fill="FFFFFF"/>
        <w:spacing w:after="45"/>
        <w:rPr>
          <w:rFonts w:ascii="Arial" w:eastAsia="Times New Roman" w:hAnsi="Arial" w:cs="Arial"/>
          <w:color w:val="000000"/>
          <w:sz w:val="21"/>
          <w:szCs w:val="21"/>
        </w:rPr>
      </w:pPr>
      <w:r>
        <w:rPr>
          <w:rFonts w:ascii="Arial" w:eastAsia="Times New Roman" w:hAnsi="Arial" w:cs="Arial"/>
          <w:color w:val="000000"/>
          <w:sz w:val="21"/>
          <w:szCs w:val="21"/>
        </w:rPr>
        <w:t>Antitrust Admonition</w:t>
      </w:r>
    </w:p>
    <w:p w14:paraId="2CCEE28C" w14:textId="77777777" w:rsidR="00AC794D" w:rsidRDefault="00AC794D" w:rsidP="00AC794D">
      <w:pPr>
        <w:numPr>
          <w:ilvl w:val="0"/>
          <w:numId w:val="10"/>
        </w:numPr>
        <w:shd w:val="clear" w:color="auto" w:fill="FFFFFF"/>
        <w:spacing w:after="45"/>
        <w:rPr>
          <w:rFonts w:ascii="Arial" w:eastAsia="Times New Roman" w:hAnsi="Arial" w:cs="Arial"/>
          <w:color w:val="000000"/>
          <w:sz w:val="21"/>
          <w:szCs w:val="21"/>
        </w:rPr>
      </w:pPr>
      <w:r>
        <w:rPr>
          <w:rFonts w:ascii="Arial" w:eastAsia="Times New Roman" w:hAnsi="Arial" w:cs="Arial"/>
          <w:color w:val="000000"/>
          <w:sz w:val="21"/>
          <w:szCs w:val="21"/>
        </w:rPr>
        <w:t>Scope/Purpose of Workshop</w:t>
      </w:r>
    </w:p>
    <w:p w14:paraId="17D5D500" w14:textId="77777777" w:rsidR="00AC794D" w:rsidRDefault="00AC794D" w:rsidP="00AC794D">
      <w:pPr>
        <w:numPr>
          <w:ilvl w:val="0"/>
          <w:numId w:val="10"/>
        </w:numPr>
        <w:shd w:val="clear" w:color="auto" w:fill="FFFFFF"/>
        <w:spacing w:after="45"/>
        <w:rPr>
          <w:rFonts w:ascii="Arial" w:eastAsia="Times New Roman" w:hAnsi="Arial" w:cs="Arial"/>
          <w:color w:val="000000"/>
          <w:sz w:val="21"/>
          <w:szCs w:val="21"/>
        </w:rPr>
      </w:pPr>
      <w:r>
        <w:rPr>
          <w:rFonts w:ascii="Arial" w:eastAsia="Times New Roman" w:hAnsi="Arial" w:cs="Arial"/>
          <w:color w:val="000000"/>
          <w:sz w:val="21"/>
          <w:szCs w:val="21"/>
        </w:rPr>
        <w:t>ERCOT Energy Emergency Alerts (EEA)</w:t>
      </w:r>
    </w:p>
    <w:p w14:paraId="01592710" w14:textId="77777777" w:rsidR="00AC794D" w:rsidRDefault="00AC794D" w:rsidP="00AC794D">
      <w:pPr>
        <w:numPr>
          <w:ilvl w:val="1"/>
          <w:numId w:val="10"/>
        </w:numPr>
        <w:shd w:val="clear" w:color="auto" w:fill="FFFFFF"/>
        <w:spacing w:after="45"/>
        <w:rPr>
          <w:rFonts w:ascii="Arial" w:eastAsia="Times New Roman" w:hAnsi="Arial" w:cs="Arial"/>
          <w:color w:val="000000"/>
          <w:sz w:val="21"/>
          <w:szCs w:val="21"/>
        </w:rPr>
      </w:pPr>
      <w:r>
        <w:rPr>
          <w:rFonts w:ascii="Arial" w:eastAsia="Times New Roman" w:hAnsi="Arial" w:cs="Arial"/>
          <w:color w:val="000000"/>
          <w:sz w:val="21"/>
          <w:szCs w:val="21"/>
        </w:rPr>
        <w:t>ERCOT Role &amp; Responsibilities</w:t>
      </w:r>
    </w:p>
    <w:p w14:paraId="543C3DEB" w14:textId="77777777" w:rsidR="00AC794D" w:rsidRDefault="00AC794D" w:rsidP="00AC794D">
      <w:pPr>
        <w:numPr>
          <w:ilvl w:val="1"/>
          <w:numId w:val="10"/>
        </w:numPr>
        <w:shd w:val="clear" w:color="auto" w:fill="FFFFFF"/>
        <w:spacing w:after="45"/>
        <w:rPr>
          <w:rFonts w:ascii="Arial" w:eastAsia="Times New Roman" w:hAnsi="Arial" w:cs="Arial"/>
          <w:color w:val="000000"/>
          <w:sz w:val="21"/>
          <w:szCs w:val="21"/>
        </w:rPr>
      </w:pPr>
      <w:r>
        <w:rPr>
          <w:rFonts w:ascii="Arial" w:eastAsia="Times New Roman" w:hAnsi="Arial" w:cs="Arial"/>
          <w:color w:val="000000"/>
          <w:sz w:val="21"/>
          <w:szCs w:val="21"/>
        </w:rPr>
        <w:t>TDSP Role &amp; Responsibilities</w:t>
      </w:r>
    </w:p>
    <w:p w14:paraId="2620478D" w14:textId="77777777" w:rsidR="00AC794D" w:rsidRDefault="00AC794D" w:rsidP="00AC794D">
      <w:pPr>
        <w:numPr>
          <w:ilvl w:val="0"/>
          <w:numId w:val="10"/>
        </w:numPr>
        <w:shd w:val="clear" w:color="auto" w:fill="FFFFFF"/>
        <w:spacing w:after="45"/>
        <w:rPr>
          <w:rFonts w:ascii="Arial" w:eastAsia="Times New Roman" w:hAnsi="Arial" w:cs="Arial"/>
          <w:color w:val="000000"/>
          <w:sz w:val="21"/>
          <w:szCs w:val="21"/>
        </w:rPr>
      </w:pPr>
      <w:r>
        <w:rPr>
          <w:rFonts w:ascii="Arial" w:eastAsia="Times New Roman" w:hAnsi="Arial" w:cs="Arial"/>
          <w:color w:val="000000"/>
          <w:sz w:val="21"/>
          <w:szCs w:val="21"/>
        </w:rPr>
        <w:t>Critical Care/Chronic Condition Customer Impacts (PUCT Subst. Rule §25.497)</w:t>
      </w:r>
    </w:p>
    <w:p w14:paraId="3F65AFBC" w14:textId="77777777" w:rsidR="00AC794D" w:rsidRDefault="00615DB1" w:rsidP="00AC794D">
      <w:pPr>
        <w:shd w:val="clear" w:color="auto" w:fill="FFFFFF"/>
        <w:spacing w:after="45"/>
        <w:ind w:left="720"/>
        <w:rPr>
          <w:rFonts w:ascii="Arial" w:eastAsia="Times New Roman" w:hAnsi="Arial" w:cs="Arial"/>
          <w:color w:val="000000"/>
          <w:sz w:val="21"/>
          <w:szCs w:val="21"/>
        </w:rPr>
      </w:pPr>
      <w:hyperlink r:id="rId11" w:history="1">
        <w:r w:rsidR="00AC794D">
          <w:rPr>
            <w:rStyle w:val="Hyperlink"/>
            <w:rFonts w:ascii="Arial" w:eastAsia="Times New Roman" w:hAnsi="Arial" w:cs="Arial"/>
            <w:color w:val="0079DB"/>
            <w:sz w:val="21"/>
            <w:szCs w:val="21"/>
          </w:rPr>
          <w:t>http://www.puc.texas.gov/agency/rulesnlaws/subrules/electric/25.497/25.497.pdf</w:t>
        </w:r>
      </w:hyperlink>
    </w:p>
    <w:p w14:paraId="3B138C06" w14:textId="77777777" w:rsidR="00AC794D" w:rsidRDefault="00AC794D" w:rsidP="00AC794D">
      <w:pPr>
        <w:numPr>
          <w:ilvl w:val="1"/>
          <w:numId w:val="10"/>
        </w:numPr>
        <w:shd w:val="clear" w:color="auto" w:fill="FFFFFF"/>
        <w:spacing w:after="45"/>
        <w:rPr>
          <w:rFonts w:ascii="Arial" w:eastAsia="Times New Roman" w:hAnsi="Arial" w:cs="Arial"/>
          <w:color w:val="000000"/>
          <w:sz w:val="21"/>
          <w:szCs w:val="21"/>
        </w:rPr>
      </w:pPr>
      <w:r>
        <w:rPr>
          <w:rFonts w:ascii="Arial" w:eastAsia="Times New Roman" w:hAnsi="Arial" w:cs="Arial"/>
          <w:color w:val="000000"/>
          <w:sz w:val="21"/>
          <w:szCs w:val="21"/>
        </w:rPr>
        <w:t>Critical Load Industrial &amp; Public Safety</w:t>
      </w:r>
    </w:p>
    <w:p w14:paraId="77EF9C04" w14:textId="77777777" w:rsidR="00AC794D" w:rsidRDefault="00AC794D" w:rsidP="00AC794D">
      <w:pPr>
        <w:numPr>
          <w:ilvl w:val="1"/>
          <w:numId w:val="10"/>
        </w:numPr>
        <w:shd w:val="clear" w:color="auto" w:fill="FFFFFF"/>
        <w:spacing w:after="45"/>
        <w:rPr>
          <w:rFonts w:ascii="Arial" w:eastAsia="Times New Roman" w:hAnsi="Arial" w:cs="Arial"/>
          <w:color w:val="000000"/>
          <w:sz w:val="21"/>
          <w:szCs w:val="21"/>
        </w:rPr>
      </w:pPr>
      <w:r>
        <w:rPr>
          <w:rFonts w:ascii="Arial" w:eastAsia="Times New Roman" w:hAnsi="Arial" w:cs="Arial"/>
          <w:color w:val="000000"/>
          <w:sz w:val="21"/>
          <w:szCs w:val="21"/>
        </w:rPr>
        <w:t>Critical Care &amp; Chronic Condition Residential</w:t>
      </w:r>
    </w:p>
    <w:p w14:paraId="3E413D7D" w14:textId="77777777" w:rsidR="00AC794D" w:rsidRDefault="00AC794D" w:rsidP="00AC794D">
      <w:pPr>
        <w:numPr>
          <w:ilvl w:val="0"/>
          <w:numId w:val="10"/>
        </w:numPr>
        <w:shd w:val="clear" w:color="auto" w:fill="FFFFFF"/>
        <w:spacing w:after="45"/>
        <w:rPr>
          <w:rFonts w:ascii="Arial" w:eastAsia="Times New Roman" w:hAnsi="Arial" w:cs="Arial"/>
          <w:color w:val="000000"/>
          <w:sz w:val="21"/>
          <w:szCs w:val="21"/>
        </w:rPr>
      </w:pPr>
      <w:r>
        <w:rPr>
          <w:rFonts w:ascii="Arial" w:eastAsia="Times New Roman" w:hAnsi="Arial" w:cs="Arial"/>
          <w:color w:val="000000"/>
          <w:sz w:val="21"/>
          <w:szCs w:val="21"/>
        </w:rPr>
        <w:t>Review of TDSP AMS Data Practices Matrix + EEA Matrix + EOP Matrix</w:t>
      </w:r>
    </w:p>
    <w:p w14:paraId="67E0BDF3" w14:textId="77777777" w:rsidR="00AC794D" w:rsidRDefault="00AC794D" w:rsidP="00AC794D">
      <w:pPr>
        <w:numPr>
          <w:ilvl w:val="0"/>
          <w:numId w:val="10"/>
        </w:numPr>
        <w:shd w:val="clear" w:color="auto" w:fill="FFFFFF"/>
        <w:spacing w:after="45"/>
        <w:rPr>
          <w:rFonts w:ascii="Arial" w:eastAsia="Times New Roman" w:hAnsi="Arial" w:cs="Arial"/>
          <w:color w:val="000000"/>
          <w:sz w:val="21"/>
          <w:szCs w:val="21"/>
        </w:rPr>
      </w:pPr>
      <w:r>
        <w:rPr>
          <w:rFonts w:ascii="Arial" w:eastAsia="Times New Roman" w:hAnsi="Arial" w:cs="Arial"/>
          <w:color w:val="000000"/>
          <w:sz w:val="21"/>
          <w:szCs w:val="21"/>
        </w:rPr>
        <w:t>Baseline review &amp; preparation of Mass Transition Processes (RMG 7.11)</w:t>
      </w:r>
    </w:p>
    <w:p w14:paraId="33E3EF71" w14:textId="23D71AF9" w:rsidR="00AC794D" w:rsidRDefault="00AC794D" w:rsidP="00AC794D">
      <w:pPr>
        <w:numPr>
          <w:ilvl w:val="0"/>
          <w:numId w:val="10"/>
        </w:numPr>
        <w:shd w:val="clear" w:color="auto" w:fill="FFFFFF"/>
        <w:spacing w:after="45"/>
        <w:rPr>
          <w:rFonts w:ascii="Arial" w:eastAsia="Times New Roman" w:hAnsi="Arial" w:cs="Arial"/>
          <w:color w:val="000000"/>
          <w:sz w:val="21"/>
          <w:szCs w:val="21"/>
        </w:rPr>
      </w:pPr>
      <w:r>
        <w:rPr>
          <w:rFonts w:ascii="Arial" w:eastAsia="Times New Roman" w:hAnsi="Arial" w:cs="Arial"/>
          <w:color w:val="000000"/>
          <w:sz w:val="21"/>
          <w:szCs w:val="21"/>
        </w:rPr>
        <w:t>Q&amp;A</w:t>
      </w:r>
    </w:p>
    <w:p w14:paraId="7A3EAEEF" w14:textId="66D62284" w:rsidR="00AC794D" w:rsidRDefault="00AC794D" w:rsidP="00307FA1">
      <w:pPr>
        <w:pStyle w:val="ListParagraph"/>
        <w:numPr>
          <w:ilvl w:val="0"/>
          <w:numId w:val="10"/>
        </w:numPr>
      </w:pPr>
      <w:r w:rsidRPr="00307FA1">
        <w:rPr>
          <w:rFonts w:ascii="Arial" w:eastAsia="Times New Roman" w:hAnsi="Arial" w:cs="Arial"/>
          <w:color w:val="000000"/>
          <w:sz w:val="21"/>
          <w:szCs w:val="21"/>
        </w:rPr>
        <w:t>Adjourn</w:t>
      </w:r>
    </w:p>
    <w:p w14:paraId="6E2F9066" w14:textId="1B7D60D5" w:rsidR="00BE7A1E" w:rsidRDefault="00307FA1" w:rsidP="007874E6">
      <w:r w:rsidRPr="00307FA1">
        <w:rPr>
          <w:highlight w:val="yellow"/>
        </w:rPr>
        <w:t>ACTION ITEM:</w:t>
      </w:r>
      <w:r>
        <w:t xml:space="preserve">  Jim and Sheri will work to prepare materials for November 2</w:t>
      </w:r>
      <w:r w:rsidRPr="00307FA1">
        <w:rPr>
          <w:vertAlign w:val="superscript"/>
        </w:rPr>
        <w:t>nd</w:t>
      </w:r>
      <w:r>
        <w:t xml:space="preserve"> meeting to be reviewed by the RECTF at their October meeting to ensure all topics align with goals.</w:t>
      </w:r>
    </w:p>
    <w:p w14:paraId="33F8829A" w14:textId="605079E4" w:rsidR="00307FA1" w:rsidRDefault="00307FA1" w:rsidP="007874E6">
      <w:r>
        <w:t xml:space="preserve">Discussion around Mass Transition Process was aimed to cover the process at a high level, provide direction on resources (RMG 7.11 and LMS </w:t>
      </w:r>
      <w:proofErr w:type="gramStart"/>
      <w:r>
        <w:t>on line</w:t>
      </w:r>
      <w:proofErr w:type="gramEnd"/>
      <w:r>
        <w:t xml:space="preserve"> module for Mass Transition), and offer tips on how market participants can prepare should a mass transition event occur at any time.  </w:t>
      </w:r>
    </w:p>
    <w:p w14:paraId="12A33D8F" w14:textId="77777777" w:rsidR="00307FA1" w:rsidRPr="00BE7A1E" w:rsidRDefault="00307FA1" w:rsidP="007874E6"/>
    <w:p w14:paraId="31C39DD4" w14:textId="77777777" w:rsidR="00BE6978" w:rsidRPr="007874E6" w:rsidRDefault="00BE6978" w:rsidP="007874E6">
      <w:pPr>
        <w:rPr>
          <w:b/>
          <w:u w:val="single"/>
        </w:rPr>
      </w:pPr>
      <w:r w:rsidRPr="007874E6">
        <w:rPr>
          <w:b/>
          <w:u w:val="single"/>
        </w:rPr>
        <w:t>Next Steps/Next Meeting</w:t>
      </w:r>
    </w:p>
    <w:p w14:paraId="388AA2C3" w14:textId="5654C1A1" w:rsidR="00BE6978" w:rsidRDefault="00BE6978" w:rsidP="00307FA1">
      <w:pPr>
        <w:pStyle w:val="ListParagraph"/>
        <w:ind w:left="0"/>
      </w:pPr>
      <w:r>
        <w:t xml:space="preserve">Next meeting is scheduled for </w:t>
      </w:r>
      <w:r w:rsidR="00307FA1">
        <w:rPr>
          <w:b/>
        </w:rPr>
        <w:t>October 26</w:t>
      </w:r>
      <w:r w:rsidR="00307FA1" w:rsidRPr="00307FA1">
        <w:rPr>
          <w:b/>
          <w:vertAlign w:val="superscript"/>
        </w:rPr>
        <w:t>th</w:t>
      </w:r>
      <w:r w:rsidR="00307FA1">
        <w:rPr>
          <w:b/>
        </w:rPr>
        <w:t xml:space="preserve">.  </w:t>
      </w:r>
      <w:r>
        <w:t xml:space="preserve"> </w:t>
      </w:r>
    </w:p>
    <w:p w14:paraId="3992D706" w14:textId="77777777" w:rsidR="005D077A" w:rsidRDefault="005D077A" w:rsidP="00307FA1">
      <w:pPr>
        <w:pStyle w:val="ListParagraph"/>
        <w:ind w:left="0"/>
      </w:pPr>
    </w:p>
    <w:p w14:paraId="514FE642" w14:textId="77777777" w:rsidR="005D077A" w:rsidRDefault="005D077A" w:rsidP="00307FA1">
      <w:pPr>
        <w:pStyle w:val="ListParagraph"/>
        <w:ind w:left="0"/>
      </w:pPr>
      <w:r>
        <w:t>Proposed Agenda topics:</w:t>
      </w:r>
    </w:p>
    <w:p w14:paraId="01414D18" w14:textId="49894576" w:rsidR="005D077A" w:rsidRDefault="00307FA1" w:rsidP="005D077A">
      <w:pPr>
        <w:pStyle w:val="ListParagraph"/>
        <w:numPr>
          <w:ilvl w:val="0"/>
          <w:numId w:val="5"/>
        </w:numPr>
      </w:pPr>
      <w:r>
        <w:t xml:space="preserve">Final review of outstanding </w:t>
      </w:r>
      <w:r w:rsidR="008649B2">
        <w:t>ECL items</w:t>
      </w:r>
    </w:p>
    <w:p w14:paraId="592A64F6" w14:textId="474197E5" w:rsidR="005D077A" w:rsidRDefault="00307FA1" w:rsidP="00307FA1">
      <w:pPr>
        <w:pStyle w:val="ListParagraph"/>
        <w:numPr>
          <w:ilvl w:val="0"/>
          <w:numId w:val="5"/>
        </w:numPr>
      </w:pPr>
      <w:r>
        <w:t>Final r</w:t>
      </w:r>
      <w:r w:rsidR="008649B2">
        <w:t xml:space="preserve">eview of Winter Preparedness </w:t>
      </w:r>
      <w:r>
        <w:t>Workshop Agenda and materials</w:t>
      </w:r>
      <w:r w:rsidR="005A351E">
        <w:t xml:space="preserve"> </w:t>
      </w:r>
    </w:p>
    <w:p w14:paraId="3A6CFF70" w14:textId="1D0C98C8" w:rsidR="00307FA1" w:rsidRDefault="00307FA1" w:rsidP="00307FA1">
      <w:pPr>
        <w:pStyle w:val="ListParagraph"/>
        <w:numPr>
          <w:ilvl w:val="0"/>
          <w:numId w:val="5"/>
        </w:numPr>
      </w:pPr>
      <w:r>
        <w:t xml:space="preserve">Sunsetting of RECTF </w:t>
      </w:r>
    </w:p>
    <w:p w14:paraId="703BB349" w14:textId="60AF7987" w:rsidR="00307FA1" w:rsidRDefault="00307FA1" w:rsidP="00307FA1"/>
    <w:p w14:paraId="49EBC516" w14:textId="31FC13D7" w:rsidR="001C3C84" w:rsidRDefault="00307FA1">
      <w:r>
        <w:t>It was discussed that the October meeting may be the final meeting for the RECTF if all objectives have been met.  Jim will present updates to TAC for any additional direction.</w:t>
      </w:r>
    </w:p>
    <w:p w14:paraId="0EC3D9F0" w14:textId="77777777" w:rsidR="00307FA1" w:rsidRPr="001C3C84" w:rsidRDefault="00307FA1"/>
    <w:sectPr w:rsidR="00307FA1" w:rsidRPr="001C3C8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B702AD" w14:textId="77777777" w:rsidR="00615DB1" w:rsidRDefault="00615DB1"/>
  </w:endnote>
  <w:endnote w:type="continuationSeparator" w:id="0">
    <w:p w14:paraId="49EBA735" w14:textId="77777777" w:rsidR="00615DB1" w:rsidRDefault="00615D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ADC56C" w14:textId="77777777" w:rsidR="00BD6F12" w:rsidRDefault="00BD6F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FD8F21" w14:textId="77777777" w:rsidR="00BD6F12" w:rsidRDefault="00BD6F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64BADD" w14:textId="77777777" w:rsidR="00BD6F12" w:rsidRDefault="00BD6F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CDAAB5" w14:textId="77777777" w:rsidR="00615DB1" w:rsidRDefault="00615DB1"/>
  </w:footnote>
  <w:footnote w:type="continuationSeparator" w:id="0">
    <w:p w14:paraId="1ECA085B" w14:textId="77777777" w:rsidR="00615DB1" w:rsidRDefault="00615D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6D2015" w14:textId="77777777" w:rsidR="00BD6F12" w:rsidRDefault="00BD6F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95B54" w14:textId="77777777" w:rsidR="00BD6F12" w:rsidRDefault="00BD6F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FAB0F" w14:textId="77777777" w:rsidR="00BD6F12" w:rsidRDefault="00BD6F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892558"/>
    <w:multiLevelType w:val="hybridMultilevel"/>
    <w:tmpl w:val="3C66A1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002F4F"/>
    <w:multiLevelType w:val="hybridMultilevel"/>
    <w:tmpl w:val="2B6C173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B1B1A12"/>
    <w:multiLevelType w:val="hybridMultilevel"/>
    <w:tmpl w:val="CE122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B13990"/>
    <w:multiLevelType w:val="hybridMultilevel"/>
    <w:tmpl w:val="85626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6741BD"/>
    <w:multiLevelType w:val="hybridMultilevel"/>
    <w:tmpl w:val="462A2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3355E1"/>
    <w:multiLevelType w:val="multilevel"/>
    <w:tmpl w:val="D834D6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9C42808"/>
    <w:multiLevelType w:val="hybridMultilevel"/>
    <w:tmpl w:val="0BF8AEB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DC63BE7"/>
    <w:multiLevelType w:val="hybridMultilevel"/>
    <w:tmpl w:val="877E9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A46536"/>
    <w:multiLevelType w:val="hybridMultilevel"/>
    <w:tmpl w:val="96E411FA"/>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9" w15:restartNumberingAfterBreak="0">
    <w:nsid w:val="725B6DFF"/>
    <w:multiLevelType w:val="hybridMultilevel"/>
    <w:tmpl w:val="6BBA44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9"/>
  </w:num>
  <w:num w:numId="5">
    <w:abstractNumId w:val="1"/>
  </w:num>
  <w:num w:numId="6">
    <w:abstractNumId w:val="2"/>
  </w:num>
  <w:num w:numId="7">
    <w:abstractNumId w:val="4"/>
  </w:num>
  <w:num w:numId="8">
    <w:abstractNumId w:val="7"/>
  </w:num>
  <w:num w:numId="9">
    <w:abstractNumId w:val="8"/>
  </w:num>
  <w:num w:numId="10">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4FC"/>
    <w:rsid w:val="0002341D"/>
    <w:rsid w:val="00082BA4"/>
    <w:rsid w:val="00093FCD"/>
    <w:rsid w:val="000B7987"/>
    <w:rsid w:val="000C4DA2"/>
    <w:rsid w:val="000E0E02"/>
    <w:rsid w:val="000E31F4"/>
    <w:rsid w:val="000E35BD"/>
    <w:rsid w:val="00181749"/>
    <w:rsid w:val="001973E2"/>
    <w:rsid w:val="001B579C"/>
    <w:rsid w:val="001B7074"/>
    <w:rsid w:val="001C0126"/>
    <w:rsid w:val="001C3C84"/>
    <w:rsid w:val="002A1EC2"/>
    <w:rsid w:val="002C03A4"/>
    <w:rsid w:val="002C43FA"/>
    <w:rsid w:val="00307FA1"/>
    <w:rsid w:val="00317103"/>
    <w:rsid w:val="003651AD"/>
    <w:rsid w:val="00374268"/>
    <w:rsid w:val="003B1591"/>
    <w:rsid w:val="003F7D20"/>
    <w:rsid w:val="00414718"/>
    <w:rsid w:val="004B083E"/>
    <w:rsid w:val="004E4A9A"/>
    <w:rsid w:val="00585222"/>
    <w:rsid w:val="005A351E"/>
    <w:rsid w:val="005D077A"/>
    <w:rsid w:val="00615DB1"/>
    <w:rsid w:val="00655099"/>
    <w:rsid w:val="00676163"/>
    <w:rsid w:val="006A59C8"/>
    <w:rsid w:val="006B528F"/>
    <w:rsid w:val="006C60DE"/>
    <w:rsid w:val="00744382"/>
    <w:rsid w:val="007512A6"/>
    <w:rsid w:val="007534B4"/>
    <w:rsid w:val="00771266"/>
    <w:rsid w:val="00775EB0"/>
    <w:rsid w:val="007874E6"/>
    <w:rsid w:val="007B1E7F"/>
    <w:rsid w:val="007F5DCE"/>
    <w:rsid w:val="008276EE"/>
    <w:rsid w:val="008365A4"/>
    <w:rsid w:val="008367E2"/>
    <w:rsid w:val="008649B2"/>
    <w:rsid w:val="008723C4"/>
    <w:rsid w:val="008A390F"/>
    <w:rsid w:val="008B0979"/>
    <w:rsid w:val="008B2D37"/>
    <w:rsid w:val="009133A5"/>
    <w:rsid w:val="00984D81"/>
    <w:rsid w:val="009A3D65"/>
    <w:rsid w:val="00A00209"/>
    <w:rsid w:val="00A22ED3"/>
    <w:rsid w:val="00A45165"/>
    <w:rsid w:val="00A50CFC"/>
    <w:rsid w:val="00A57B04"/>
    <w:rsid w:val="00A74D4D"/>
    <w:rsid w:val="00AC794D"/>
    <w:rsid w:val="00AD1CC5"/>
    <w:rsid w:val="00AE4688"/>
    <w:rsid w:val="00AF5297"/>
    <w:rsid w:val="00B3345E"/>
    <w:rsid w:val="00B42D35"/>
    <w:rsid w:val="00BC30FA"/>
    <w:rsid w:val="00BD3F24"/>
    <w:rsid w:val="00BD6F12"/>
    <w:rsid w:val="00BE6978"/>
    <w:rsid w:val="00BE7A1E"/>
    <w:rsid w:val="00BF6A9F"/>
    <w:rsid w:val="00C3680C"/>
    <w:rsid w:val="00C754FC"/>
    <w:rsid w:val="00C81373"/>
    <w:rsid w:val="00C95221"/>
    <w:rsid w:val="00CA1226"/>
    <w:rsid w:val="00CD1AB7"/>
    <w:rsid w:val="00CE3922"/>
    <w:rsid w:val="00CF64D0"/>
    <w:rsid w:val="00D30A52"/>
    <w:rsid w:val="00DA7850"/>
    <w:rsid w:val="00DC2D01"/>
    <w:rsid w:val="00E013EA"/>
    <w:rsid w:val="00E7517B"/>
    <w:rsid w:val="00F25C5F"/>
    <w:rsid w:val="00F27FD3"/>
    <w:rsid w:val="00F86F7C"/>
    <w:rsid w:val="00FC5864"/>
    <w:rsid w:val="00FF31A5"/>
    <w:rsid w:val="00FF4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6E6927"/>
  <w15:chartTrackingRefBased/>
  <w15:docId w15:val="{823114F5-E7BE-4B4A-9222-5043ABA58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54F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C754FC"/>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ListParagraph">
    <w:name w:val="List Paragraph"/>
    <w:basedOn w:val="Normal"/>
    <w:uiPriority w:val="34"/>
    <w:qFormat/>
    <w:rsid w:val="001C3C84"/>
    <w:pPr>
      <w:ind w:left="720"/>
      <w:contextualSpacing/>
    </w:pPr>
  </w:style>
  <w:style w:type="character" w:styleId="Hyperlink">
    <w:name w:val="Hyperlink"/>
    <w:basedOn w:val="DefaultParagraphFont"/>
    <w:uiPriority w:val="99"/>
    <w:unhideWhenUsed/>
    <w:rsid w:val="000E31F4"/>
    <w:rPr>
      <w:color w:val="0000FF" w:themeColor="hyperlink"/>
      <w:u w:val="single"/>
    </w:rPr>
  </w:style>
  <w:style w:type="character" w:customStyle="1" w:styleId="UnresolvedMention1">
    <w:name w:val="Unresolved Mention1"/>
    <w:basedOn w:val="DefaultParagraphFont"/>
    <w:uiPriority w:val="99"/>
    <w:semiHidden/>
    <w:unhideWhenUsed/>
    <w:rsid w:val="000E31F4"/>
    <w:rPr>
      <w:color w:val="808080"/>
      <w:shd w:val="clear" w:color="auto" w:fill="E6E6E6"/>
    </w:rPr>
  </w:style>
  <w:style w:type="paragraph" w:styleId="BalloonText">
    <w:name w:val="Balloon Text"/>
    <w:basedOn w:val="Normal"/>
    <w:link w:val="BalloonTextChar"/>
    <w:uiPriority w:val="99"/>
    <w:semiHidden/>
    <w:unhideWhenUsed/>
    <w:rsid w:val="006550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5099"/>
    <w:rPr>
      <w:rFonts w:ascii="Segoe UI" w:hAnsi="Segoe UI" w:cs="Segoe UI"/>
      <w:sz w:val="18"/>
      <w:szCs w:val="18"/>
    </w:rPr>
  </w:style>
  <w:style w:type="paragraph" w:styleId="Header">
    <w:name w:val="header"/>
    <w:basedOn w:val="Normal"/>
    <w:link w:val="HeaderChar"/>
    <w:uiPriority w:val="99"/>
    <w:unhideWhenUsed/>
    <w:rsid w:val="00BD6F12"/>
    <w:pPr>
      <w:tabs>
        <w:tab w:val="center" w:pos="4680"/>
        <w:tab w:val="right" w:pos="9360"/>
      </w:tabs>
    </w:pPr>
  </w:style>
  <w:style w:type="character" w:customStyle="1" w:styleId="HeaderChar">
    <w:name w:val="Header Char"/>
    <w:basedOn w:val="DefaultParagraphFont"/>
    <w:link w:val="Header"/>
    <w:uiPriority w:val="99"/>
    <w:rsid w:val="00BD6F12"/>
  </w:style>
  <w:style w:type="paragraph" w:styleId="Footer">
    <w:name w:val="footer"/>
    <w:basedOn w:val="Normal"/>
    <w:link w:val="FooterChar"/>
    <w:uiPriority w:val="99"/>
    <w:unhideWhenUsed/>
    <w:rsid w:val="00BD6F12"/>
    <w:pPr>
      <w:tabs>
        <w:tab w:val="center" w:pos="4680"/>
        <w:tab w:val="right" w:pos="9360"/>
      </w:tabs>
    </w:pPr>
  </w:style>
  <w:style w:type="character" w:customStyle="1" w:styleId="FooterChar">
    <w:name w:val="Footer Char"/>
    <w:basedOn w:val="DefaultParagraphFont"/>
    <w:link w:val="Footer"/>
    <w:uiPriority w:val="99"/>
    <w:rsid w:val="00BD6F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1625717">
      <w:bodyDiv w:val="1"/>
      <w:marLeft w:val="0"/>
      <w:marRight w:val="0"/>
      <w:marTop w:val="0"/>
      <w:marBottom w:val="0"/>
      <w:divBdr>
        <w:top w:val="none" w:sz="0" w:space="0" w:color="auto"/>
        <w:left w:val="none" w:sz="0" w:space="0" w:color="auto"/>
        <w:bottom w:val="none" w:sz="0" w:space="0" w:color="auto"/>
        <w:right w:val="none" w:sz="0" w:space="0" w:color="auto"/>
      </w:divBdr>
    </w:div>
    <w:div w:id="1746494151">
      <w:bodyDiv w:val="1"/>
      <w:marLeft w:val="0"/>
      <w:marRight w:val="0"/>
      <w:marTop w:val="0"/>
      <w:marBottom w:val="0"/>
      <w:divBdr>
        <w:top w:val="none" w:sz="0" w:space="0" w:color="auto"/>
        <w:left w:val="none" w:sz="0" w:space="0" w:color="auto"/>
        <w:bottom w:val="none" w:sz="0" w:space="0" w:color="auto"/>
        <w:right w:val="none" w:sz="0" w:space="0" w:color="auto"/>
      </w:divBdr>
    </w:div>
    <w:div w:id="2009628023">
      <w:bodyDiv w:val="1"/>
      <w:marLeft w:val="0"/>
      <w:marRight w:val="0"/>
      <w:marTop w:val="0"/>
      <w:marBottom w:val="0"/>
      <w:divBdr>
        <w:top w:val="none" w:sz="0" w:space="0" w:color="auto"/>
        <w:left w:val="none" w:sz="0" w:space="0" w:color="auto"/>
        <w:bottom w:val="none" w:sz="0" w:space="0" w:color="auto"/>
        <w:right w:val="none" w:sz="0" w:space="0" w:color="auto"/>
      </w:divBdr>
    </w:div>
    <w:div w:id="208806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uc.texas.gov/agency/rulesnlaws/subrules/electric/25.497/25.497.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lists.ercot.com/scripts/wa-ERCOT.exe?SUBED1=RMS&amp;A=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rcot.com/committee/rm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e9c0b8d7-bdb4-4fd3-b62a-f50327aaefce" origin="userSelected">
  <element uid="c5f8eb12-5b27-439d-aaa6-3402af626fa3" value=""/>
</sisl>
</file>

<file path=customXml/itemProps1.xml><?xml version="1.0" encoding="utf-8"?>
<ds:datastoreItem xmlns:ds="http://schemas.openxmlformats.org/officeDocument/2006/customXml" ds:itemID="{23A89A1E-ACC8-47B7-A282-2606B3065629}">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1016</Words>
  <Characters>5796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Wiegand, Sheri</dc:creator>
  <cp:keywords/>
  <dc:description/>
  <cp:lastModifiedBy>Wiegand, Sheri</cp:lastModifiedBy>
  <cp:revision>2</cp:revision>
  <cp:lastPrinted>2021-07-29T14:25:00Z</cp:lastPrinted>
  <dcterms:created xsi:type="dcterms:W3CDTF">2021-09-29T17:04:00Z</dcterms:created>
  <dcterms:modified xsi:type="dcterms:W3CDTF">2021-09-29T17:04:00Z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ad09774b-c51c-40ff-b42b-9a4dfee42ecb</vt:lpwstr>
  </property>
  <property fmtid="{D5CDD505-2E9C-101B-9397-08002B2CF9AE}" pid="3" name="bjSaver">
    <vt:lpwstr>hVeZjyyepu7wfUb3kwBo4T82bAn9HrXq</vt:lpwstr>
  </property>
  <property fmtid="{D5CDD505-2E9C-101B-9397-08002B2CF9AE}" pid="4" name="bjDocumentLabelXML">
    <vt:lpwstr>&lt;?xml version="1.0" encoding="us-ascii"?&gt;&lt;sisl xmlns:xsi="http://www.w3.org/2001/XMLSchema-instance" xmlns:xsd="http://www.w3.org/2001/XMLSchema" sislVersion="0" policy="e9c0b8d7-bdb4-4fd3-b62a-f50327aaefce" origin="userSelected" xmlns="http://www.boldonj</vt:lpwstr>
  </property>
  <property fmtid="{D5CDD505-2E9C-101B-9397-08002B2CF9AE}" pid="5" name="bjDocumentLabelXML-0">
    <vt:lpwstr>ames.com/2008/01/sie/internal/label"&gt;&lt;element uid="c5f8eb12-5b27-439d-aaa6-3402af626fa3" value="" /&gt;&lt;/sisl&gt;</vt:lpwstr>
  </property>
  <property fmtid="{D5CDD505-2E9C-101B-9397-08002B2CF9AE}" pid="6" name="bjDocumentSecurityLabel">
    <vt:lpwstr>AEP Public</vt:lpwstr>
  </property>
</Properties>
</file>