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C4F1" w14:textId="77777777" w:rsidR="00446742" w:rsidRPr="00123FEE" w:rsidRDefault="00446742" w:rsidP="00123FEE">
      <w:pPr>
        <w:pStyle w:val="NoSpacing"/>
        <w:rPr>
          <w:b/>
          <w:sz w:val="28"/>
        </w:rPr>
      </w:pPr>
      <w:r w:rsidRPr="00123FEE">
        <w:rPr>
          <w:b/>
          <w:sz w:val="28"/>
        </w:rPr>
        <w:t>TDTMS</w:t>
      </w:r>
    </w:p>
    <w:p w14:paraId="68F50699" w14:textId="0CEDF317" w:rsidR="00446742" w:rsidRPr="00123FEE" w:rsidRDefault="00EA7AAC" w:rsidP="00123FEE">
      <w:pPr>
        <w:pStyle w:val="NoSpacing"/>
        <w:rPr>
          <w:b/>
          <w:sz w:val="28"/>
          <w:szCs w:val="24"/>
        </w:rPr>
      </w:pPr>
      <w:r>
        <w:rPr>
          <w:b/>
          <w:sz w:val="28"/>
          <w:szCs w:val="24"/>
        </w:rPr>
        <w:t>September 24th</w:t>
      </w:r>
      <w:r w:rsidR="002F5B65">
        <w:rPr>
          <w:b/>
          <w:sz w:val="28"/>
          <w:szCs w:val="24"/>
        </w:rPr>
        <w:t>,</w:t>
      </w:r>
      <w:r w:rsidR="005645B7">
        <w:rPr>
          <w:b/>
          <w:sz w:val="28"/>
          <w:szCs w:val="24"/>
        </w:rPr>
        <w:t xml:space="preserve"> 202</w:t>
      </w:r>
      <w:r w:rsidR="00AA3CAF">
        <w:rPr>
          <w:b/>
          <w:sz w:val="28"/>
          <w:szCs w:val="24"/>
        </w:rPr>
        <w:t>1</w:t>
      </w:r>
    </w:p>
    <w:p w14:paraId="1B0B0C81" w14:textId="77777777"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350"/>
        <w:gridCol w:w="2340"/>
        <w:gridCol w:w="1710"/>
      </w:tblGrid>
      <w:tr w:rsidR="00EA742D" w:rsidRPr="00020312" w14:paraId="53D58736" w14:textId="77777777" w:rsidTr="000F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14:paraId="11EB658A" w14:textId="77777777" w:rsidR="00446742" w:rsidRPr="00020312" w:rsidRDefault="00446742" w:rsidP="00446742">
            <w:r w:rsidRPr="00020312">
              <w:t>Attendee</w:t>
            </w:r>
          </w:p>
        </w:tc>
        <w:tc>
          <w:tcPr>
            <w:tcW w:w="1411"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50"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40"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0F415E" w:rsidRPr="00020312" w14:paraId="307EA89B"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41B11050" w14:textId="77777777" w:rsidR="000F415E" w:rsidRPr="00020312" w:rsidRDefault="0031702C" w:rsidP="000F415E">
            <w:pPr>
              <w:rPr>
                <w:b w:val="0"/>
              </w:rPr>
            </w:pPr>
            <w:r>
              <w:rPr>
                <w:b w:val="0"/>
              </w:rPr>
              <w:t>Jim Lee</w:t>
            </w:r>
          </w:p>
        </w:tc>
        <w:tc>
          <w:tcPr>
            <w:tcW w:w="1411" w:type="dxa"/>
          </w:tcPr>
          <w:p w14:paraId="40CBA3E8"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AEP</w:t>
            </w:r>
          </w:p>
        </w:tc>
        <w:tc>
          <w:tcPr>
            <w:tcW w:w="2099" w:type="dxa"/>
          </w:tcPr>
          <w:p w14:paraId="5F5BC2C3"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Dave Michelson</w:t>
            </w:r>
          </w:p>
        </w:tc>
        <w:tc>
          <w:tcPr>
            <w:tcW w:w="1350" w:type="dxa"/>
          </w:tcPr>
          <w:p w14:paraId="5E4B979E"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14:paraId="15046E01"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rPr>
                <w:b/>
              </w:rPr>
            </w:pPr>
            <w:r>
              <w:t>Mick Hanna</w:t>
            </w:r>
          </w:p>
        </w:tc>
        <w:tc>
          <w:tcPr>
            <w:tcW w:w="1710" w:type="dxa"/>
          </w:tcPr>
          <w:p w14:paraId="65FCDB87"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ERCOT</w:t>
            </w:r>
          </w:p>
        </w:tc>
      </w:tr>
      <w:tr w:rsidR="000F415E" w:rsidRPr="00020312" w14:paraId="04C1EB1B"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616FEA1" w14:textId="77777777" w:rsidR="000F415E" w:rsidRPr="00020312" w:rsidRDefault="000F415E" w:rsidP="000F415E">
            <w:pPr>
              <w:rPr>
                <w:b w:val="0"/>
              </w:rPr>
            </w:pPr>
            <w:r w:rsidRPr="00020312">
              <w:rPr>
                <w:b w:val="0"/>
              </w:rPr>
              <w:t>Sam Pak</w:t>
            </w:r>
          </w:p>
        </w:tc>
        <w:tc>
          <w:tcPr>
            <w:tcW w:w="1411" w:type="dxa"/>
          </w:tcPr>
          <w:p w14:paraId="3B33226E" w14:textId="77777777"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14:paraId="33BCBBCA" w14:textId="2459B87B" w:rsidR="000F415E" w:rsidRPr="00020312" w:rsidRDefault="00EA7AAC" w:rsidP="000F415E">
            <w:pPr>
              <w:cnfStyle w:val="000000000000" w:firstRow="0" w:lastRow="0" w:firstColumn="0" w:lastColumn="0" w:oddVBand="0" w:evenVBand="0" w:oddHBand="0" w:evenHBand="0" w:firstRowFirstColumn="0" w:firstRowLastColumn="0" w:lastRowFirstColumn="0" w:lastRowLastColumn="0"/>
            </w:pPr>
            <w:r>
              <w:t>Stephen Wilson</w:t>
            </w:r>
          </w:p>
        </w:tc>
        <w:tc>
          <w:tcPr>
            <w:tcW w:w="1350" w:type="dxa"/>
          </w:tcPr>
          <w:p w14:paraId="6A7D0873" w14:textId="3A030B0A" w:rsidR="000F415E" w:rsidRPr="00020312" w:rsidRDefault="00EA7AAC" w:rsidP="000F415E">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40" w:type="dxa"/>
          </w:tcPr>
          <w:p w14:paraId="59BA1C56" w14:textId="77777777" w:rsidR="000F415E" w:rsidRPr="00D17CF3" w:rsidRDefault="000F415E" w:rsidP="000F415E">
            <w:pPr>
              <w:cnfStyle w:val="000000000000" w:firstRow="0" w:lastRow="0" w:firstColumn="0" w:lastColumn="0" w:oddVBand="0" w:evenVBand="0" w:oddHBand="0" w:evenHBand="0" w:firstRowFirstColumn="0" w:firstRowLastColumn="0" w:lastRowFirstColumn="0" w:lastRowLastColumn="0"/>
              <w:rPr>
                <w:b/>
              </w:rPr>
            </w:pPr>
            <w:r>
              <w:t>Jordan Troublefield</w:t>
            </w:r>
          </w:p>
        </w:tc>
        <w:tc>
          <w:tcPr>
            <w:tcW w:w="1710" w:type="dxa"/>
          </w:tcPr>
          <w:p w14:paraId="53DDF30C" w14:textId="77777777"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ERCOT</w:t>
            </w:r>
          </w:p>
        </w:tc>
      </w:tr>
      <w:tr w:rsidR="000F415E" w:rsidRPr="00020312" w14:paraId="131ADFC9"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1E6512D3" w14:textId="77777777" w:rsidR="000F415E" w:rsidRPr="00020312" w:rsidRDefault="000F415E" w:rsidP="000F415E">
            <w:pPr>
              <w:rPr>
                <w:b w:val="0"/>
              </w:rPr>
            </w:pPr>
            <w:r>
              <w:rPr>
                <w:b w:val="0"/>
              </w:rPr>
              <w:t>Kathy Scott</w:t>
            </w:r>
          </w:p>
        </w:tc>
        <w:tc>
          <w:tcPr>
            <w:tcW w:w="1411" w:type="dxa"/>
          </w:tcPr>
          <w:p w14:paraId="268FDBFB" w14:textId="77777777"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C</w:t>
            </w:r>
            <w:r w:rsidR="00083BA8">
              <w:t>NP</w:t>
            </w:r>
          </w:p>
        </w:tc>
        <w:tc>
          <w:tcPr>
            <w:tcW w:w="2099" w:type="dxa"/>
          </w:tcPr>
          <w:p w14:paraId="77F6EFEA"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 xml:space="preserve">Eric </w:t>
            </w:r>
            <w:r w:rsidR="00C964F6">
              <w:t>Lotter</w:t>
            </w:r>
          </w:p>
        </w:tc>
        <w:tc>
          <w:tcPr>
            <w:tcW w:w="1350" w:type="dxa"/>
          </w:tcPr>
          <w:p w14:paraId="575EEC00" w14:textId="77777777"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c>
          <w:tcPr>
            <w:tcW w:w="2340" w:type="dxa"/>
          </w:tcPr>
          <w:p w14:paraId="6F90AFE9" w14:textId="4BAAE617" w:rsidR="000F415E" w:rsidRPr="00020312" w:rsidRDefault="00EA7AAC" w:rsidP="000F415E">
            <w:pPr>
              <w:cnfStyle w:val="000000100000" w:firstRow="0" w:lastRow="0" w:firstColumn="0" w:lastColumn="0" w:oddVBand="0" w:evenVBand="0" w:oddHBand="1" w:evenHBand="0" w:firstRowFirstColumn="0" w:firstRowLastColumn="0" w:lastRowFirstColumn="0" w:lastRowLastColumn="0"/>
            </w:pPr>
            <w:r>
              <w:t>Karen Malkey</w:t>
            </w:r>
          </w:p>
        </w:tc>
        <w:tc>
          <w:tcPr>
            <w:tcW w:w="1710" w:type="dxa"/>
          </w:tcPr>
          <w:p w14:paraId="1CB97DC6" w14:textId="0D59CF29" w:rsidR="000F415E" w:rsidRPr="00020312" w:rsidRDefault="00EA7AAC" w:rsidP="000F415E">
            <w:pPr>
              <w:cnfStyle w:val="000000100000" w:firstRow="0" w:lastRow="0" w:firstColumn="0" w:lastColumn="0" w:oddVBand="0" w:evenVBand="0" w:oddHBand="1" w:evenHBand="0" w:firstRowFirstColumn="0" w:firstRowLastColumn="0" w:lastRowFirstColumn="0" w:lastRowLastColumn="0"/>
            </w:pPr>
            <w:r>
              <w:t>CNP</w:t>
            </w:r>
          </w:p>
        </w:tc>
      </w:tr>
      <w:tr w:rsidR="00EA7AAC" w:rsidRPr="00020312" w14:paraId="061575F3"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0907E71B" w14:textId="77777777" w:rsidR="00EA7AAC" w:rsidRPr="003D3023" w:rsidRDefault="00EA7AAC" w:rsidP="00EA7AAC">
            <w:pPr>
              <w:rPr>
                <w:b w:val="0"/>
              </w:rPr>
            </w:pPr>
            <w:r w:rsidRPr="003D3023">
              <w:rPr>
                <w:b w:val="0"/>
              </w:rPr>
              <w:t>Sheri W</w:t>
            </w:r>
            <w:r>
              <w:rPr>
                <w:b w:val="0"/>
              </w:rPr>
              <w:t>ie</w:t>
            </w:r>
            <w:r w:rsidRPr="003D3023">
              <w:rPr>
                <w:b w:val="0"/>
              </w:rPr>
              <w:t>gand</w:t>
            </w:r>
          </w:p>
        </w:tc>
        <w:tc>
          <w:tcPr>
            <w:tcW w:w="1411" w:type="dxa"/>
          </w:tcPr>
          <w:p w14:paraId="0F39BC6C"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14:paraId="34FE24E5"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Carolyn Reed</w:t>
            </w:r>
          </w:p>
        </w:tc>
        <w:tc>
          <w:tcPr>
            <w:tcW w:w="1350" w:type="dxa"/>
          </w:tcPr>
          <w:p w14:paraId="14DA3EBC" w14:textId="77777777"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CNP</w:t>
            </w:r>
          </w:p>
        </w:tc>
        <w:tc>
          <w:tcPr>
            <w:tcW w:w="2340" w:type="dxa"/>
          </w:tcPr>
          <w:p w14:paraId="13A56819" w14:textId="0849F05F"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Diana Rehfeldt</w:t>
            </w:r>
          </w:p>
        </w:tc>
        <w:tc>
          <w:tcPr>
            <w:tcW w:w="1710" w:type="dxa"/>
          </w:tcPr>
          <w:p w14:paraId="4B974A98" w14:textId="17971E0B"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r>
              <w:t>TNMP</w:t>
            </w:r>
          </w:p>
        </w:tc>
      </w:tr>
      <w:tr w:rsidR="00EA7AAC" w:rsidRPr="00020312" w14:paraId="152A8007" w14:textId="77777777"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05A9EC2" w14:textId="77777777" w:rsidR="00EA7AAC" w:rsidRPr="003D3023" w:rsidRDefault="00EA7AAC" w:rsidP="00EA7AAC">
            <w:pPr>
              <w:rPr>
                <w:b w:val="0"/>
              </w:rPr>
            </w:pPr>
            <w:r w:rsidRPr="00020312">
              <w:rPr>
                <w:b w:val="0"/>
              </w:rPr>
              <w:t>Kyle Patrick</w:t>
            </w:r>
          </w:p>
        </w:tc>
        <w:tc>
          <w:tcPr>
            <w:tcW w:w="1411" w:type="dxa"/>
          </w:tcPr>
          <w:p w14:paraId="2F8923C9" w14:textId="77777777"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14:paraId="3B2EAF69" w14:textId="2969706B"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r>
              <w:t xml:space="preserve">Eric </w:t>
            </w:r>
            <w:r>
              <w:rPr>
                <w:b/>
              </w:rPr>
              <w:t>Broach</w:t>
            </w:r>
          </w:p>
        </w:tc>
        <w:tc>
          <w:tcPr>
            <w:tcW w:w="1350" w:type="dxa"/>
          </w:tcPr>
          <w:p w14:paraId="090C2BC2" w14:textId="4D0A7291"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proofErr w:type="spellStart"/>
            <w:r>
              <w:t>Gexa</w:t>
            </w:r>
            <w:proofErr w:type="spellEnd"/>
            <w:r>
              <w:t xml:space="preserve"> Energy</w:t>
            </w:r>
          </w:p>
        </w:tc>
        <w:tc>
          <w:tcPr>
            <w:tcW w:w="2340" w:type="dxa"/>
          </w:tcPr>
          <w:p w14:paraId="32F7786F" w14:textId="09B6B25D"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p>
        </w:tc>
        <w:tc>
          <w:tcPr>
            <w:tcW w:w="1710" w:type="dxa"/>
          </w:tcPr>
          <w:p w14:paraId="5AD414B0" w14:textId="1B6841F2" w:rsidR="00EA7AAC" w:rsidRPr="00020312" w:rsidRDefault="00EA7AAC" w:rsidP="00EA7AAC">
            <w:pPr>
              <w:cnfStyle w:val="000000100000" w:firstRow="0" w:lastRow="0" w:firstColumn="0" w:lastColumn="0" w:oddVBand="0" w:evenVBand="0" w:oddHBand="1" w:evenHBand="0" w:firstRowFirstColumn="0" w:firstRowLastColumn="0" w:lastRowFirstColumn="0" w:lastRowLastColumn="0"/>
            </w:pPr>
          </w:p>
        </w:tc>
      </w:tr>
      <w:tr w:rsidR="00EA7AAC" w:rsidRPr="00020312" w14:paraId="482BCBD4" w14:textId="77777777" w:rsidTr="000F415E">
        <w:tc>
          <w:tcPr>
            <w:cnfStyle w:val="001000000000" w:firstRow="0" w:lastRow="0" w:firstColumn="1" w:lastColumn="0" w:oddVBand="0" w:evenVBand="0" w:oddHBand="0" w:evenHBand="0" w:firstRowFirstColumn="0" w:firstRowLastColumn="0" w:lastRowFirstColumn="0" w:lastRowLastColumn="0"/>
            <w:tcW w:w="2155" w:type="dxa"/>
          </w:tcPr>
          <w:p w14:paraId="1A7E4916" w14:textId="0F9903F2" w:rsidR="00EA7AAC" w:rsidRPr="0031702C" w:rsidRDefault="00EA7AAC" w:rsidP="00EA7AAC">
            <w:pPr>
              <w:rPr>
                <w:b w:val="0"/>
              </w:rPr>
            </w:pPr>
          </w:p>
        </w:tc>
        <w:tc>
          <w:tcPr>
            <w:tcW w:w="1411" w:type="dxa"/>
          </w:tcPr>
          <w:p w14:paraId="79C6A1D6" w14:textId="501D5029" w:rsidR="00EA7AAC" w:rsidRPr="00020312" w:rsidRDefault="00EA7AAC" w:rsidP="00EA7AAC">
            <w:pPr>
              <w:cnfStyle w:val="000000000000" w:firstRow="0" w:lastRow="0" w:firstColumn="0" w:lastColumn="0" w:oddVBand="0" w:evenVBand="0" w:oddHBand="0" w:evenHBand="0" w:firstRowFirstColumn="0" w:firstRowLastColumn="0" w:lastRowFirstColumn="0" w:lastRowLastColumn="0"/>
            </w:pPr>
          </w:p>
        </w:tc>
        <w:tc>
          <w:tcPr>
            <w:tcW w:w="2099" w:type="dxa"/>
          </w:tcPr>
          <w:p w14:paraId="543B8E92"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1350" w:type="dxa"/>
          </w:tcPr>
          <w:p w14:paraId="0BD94C63"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2340" w:type="dxa"/>
          </w:tcPr>
          <w:p w14:paraId="2A54212C"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c>
          <w:tcPr>
            <w:tcW w:w="1710" w:type="dxa"/>
          </w:tcPr>
          <w:p w14:paraId="78895917" w14:textId="77777777" w:rsidR="00EA7AAC" w:rsidRDefault="00EA7AAC" w:rsidP="00EA7AAC">
            <w:pPr>
              <w:cnfStyle w:val="000000000000" w:firstRow="0" w:lastRow="0" w:firstColumn="0" w:lastColumn="0" w:oddVBand="0" w:evenVBand="0" w:oddHBand="0" w:evenHBand="0" w:firstRowFirstColumn="0" w:firstRowLastColumn="0" w:lastRowFirstColumn="0" w:lastRowLastColumn="0"/>
            </w:pPr>
          </w:p>
        </w:tc>
      </w:tr>
    </w:tbl>
    <w:p w14:paraId="53376340" w14:textId="77777777" w:rsidR="00446742" w:rsidRPr="00020312" w:rsidRDefault="00446742" w:rsidP="00AE3E48">
      <w:pPr>
        <w:pStyle w:val="NoSpacing"/>
      </w:pPr>
    </w:p>
    <w:p w14:paraId="0EE762EC" w14:textId="77777777"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14:paraId="5DCAB4F3" w14:textId="77777777" w:rsidR="00CE3D30" w:rsidRPr="00CE3D30" w:rsidRDefault="00CE3D30" w:rsidP="00245452">
      <w:pPr>
        <w:pStyle w:val="NoSpacing"/>
        <w:numPr>
          <w:ilvl w:val="0"/>
          <w:numId w:val="1"/>
        </w:numPr>
        <w:rPr>
          <w:u w:val="single"/>
        </w:rPr>
      </w:pPr>
      <w:r>
        <w:t xml:space="preserve">Antitrust Admonition was read by Sheri </w:t>
      </w:r>
    </w:p>
    <w:p w14:paraId="448CB77A" w14:textId="0E3950A3" w:rsidR="0031702C" w:rsidRPr="0031702C" w:rsidRDefault="002F5B65" w:rsidP="0031702C">
      <w:pPr>
        <w:pStyle w:val="NoSpacing"/>
        <w:numPr>
          <w:ilvl w:val="0"/>
          <w:numId w:val="1"/>
        </w:numPr>
        <w:rPr>
          <w:b/>
          <w:u w:val="single"/>
        </w:rPr>
      </w:pPr>
      <w:r>
        <w:t>M</w:t>
      </w:r>
      <w:r w:rsidR="00326666">
        <w:t xml:space="preserve">inutes </w:t>
      </w:r>
      <w:r w:rsidR="001D16C1">
        <w:t xml:space="preserve">from </w:t>
      </w:r>
      <w:r w:rsidR="00EA7AAC">
        <w:t>8/19</w:t>
      </w:r>
      <w:r>
        <w:t>/</w:t>
      </w:r>
      <w:r w:rsidR="00766E5D">
        <w:t>2</w:t>
      </w:r>
      <w:r w:rsidR="001313EA">
        <w:t>1</w:t>
      </w:r>
      <w:r w:rsidR="001D16C1">
        <w:t xml:space="preserve"> </w:t>
      </w:r>
      <w:r w:rsidR="00326666">
        <w:t xml:space="preserve">were </w:t>
      </w:r>
      <w:r w:rsidR="008451D6">
        <w:t xml:space="preserve">reviewed and </w:t>
      </w:r>
      <w:r w:rsidR="00326666">
        <w:t>approved</w:t>
      </w:r>
      <w:r w:rsidR="009D7657">
        <w:t xml:space="preserve"> </w:t>
      </w:r>
    </w:p>
    <w:p w14:paraId="65679E0E" w14:textId="77777777" w:rsidR="0031702C" w:rsidRDefault="0031702C" w:rsidP="0031702C">
      <w:pPr>
        <w:pStyle w:val="NoSpacing"/>
        <w:rPr>
          <w:b/>
          <w:u w:val="single"/>
        </w:rPr>
      </w:pPr>
    </w:p>
    <w:p w14:paraId="53277E03" w14:textId="77777777" w:rsidR="003C2B32" w:rsidRDefault="00351211" w:rsidP="0031702C">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14:paraId="2D1A2DC1" w14:textId="63CC0027" w:rsidR="00C33E4E" w:rsidRDefault="000C319D" w:rsidP="00A241ED">
      <w:pPr>
        <w:pStyle w:val="NoSpacing"/>
        <w:numPr>
          <w:ilvl w:val="0"/>
          <w:numId w:val="1"/>
        </w:numPr>
      </w:pPr>
      <w:r>
        <w:t xml:space="preserve">All </w:t>
      </w:r>
      <w:r w:rsidR="008A3554">
        <w:t xml:space="preserve">Retail Market IT </w:t>
      </w:r>
      <w:r w:rsidR="00F621D1">
        <w:t xml:space="preserve">SLAs for </w:t>
      </w:r>
      <w:r w:rsidR="00EA7AAC">
        <w:t>August</w:t>
      </w:r>
      <w:r w:rsidR="000F415E">
        <w:t xml:space="preserve"> </w:t>
      </w:r>
      <w:r w:rsidR="00F621D1">
        <w:t xml:space="preserve">were </w:t>
      </w:r>
      <w:r>
        <w:t>met</w:t>
      </w:r>
    </w:p>
    <w:p w14:paraId="755BB2D6" w14:textId="297A242A" w:rsidR="004A002B" w:rsidRDefault="00EA7AAC" w:rsidP="00C964F6">
      <w:pPr>
        <w:pStyle w:val="NoSpacing"/>
        <w:numPr>
          <w:ilvl w:val="1"/>
          <w:numId w:val="1"/>
        </w:numPr>
      </w:pPr>
      <w:r>
        <w:t>8/1 Siebel upgrade</w:t>
      </w:r>
    </w:p>
    <w:p w14:paraId="4DCA33C7" w14:textId="075B3CFF" w:rsidR="00EA7AAC" w:rsidRDefault="00EA7AAC" w:rsidP="00C964F6">
      <w:pPr>
        <w:pStyle w:val="NoSpacing"/>
        <w:numPr>
          <w:ilvl w:val="1"/>
          <w:numId w:val="1"/>
        </w:numPr>
      </w:pPr>
      <w:r>
        <w:t>2 incidents around vendor installation of digital certificates</w:t>
      </w:r>
    </w:p>
    <w:p w14:paraId="59E8B340" w14:textId="5B0560F4" w:rsidR="005B05BD" w:rsidRDefault="002A0074" w:rsidP="001F585E">
      <w:pPr>
        <w:pStyle w:val="NoSpacing"/>
        <w:numPr>
          <w:ilvl w:val="0"/>
          <w:numId w:val="1"/>
        </w:numPr>
      </w:pPr>
      <w:r>
        <w:t xml:space="preserve">MarkeTrak performance </w:t>
      </w:r>
      <w:r w:rsidR="00EA7AAC">
        <w:t>response times all normal and trending “flat”</w:t>
      </w:r>
    </w:p>
    <w:p w14:paraId="7315BCAA" w14:textId="77777777" w:rsidR="00EA7AAC" w:rsidRDefault="002D0238" w:rsidP="001F585E">
      <w:pPr>
        <w:pStyle w:val="NoSpacing"/>
        <w:numPr>
          <w:ilvl w:val="0"/>
          <w:numId w:val="1"/>
        </w:numPr>
      </w:pPr>
      <w:r>
        <w:t xml:space="preserve">Retail SLOs (including new listserv SLO) </w:t>
      </w:r>
      <w:r w:rsidR="00EA7AAC">
        <w:t>were not quite ready to publish a DRAFT</w:t>
      </w:r>
    </w:p>
    <w:p w14:paraId="4EAC6CE3" w14:textId="77777777" w:rsidR="00EA7AAC" w:rsidRDefault="00EA7AAC" w:rsidP="00EA7AAC">
      <w:pPr>
        <w:pStyle w:val="NoSpacing"/>
        <w:numPr>
          <w:ilvl w:val="1"/>
          <w:numId w:val="1"/>
        </w:numPr>
      </w:pPr>
      <w:r>
        <w:t>Adding “break glass” back up plan documentation into SLOs</w:t>
      </w:r>
    </w:p>
    <w:p w14:paraId="491C5AA6" w14:textId="77777777" w:rsidR="00A0572E" w:rsidRDefault="00EA7AAC" w:rsidP="00EA7AAC">
      <w:pPr>
        <w:pStyle w:val="NoSpacing"/>
        <w:numPr>
          <w:ilvl w:val="1"/>
          <w:numId w:val="1"/>
        </w:numPr>
      </w:pPr>
      <w:r>
        <w:t xml:space="preserve">Mick intends to bring forth DRAFT at October RMS.  The preference would be to bring it back to TDMTS for final review and endorsement, then to RMS in November for a vote.  </w:t>
      </w:r>
    </w:p>
    <w:p w14:paraId="070038A7" w14:textId="77777777" w:rsidR="00A0572E" w:rsidRDefault="00A0572E" w:rsidP="00C87C6C">
      <w:pPr>
        <w:pStyle w:val="NoSpacing"/>
        <w:numPr>
          <w:ilvl w:val="1"/>
          <w:numId w:val="1"/>
        </w:numPr>
        <w:ind w:left="720"/>
      </w:pPr>
      <w:r>
        <w:t xml:space="preserve">Pointed out extended outage (creeping into Saturday operations) scheduled for the end of July might see higher volumes of MVI transactions that weekend due to end of month moves, however, that is not a deal-breaker for consideration of that scheduled weekend in July. </w:t>
      </w:r>
      <w:r w:rsidR="002D0238">
        <w:t xml:space="preserve"> </w:t>
      </w:r>
    </w:p>
    <w:p w14:paraId="029EDED7" w14:textId="77777777" w:rsidR="00A0572E" w:rsidRDefault="00A0572E" w:rsidP="00A0572E">
      <w:pPr>
        <w:pStyle w:val="NoSpacing"/>
        <w:ind w:left="720"/>
      </w:pPr>
    </w:p>
    <w:p w14:paraId="453562BE" w14:textId="23AFF087" w:rsidR="007A37AE" w:rsidRDefault="002A0074" w:rsidP="007A37AE">
      <w:pPr>
        <w:pStyle w:val="NoSpacing"/>
        <w:rPr>
          <w:b/>
          <w:u w:val="single"/>
        </w:rPr>
      </w:pPr>
      <w:r w:rsidRPr="002A0074">
        <w:rPr>
          <w:b/>
          <w:u w:val="single"/>
        </w:rPr>
        <w:t>ERCOT MarkeTrak Upgrade</w:t>
      </w:r>
      <w:r w:rsidR="007A37AE">
        <w:rPr>
          <w:b/>
          <w:u w:val="single"/>
        </w:rPr>
        <w:t xml:space="preserve"> &amp; </w:t>
      </w:r>
      <w:r w:rsidR="007A37AE" w:rsidRPr="00323CE5">
        <w:rPr>
          <w:b/>
          <w:u w:val="single"/>
        </w:rPr>
        <w:t>SCR</w:t>
      </w:r>
      <w:r w:rsidR="007A37AE">
        <w:rPr>
          <w:b/>
          <w:u w:val="single"/>
        </w:rPr>
        <w:t>815</w:t>
      </w:r>
      <w:r w:rsidR="007A37AE" w:rsidRPr="00323CE5">
        <w:rPr>
          <w:b/>
          <w:u w:val="single"/>
        </w:rPr>
        <w:t xml:space="preserve"> M</w:t>
      </w:r>
      <w:r w:rsidR="007A37AE">
        <w:rPr>
          <w:b/>
          <w:u w:val="single"/>
        </w:rPr>
        <w:t>arke</w:t>
      </w:r>
      <w:r w:rsidR="007A37AE" w:rsidRPr="00323CE5">
        <w:rPr>
          <w:b/>
          <w:u w:val="single"/>
        </w:rPr>
        <w:t>T</w:t>
      </w:r>
      <w:r w:rsidR="007A37AE">
        <w:rPr>
          <w:b/>
          <w:u w:val="single"/>
        </w:rPr>
        <w:t>rak Administrative</w:t>
      </w:r>
      <w:r w:rsidR="007A37AE" w:rsidRPr="00323CE5">
        <w:rPr>
          <w:b/>
          <w:u w:val="single"/>
        </w:rPr>
        <w:t xml:space="preserve"> Enhancements</w:t>
      </w:r>
      <w:r w:rsidR="007A37AE">
        <w:rPr>
          <w:b/>
          <w:u w:val="single"/>
        </w:rPr>
        <w:t xml:space="preserve"> </w:t>
      </w:r>
    </w:p>
    <w:p w14:paraId="2C19E658" w14:textId="28B5F15A" w:rsidR="002A0074" w:rsidRPr="00386AB4" w:rsidRDefault="00A0572E" w:rsidP="00386AB4">
      <w:pPr>
        <w:pStyle w:val="NoSpacing"/>
        <w:numPr>
          <w:ilvl w:val="0"/>
          <w:numId w:val="30"/>
        </w:numPr>
        <w:rPr>
          <w:b/>
          <w:u w:val="single"/>
        </w:rPr>
      </w:pPr>
      <w:r>
        <w:t>Not a lot of changes to report</w:t>
      </w:r>
    </w:p>
    <w:p w14:paraId="78A69735" w14:textId="180D3C7E" w:rsidR="00386AB4" w:rsidRPr="00386AB4" w:rsidRDefault="002D0238" w:rsidP="00386AB4">
      <w:pPr>
        <w:pStyle w:val="NoSpacing"/>
        <w:numPr>
          <w:ilvl w:val="0"/>
          <w:numId w:val="30"/>
        </w:numPr>
        <w:rPr>
          <w:b/>
          <w:u w:val="single"/>
        </w:rPr>
      </w:pPr>
      <w:r>
        <w:t>Expectations are for GO LIVE to occur in Q3 of 2022.  Both projects will require outages to MarkeTrak (likely the extended outage period</w:t>
      </w:r>
      <w:r w:rsidR="00A0572E">
        <w:t xml:space="preserve"> mentioned above</w:t>
      </w:r>
      <w:r>
        <w:t>).</w:t>
      </w:r>
    </w:p>
    <w:p w14:paraId="6AF3426C" w14:textId="2FED1B2F" w:rsidR="00D9194D" w:rsidRDefault="00A0572E" w:rsidP="009B5CA6">
      <w:pPr>
        <w:pStyle w:val="NoSpacing"/>
        <w:numPr>
          <w:ilvl w:val="0"/>
          <w:numId w:val="28"/>
        </w:numPr>
      </w:pPr>
      <w:r>
        <w:t>Early to mid Q2, ERCOT should have some “solid” information to share with the market and we would look to May/June timeframe for training</w:t>
      </w:r>
    </w:p>
    <w:p w14:paraId="3638A4A1" w14:textId="2321125A" w:rsidR="00A0572E" w:rsidRDefault="00A0572E" w:rsidP="009B5CA6">
      <w:pPr>
        <w:pStyle w:val="NoSpacing"/>
        <w:numPr>
          <w:ilvl w:val="0"/>
          <w:numId w:val="28"/>
        </w:numPr>
      </w:pPr>
      <w:r>
        <w:t>One note is any testing in RMTE for this effort does not like to coincide with scheduled flight</w:t>
      </w:r>
    </w:p>
    <w:p w14:paraId="46C9DD63" w14:textId="493EFEDF" w:rsidR="00A0572E" w:rsidRDefault="00A0572E" w:rsidP="00A0572E">
      <w:pPr>
        <w:pStyle w:val="NoSpacing"/>
      </w:pPr>
    </w:p>
    <w:p w14:paraId="10C49E09" w14:textId="7C4ADB8B" w:rsidR="00A0572E" w:rsidRDefault="00A0572E" w:rsidP="00A0572E">
      <w:pPr>
        <w:pStyle w:val="NoSpacing"/>
        <w:rPr>
          <w:b/>
          <w:bCs/>
          <w:u w:val="single"/>
        </w:rPr>
      </w:pPr>
      <w:r>
        <w:rPr>
          <w:b/>
          <w:bCs/>
          <w:u w:val="single"/>
        </w:rPr>
        <w:t>Market Metric &amp; PUCT Project links on TDTMS main meeting page</w:t>
      </w:r>
    </w:p>
    <w:p w14:paraId="5ED563C6" w14:textId="7399BE95" w:rsidR="00A0572E" w:rsidRDefault="00A0572E" w:rsidP="00A0572E">
      <w:pPr>
        <w:pStyle w:val="NoSpacing"/>
      </w:pPr>
      <w:r>
        <w:t>As a task from RMS, the link was discussed:</w:t>
      </w:r>
    </w:p>
    <w:p w14:paraId="6C314067" w14:textId="3345A5A0" w:rsidR="00A0572E" w:rsidRDefault="00A0572E" w:rsidP="00A0572E">
      <w:pPr>
        <w:pStyle w:val="NoSpacing"/>
        <w:numPr>
          <w:ilvl w:val="0"/>
          <w:numId w:val="34"/>
        </w:numPr>
      </w:pPr>
      <w:r>
        <w:t>This is an active link, yet an inactive group</w:t>
      </w:r>
    </w:p>
    <w:p w14:paraId="11EFC8A3" w14:textId="7FCBFAA9" w:rsidR="00A0572E" w:rsidRDefault="00A0572E" w:rsidP="00A0572E">
      <w:pPr>
        <w:pStyle w:val="NoSpacing"/>
        <w:numPr>
          <w:ilvl w:val="0"/>
          <w:numId w:val="34"/>
        </w:numPr>
      </w:pPr>
      <w:r>
        <w:t>Project numbers referenced are out of date - #24462 &amp; #33049</w:t>
      </w:r>
    </w:p>
    <w:p w14:paraId="455F7737" w14:textId="53A4707F" w:rsidR="00A0572E" w:rsidRPr="00A0572E" w:rsidRDefault="00A0572E" w:rsidP="00A0572E">
      <w:pPr>
        <w:pStyle w:val="NoSpacing"/>
        <w:numPr>
          <w:ilvl w:val="0"/>
          <w:numId w:val="34"/>
        </w:numPr>
      </w:pPr>
      <w:r>
        <w:t xml:space="preserve">ACTION ITEM:  Sheri is to send an email to Dave Michelson requesting to move new related project #s to the link; however still want to retain the old project numbers. </w:t>
      </w:r>
    </w:p>
    <w:p w14:paraId="114828C4" w14:textId="77777777" w:rsidR="00D9194D" w:rsidRDefault="00D9194D" w:rsidP="005D1EE7">
      <w:pPr>
        <w:pStyle w:val="NoSpacing"/>
      </w:pPr>
    </w:p>
    <w:p w14:paraId="5B436499" w14:textId="77777777" w:rsidR="00A0572E" w:rsidRDefault="00A0572E" w:rsidP="00A0572E">
      <w:pPr>
        <w:pStyle w:val="NoSpacing"/>
        <w:rPr>
          <w:b/>
          <w:u w:val="single"/>
        </w:rPr>
      </w:pPr>
      <w:r>
        <w:rPr>
          <w:b/>
          <w:u w:val="single"/>
        </w:rPr>
        <w:t>RMGRR 167 - Switch Hold Removal Documentation</w:t>
      </w:r>
    </w:p>
    <w:p w14:paraId="40313C35" w14:textId="77777777" w:rsidR="001E4D51" w:rsidRDefault="001E4D51" w:rsidP="00A0572E">
      <w:pPr>
        <w:pStyle w:val="NoSpacing"/>
        <w:numPr>
          <w:ilvl w:val="0"/>
          <w:numId w:val="26"/>
        </w:numPr>
        <w:rPr>
          <w:rFonts w:cstheme="minorHAnsi"/>
          <w:iCs/>
        </w:rPr>
      </w:pPr>
      <w:r>
        <w:rPr>
          <w:rFonts w:cstheme="minorHAnsi"/>
          <w:iCs/>
        </w:rPr>
        <w:t>With clarification, the TAC approved RMGRR does not require Board approval and will be reviewed by PUCT at the 10/7 Open Meeting.  With that being said, the revised New Occupant Statements (English, Appendices J2 and Spanish, Appendices J3) will become effective 10/8 pending PUCT approval.  The new NOS forms will be enforced on 11/1/21 allowing market participants time to integrate into business processes.</w:t>
      </w:r>
    </w:p>
    <w:p w14:paraId="7D0768A6" w14:textId="28BA0546" w:rsidR="00A0572E" w:rsidRDefault="001E4D51" w:rsidP="00E205DB">
      <w:pPr>
        <w:pStyle w:val="NoSpacing"/>
        <w:numPr>
          <w:ilvl w:val="0"/>
          <w:numId w:val="26"/>
        </w:numPr>
        <w:rPr>
          <w:rFonts w:cstheme="minorHAnsi"/>
          <w:iCs/>
        </w:rPr>
      </w:pPr>
      <w:r w:rsidRPr="00315059">
        <w:rPr>
          <w:rFonts w:cstheme="minorHAnsi"/>
          <w:iCs/>
        </w:rPr>
        <w:t xml:space="preserve"> </w:t>
      </w:r>
      <w:r w:rsidR="00A0572E" w:rsidRPr="00315059">
        <w:rPr>
          <w:rFonts w:cstheme="minorHAnsi"/>
          <w:iCs/>
          <w:highlight w:val="yellow"/>
        </w:rPr>
        <w:t>ACTION ITEM</w:t>
      </w:r>
      <w:r w:rsidR="00A0572E" w:rsidRPr="00315059">
        <w:rPr>
          <w:rFonts w:cstheme="minorHAnsi"/>
          <w:iCs/>
        </w:rPr>
        <w:t>:  a reminder of updated NOS forms will be sent via market notice upon PUCT approval to ensure market participants are utilizing the latest form with the above effective dates noted.</w:t>
      </w:r>
    </w:p>
    <w:p w14:paraId="03691EAF" w14:textId="77777777" w:rsidR="00315059" w:rsidRPr="00315059" w:rsidRDefault="00315059" w:rsidP="00315059">
      <w:pPr>
        <w:pStyle w:val="NoSpacing"/>
        <w:rPr>
          <w:rFonts w:cstheme="minorHAnsi"/>
          <w:iCs/>
        </w:rPr>
      </w:pPr>
    </w:p>
    <w:p w14:paraId="5295436A" w14:textId="3E08A2DB" w:rsidR="00315059" w:rsidRDefault="00315059" w:rsidP="00315059">
      <w:pPr>
        <w:pStyle w:val="NoSpacing"/>
        <w:rPr>
          <w:rFonts w:cstheme="minorHAnsi"/>
          <w:b/>
          <w:iCs/>
          <w:u w:val="single"/>
        </w:rPr>
      </w:pPr>
      <w:r>
        <w:rPr>
          <w:rFonts w:cstheme="minorHAnsi"/>
          <w:b/>
          <w:iCs/>
          <w:u w:val="single"/>
        </w:rPr>
        <w:lastRenderedPageBreak/>
        <w:t>SCR 817 MarkeTrak Validation Revisions Aligning w/ TXSET V5.0</w:t>
      </w:r>
    </w:p>
    <w:p w14:paraId="6C5C93B5" w14:textId="346B843E" w:rsidR="00315059" w:rsidRDefault="00315059" w:rsidP="00315059">
      <w:pPr>
        <w:pStyle w:val="NoSpacing"/>
        <w:rPr>
          <w:rFonts w:cstheme="minorHAnsi"/>
          <w:bCs/>
          <w:iCs/>
        </w:rPr>
      </w:pPr>
      <w:r>
        <w:rPr>
          <w:rFonts w:cstheme="minorHAnsi"/>
          <w:bCs/>
          <w:iCs/>
        </w:rPr>
        <w:t>Submitted to Market Rules @RevisionRequests for consideration at 10/5 RMS meeting.  Will be presented as a “package” with NPRR1095 and RMGRR169.  The NPRR will be guiding the governance process.   Upon RMS endorsement, PRS will consider “package” at 10/14 meeting.  Following that, the TXSET IA may not be ready immediately and the SCR will not approve until the TXSET NPRR governance has completed</w:t>
      </w:r>
    </w:p>
    <w:p w14:paraId="50C557AD" w14:textId="77777777" w:rsidR="00315059" w:rsidRPr="00315059" w:rsidRDefault="00315059" w:rsidP="00315059">
      <w:pPr>
        <w:pStyle w:val="NoSpacing"/>
        <w:rPr>
          <w:rFonts w:cstheme="minorHAnsi"/>
          <w:bCs/>
          <w:iCs/>
        </w:rPr>
      </w:pPr>
    </w:p>
    <w:p w14:paraId="1850A0AD" w14:textId="167D3463" w:rsidR="00015B0C" w:rsidRDefault="00774226" w:rsidP="00774226">
      <w:pPr>
        <w:pStyle w:val="NoSpacing"/>
        <w:rPr>
          <w:b/>
          <w:u w:val="single"/>
        </w:rPr>
      </w:pPr>
      <w:r>
        <w:rPr>
          <w:b/>
          <w:u w:val="single"/>
        </w:rPr>
        <w:t xml:space="preserve">RMGRR 166 – Switch Hold Repository </w:t>
      </w:r>
      <w:r w:rsidR="00315059">
        <w:rPr>
          <w:b/>
          <w:u w:val="single"/>
        </w:rPr>
        <w:t>Extract</w:t>
      </w:r>
    </w:p>
    <w:p w14:paraId="6830CC89" w14:textId="5EAD4885" w:rsidR="00F747D8" w:rsidRDefault="00315059" w:rsidP="00774226">
      <w:pPr>
        <w:pStyle w:val="NoSpacing"/>
      </w:pPr>
      <w:r>
        <w:t>WG understood public display of SH master files on ercot.com does not meet the definition of “secure” as stated in the PUCT Sub. Rule 25.</w:t>
      </w:r>
      <w:r w:rsidR="00233E77">
        <w:t xml:space="preserve">480.  Realizing there was still some merit with improving timelines for SH file availability, the WG elected to modify the language thus removing the extract repository and submit to RMS as TDTMS comments.  </w:t>
      </w:r>
    </w:p>
    <w:p w14:paraId="38C3FC25" w14:textId="12ECECB9" w:rsidR="00233E77" w:rsidRDefault="00233E77" w:rsidP="00774226">
      <w:pPr>
        <w:pStyle w:val="NoSpacing"/>
      </w:pPr>
      <w:r w:rsidRPr="00233E77">
        <w:rPr>
          <w:highlight w:val="yellow"/>
        </w:rPr>
        <w:t>ACTION ITEM</w:t>
      </w:r>
      <w:r>
        <w:t>:  Sheri will submit newly drafted language as comments to Market Rules for consideration at the 10/5 RMS meeting.</w:t>
      </w:r>
    </w:p>
    <w:p w14:paraId="26423546" w14:textId="6F08C0D6" w:rsidR="00233E77" w:rsidRDefault="00233E77" w:rsidP="00774226">
      <w:pPr>
        <w:pStyle w:val="NoSpacing"/>
      </w:pPr>
      <w:r>
        <w:t>If approved, a proposed governance schedule is as such:</w:t>
      </w:r>
    </w:p>
    <w:p w14:paraId="3DDABB2B" w14:textId="6D258998" w:rsidR="00233E77" w:rsidRDefault="00233E77" w:rsidP="00774226">
      <w:pPr>
        <w:pStyle w:val="NoSpacing"/>
      </w:pPr>
      <w:r>
        <w:t>10/5 RMS comments</w:t>
      </w:r>
    </w:p>
    <w:p w14:paraId="541C7F88" w14:textId="44DDA61B" w:rsidR="00233E77" w:rsidRDefault="00233E77" w:rsidP="00774226">
      <w:pPr>
        <w:pStyle w:val="NoSpacing"/>
      </w:pPr>
      <w:r>
        <w:t>11/2 RMS IA</w:t>
      </w:r>
    </w:p>
    <w:p w14:paraId="063A2710" w14:textId="3A737EEF" w:rsidR="00233E77" w:rsidRDefault="00233E77" w:rsidP="00774226">
      <w:pPr>
        <w:pStyle w:val="NoSpacing"/>
      </w:pPr>
      <w:r>
        <w:t xml:space="preserve">11/17 TAC </w:t>
      </w:r>
    </w:p>
    <w:p w14:paraId="7BD96B44" w14:textId="7F6FF9BB" w:rsidR="00233E77" w:rsidRDefault="00233E77" w:rsidP="00774226">
      <w:pPr>
        <w:pStyle w:val="NoSpacing"/>
      </w:pPr>
      <w:r>
        <w:t>PUCT after Nov TAC</w:t>
      </w:r>
    </w:p>
    <w:p w14:paraId="05CC7EE3" w14:textId="350EF3C5" w:rsidR="00233E77" w:rsidRDefault="00233E77" w:rsidP="00774226">
      <w:pPr>
        <w:pStyle w:val="NoSpacing"/>
      </w:pPr>
      <w:r>
        <w:t>RMS suggested effective date January 1. 2022</w:t>
      </w:r>
    </w:p>
    <w:p w14:paraId="19AAADFA" w14:textId="43E113E5" w:rsidR="007421B4" w:rsidRDefault="007421B4" w:rsidP="00774226">
      <w:pPr>
        <w:pStyle w:val="NoSpacing"/>
      </w:pPr>
    </w:p>
    <w:p w14:paraId="2CC4FFA3" w14:textId="74CBABC0" w:rsidR="007421B4" w:rsidRPr="007421B4" w:rsidRDefault="007421B4" w:rsidP="00774226">
      <w:pPr>
        <w:pStyle w:val="NoSpacing"/>
        <w:rPr>
          <w:b/>
          <w:bCs/>
          <w:u w:val="single"/>
        </w:rPr>
      </w:pPr>
      <w:r w:rsidRPr="007421B4">
        <w:rPr>
          <w:b/>
          <w:bCs/>
          <w:u w:val="single"/>
        </w:rPr>
        <w:t>Semi-Annual Review of Overall MT Subtype Volumes – January 2021 – June 2021</w:t>
      </w:r>
    </w:p>
    <w:p w14:paraId="33238CBF" w14:textId="0B607DD5" w:rsidR="00F747D8" w:rsidRDefault="007421B4" w:rsidP="00774226">
      <w:pPr>
        <w:pStyle w:val="NoSpacing"/>
      </w:pPr>
      <w:r>
        <w:t>The below table and graph were reviewed with the following observations:</w:t>
      </w:r>
    </w:p>
    <w:p w14:paraId="60D05365" w14:textId="0C7E1146" w:rsidR="007421B4" w:rsidRDefault="007421B4" w:rsidP="00774226">
      <w:pPr>
        <w:pStyle w:val="NoSpacing"/>
      </w:pPr>
      <w:r w:rsidRPr="007421B4">
        <w:drawing>
          <wp:inline distT="0" distB="0" distL="0" distR="0" wp14:anchorId="519115F3" wp14:editId="681BC5BF">
            <wp:extent cx="6858000" cy="34023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3402330"/>
                    </a:xfrm>
                    <a:prstGeom prst="rect">
                      <a:avLst/>
                    </a:prstGeom>
                    <a:noFill/>
                    <a:ln>
                      <a:noFill/>
                    </a:ln>
                  </pic:spPr>
                </pic:pic>
              </a:graphicData>
            </a:graphic>
          </wp:inline>
        </w:drawing>
      </w:r>
    </w:p>
    <w:p w14:paraId="05AEC795" w14:textId="2A38142B" w:rsidR="007421B4" w:rsidRDefault="007421B4" w:rsidP="00774226">
      <w:pPr>
        <w:pStyle w:val="NoSpacing"/>
      </w:pPr>
      <w:r>
        <w:rPr>
          <w:noProof/>
        </w:rPr>
        <w:drawing>
          <wp:inline distT="0" distB="0" distL="0" distR="0" wp14:anchorId="6D8B6FF5" wp14:editId="44EBEEE1">
            <wp:extent cx="3529104" cy="1873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9821" cy="1884958"/>
                    </a:xfrm>
                    <a:prstGeom prst="rect">
                      <a:avLst/>
                    </a:prstGeom>
                    <a:noFill/>
                  </pic:spPr>
                </pic:pic>
              </a:graphicData>
            </a:graphic>
          </wp:inline>
        </w:drawing>
      </w:r>
    </w:p>
    <w:p w14:paraId="446A74B6" w14:textId="567F914D" w:rsidR="007421B4" w:rsidRDefault="007421B4" w:rsidP="00774226">
      <w:pPr>
        <w:pStyle w:val="NoSpacing"/>
      </w:pPr>
    </w:p>
    <w:p w14:paraId="2B32B132" w14:textId="282A7652" w:rsidR="007421B4" w:rsidRPr="007421B4" w:rsidRDefault="007421B4" w:rsidP="007421B4">
      <w:pPr>
        <w:pStyle w:val="NoSpacing"/>
        <w:numPr>
          <w:ilvl w:val="0"/>
          <w:numId w:val="36"/>
        </w:numPr>
      </w:pPr>
      <w:r w:rsidRPr="007421B4">
        <w:rPr>
          <w:i/>
          <w:iCs/>
        </w:rPr>
        <w:lastRenderedPageBreak/>
        <w:t xml:space="preserve">Inadvertent Losing </w:t>
      </w:r>
      <w:r w:rsidRPr="007421B4">
        <w:t>MT volume continues to rise – will track against transaction volume</w:t>
      </w:r>
    </w:p>
    <w:p w14:paraId="52C49CC3" w14:textId="77777777" w:rsidR="007421B4" w:rsidRPr="007421B4" w:rsidRDefault="007421B4" w:rsidP="007421B4">
      <w:pPr>
        <w:pStyle w:val="NoSpacing"/>
        <w:numPr>
          <w:ilvl w:val="0"/>
          <w:numId w:val="36"/>
        </w:numPr>
      </w:pPr>
      <w:r w:rsidRPr="007421B4">
        <w:rPr>
          <w:i/>
          <w:iCs/>
        </w:rPr>
        <w:t>IAL</w:t>
      </w:r>
      <w:r w:rsidRPr="007421B4">
        <w:t xml:space="preserve"> vs </w:t>
      </w:r>
      <w:r w:rsidRPr="007421B4">
        <w:rPr>
          <w:i/>
          <w:iCs/>
        </w:rPr>
        <w:t>IAG</w:t>
      </w:r>
      <w:r w:rsidRPr="007421B4">
        <w:t xml:space="preserve"> trajectory continues to widen</w:t>
      </w:r>
    </w:p>
    <w:p w14:paraId="5BBEB742" w14:textId="77777777" w:rsidR="007421B4" w:rsidRPr="007421B4" w:rsidRDefault="007421B4" w:rsidP="007421B4">
      <w:pPr>
        <w:pStyle w:val="NoSpacing"/>
        <w:numPr>
          <w:ilvl w:val="0"/>
          <w:numId w:val="36"/>
        </w:numPr>
      </w:pPr>
      <w:r w:rsidRPr="007421B4">
        <w:rPr>
          <w:i/>
          <w:iCs/>
        </w:rPr>
        <w:t xml:space="preserve">Usage &amp; Billing Dispute </w:t>
      </w:r>
      <w:r w:rsidRPr="007421B4">
        <w:t xml:space="preserve">and </w:t>
      </w:r>
      <w:r w:rsidRPr="007421B4">
        <w:rPr>
          <w:i/>
          <w:iCs/>
        </w:rPr>
        <w:t>AMS LSE Dispute</w:t>
      </w:r>
      <w:r w:rsidRPr="007421B4">
        <w:t xml:space="preserve"> increases attributed to URI</w:t>
      </w:r>
    </w:p>
    <w:p w14:paraId="3E8957B0" w14:textId="77777777" w:rsidR="007421B4" w:rsidRPr="007421B4" w:rsidRDefault="007421B4" w:rsidP="007421B4">
      <w:pPr>
        <w:pStyle w:val="NoSpacing"/>
        <w:numPr>
          <w:ilvl w:val="0"/>
          <w:numId w:val="36"/>
        </w:numPr>
      </w:pPr>
      <w:proofErr w:type="gramStart"/>
      <w:r w:rsidRPr="007421B4">
        <w:rPr>
          <w:i/>
          <w:iCs/>
        </w:rPr>
        <w:t xml:space="preserve">Other  </w:t>
      </w:r>
      <w:r w:rsidRPr="007421B4">
        <w:t>increases</w:t>
      </w:r>
      <w:proofErr w:type="gramEnd"/>
      <w:r w:rsidRPr="007421B4">
        <w:t xml:space="preserve"> likely due to Oncor efforts to transition BUSIDRRQ to BUSLO profiles</w:t>
      </w:r>
    </w:p>
    <w:p w14:paraId="35F5C651" w14:textId="77777777" w:rsidR="007421B4" w:rsidRPr="007421B4" w:rsidRDefault="007421B4" w:rsidP="007421B4">
      <w:pPr>
        <w:pStyle w:val="NoSpacing"/>
        <w:numPr>
          <w:ilvl w:val="0"/>
          <w:numId w:val="36"/>
        </w:numPr>
      </w:pPr>
      <w:r w:rsidRPr="007421B4">
        <w:rPr>
          <w:i/>
          <w:iCs/>
        </w:rPr>
        <w:t xml:space="preserve">Switch Hold Removals </w:t>
      </w:r>
      <w:r w:rsidRPr="007421B4">
        <w:t>seemed to move back to seasonal volumes</w:t>
      </w:r>
    </w:p>
    <w:p w14:paraId="30C5E0ED" w14:textId="77777777" w:rsidR="007421B4" w:rsidRPr="007421B4" w:rsidRDefault="007421B4" w:rsidP="007421B4">
      <w:pPr>
        <w:pStyle w:val="NoSpacing"/>
        <w:numPr>
          <w:ilvl w:val="0"/>
          <w:numId w:val="36"/>
        </w:numPr>
      </w:pPr>
      <w:r w:rsidRPr="007421B4">
        <w:t xml:space="preserve">Increase in </w:t>
      </w:r>
      <w:r w:rsidRPr="007421B4">
        <w:rPr>
          <w:i/>
          <w:iCs/>
        </w:rPr>
        <w:t xml:space="preserve">ERCOT Initiated </w:t>
      </w:r>
      <w:r w:rsidRPr="007421B4">
        <w:t>MTs are due to special character transaction awareness and some for POLR Drops</w:t>
      </w:r>
    </w:p>
    <w:p w14:paraId="169AA0F4" w14:textId="77777777" w:rsidR="007421B4" w:rsidRDefault="007421B4" w:rsidP="00E445C0">
      <w:pPr>
        <w:pStyle w:val="NoSpacing"/>
        <w:rPr>
          <w:rFonts w:cstheme="minorHAnsi"/>
          <w:b/>
          <w:iCs/>
          <w:u w:val="single"/>
        </w:rPr>
      </w:pPr>
    </w:p>
    <w:p w14:paraId="39A3C92B" w14:textId="0009E4C9" w:rsidR="00E445C0" w:rsidRDefault="00E445C0" w:rsidP="00E445C0">
      <w:pPr>
        <w:pStyle w:val="NoSpacing"/>
        <w:rPr>
          <w:rFonts w:cstheme="minorHAnsi"/>
          <w:b/>
          <w:iCs/>
          <w:u w:val="single"/>
        </w:rPr>
      </w:pPr>
      <w:r w:rsidRPr="00E445C0">
        <w:rPr>
          <w:rFonts w:cstheme="minorHAnsi"/>
          <w:b/>
          <w:iCs/>
          <w:u w:val="single"/>
        </w:rPr>
        <w:t>MT Validations</w:t>
      </w:r>
      <w:r w:rsidR="00233E77">
        <w:rPr>
          <w:rFonts w:cstheme="minorHAnsi"/>
          <w:b/>
          <w:iCs/>
          <w:u w:val="single"/>
        </w:rPr>
        <w:t xml:space="preserve"> Revisions Item #2 – </w:t>
      </w:r>
      <w:proofErr w:type="spellStart"/>
      <w:r w:rsidR="00233E77">
        <w:rPr>
          <w:rFonts w:cstheme="minorHAnsi"/>
          <w:b/>
          <w:iCs/>
          <w:u w:val="single"/>
        </w:rPr>
        <w:t>Unexecutable</w:t>
      </w:r>
      <w:proofErr w:type="spellEnd"/>
      <w:r w:rsidR="00233E77">
        <w:rPr>
          <w:rFonts w:cstheme="minorHAnsi"/>
          <w:b/>
          <w:iCs/>
          <w:u w:val="single"/>
        </w:rPr>
        <w:t xml:space="preserve"> Reasons</w:t>
      </w:r>
    </w:p>
    <w:p w14:paraId="1E18B18C" w14:textId="618CB8B3" w:rsidR="00233E77" w:rsidRPr="00233E77" w:rsidRDefault="00233E77" w:rsidP="00E445C0">
      <w:pPr>
        <w:pStyle w:val="NoSpacing"/>
        <w:rPr>
          <w:rFonts w:cstheme="minorHAnsi"/>
          <w:bCs/>
          <w:iCs/>
        </w:rPr>
      </w:pPr>
      <w:r>
        <w:rPr>
          <w:rFonts w:cstheme="minorHAnsi"/>
          <w:bCs/>
          <w:iCs/>
        </w:rPr>
        <w:t xml:space="preserve">Dave M had suggested TDTMS be very clear on their requested drop down </w:t>
      </w:r>
      <w:proofErr w:type="spellStart"/>
      <w:r>
        <w:rPr>
          <w:rFonts w:cstheme="minorHAnsi"/>
          <w:bCs/>
          <w:iCs/>
        </w:rPr>
        <w:t>unexecutable</w:t>
      </w:r>
      <w:proofErr w:type="spellEnd"/>
      <w:r>
        <w:rPr>
          <w:rFonts w:cstheme="minorHAnsi"/>
          <w:bCs/>
          <w:iCs/>
        </w:rPr>
        <w:t xml:space="preserve"> reasons for various subtypes.  The following initial list was briefly reviewed with the </w:t>
      </w:r>
      <w:r w:rsidRPr="00F26627">
        <w:rPr>
          <w:rFonts w:cstheme="minorHAnsi"/>
          <w:bCs/>
          <w:iCs/>
          <w:highlight w:val="yellow"/>
        </w:rPr>
        <w:t>ACTION ITEM</w:t>
      </w:r>
      <w:r>
        <w:rPr>
          <w:rFonts w:cstheme="minorHAnsi"/>
          <w:bCs/>
          <w:iCs/>
        </w:rPr>
        <w:t xml:space="preserve"> for all market participants to review various subtypes and desired </w:t>
      </w:r>
      <w:r w:rsidR="00F26627">
        <w:rPr>
          <w:rFonts w:cstheme="minorHAnsi"/>
          <w:bCs/>
          <w:iCs/>
        </w:rPr>
        <w:t xml:space="preserve">common </w:t>
      </w:r>
      <w:r>
        <w:rPr>
          <w:rFonts w:cstheme="minorHAnsi"/>
          <w:bCs/>
          <w:iCs/>
        </w:rPr>
        <w:t>‘</w:t>
      </w:r>
      <w:proofErr w:type="spellStart"/>
      <w:r>
        <w:rPr>
          <w:rFonts w:cstheme="minorHAnsi"/>
          <w:bCs/>
          <w:iCs/>
        </w:rPr>
        <w:t>unexecutable</w:t>
      </w:r>
      <w:proofErr w:type="spellEnd"/>
      <w:r>
        <w:rPr>
          <w:rFonts w:cstheme="minorHAnsi"/>
          <w:bCs/>
          <w:iCs/>
        </w:rPr>
        <w:t xml:space="preserve"> </w:t>
      </w:r>
      <w:proofErr w:type="gramStart"/>
      <w:r>
        <w:rPr>
          <w:rFonts w:cstheme="minorHAnsi"/>
          <w:bCs/>
          <w:iCs/>
        </w:rPr>
        <w:t>reasons’</w:t>
      </w:r>
      <w:proofErr w:type="gramEnd"/>
      <w:r w:rsidR="00F26627">
        <w:rPr>
          <w:rFonts w:cstheme="minorHAnsi"/>
          <w:bCs/>
          <w:iCs/>
        </w:rPr>
        <w:t xml:space="preserve">.  </w:t>
      </w:r>
    </w:p>
    <w:tbl>
      <w:tblPr>
        <w:tblW w:w="10800" w:type="dxa"/>
        <w:tblLook w:val="04A0" w:firstRow="1" w:lastRow="0" w:firstColumn="1" w:lastColumn="0" w:noHBand="0" w:noVBand="1"/>
      </w:tblPr>
      <w:tblGrid>
        <w:gridCol w:w="221"/>
        <w:gridCol w:w="187"/>
        <w:gridCol w:w="251"/>
        <w:gridCol w:w="437"/>
        <w:gridCol w:w="8972"/>
        <w:gridCol w:w="561"/>
        <w:gridCol w:w="171"/>
      </w:tblGrid>
      <w:tr w:rsidR="00F26627" w:rsidRPr="00F26627" w14:paraId="0076C5B8" w14:textId="77777777" w:rsidTr="007421B4">
        <w:trPr>
          <w:gridBefore w:val="2"/>
          <w:wBefore w:w="483" w:type="dxa"/>
          <w:trHeight w:val="288"/>
        </w:trPr>
        <w:tc>
          <w:tcPr>
            <w:tcW w:w="10317" w:type="dxa"/>
            <w:gridSpan w:val="5"/>
            <w:tcBorders>
              <w:top w:val="nil"/>
              <w:left w:val="nil"/>
              <w:bottom w:val="nil"/>
              <w:right w:val="nil"/>
            </w:tcBorders>
            <w:shd w:val="clear" w:color="auto" w:fill="auto"/>
            <w:noWrap/>
            <w:vAlign w:val="bottom"/>
            <w:hideMark/>
          </w:tcPr>
          <w:p w14:paraId="431E6789" w14:textId="77777777" w:rsidR="00F26627" w:rsidRPr="00F26627" w:rsidRDefault="00F26627" w:rsidP="00F26627">
            <w:pPr>
              <w:spacing w:after="0" w:line="240" w:lineRule="auto"/>
              <w:rPr>
                <w:rFonts w:ascii="Calibri" w:eastAsia="Times New Roman" w:hAnsi="Calibri" w:cs="Calibri"/>
                <w:b/>
                <w:bCs/>
                <w:color w:val="000000"/>
                <w:u w:val="single"/>
              </w:rPr>
            </w:pPr>
            <w:r w:rsidRPr="00F26627">
              <w:rPr>
                <w:rFonts w:ascii="Calibri" w:eastAsia="Times New Roman" w:hAnsi="Calibri" w:cs="Calibri"/>
                <w:b/>
                <w:bCs/>
                <w:color w:val="000000"/>
                <w:u w:val="single"/>
              </w:rPr>
              <w:t xml:space="preserve">Inadvertent Gains </w:t>
            </w:r>
          </w:p>
        </w:tc>
      </w:tr>
      <w:tr w:rsidR="00F26627" w:rsidRPr="00F26627" w14:paraId="6D805374" w14:textId="77777777" w:rsidTr="007421B4">
        <w:trPr>
          <w:gridBefore w:val="2"/>
          <w:wBefore w:w="483" w:type="dxa"/>
          <w:trHeight w:val="288"/>
        </w:trPr>
        <w:tc>
          <w:tcPr>
            <w:tcW w:w="665" w:type="dxa"/>
            <w:gridSpan w:val="2"/>
            <w:tcBorders>
              <w:top w:val="nil"/>
              <w:left w:val="nil"/>
              <w:bottom w:val="nil"/>
              <w:right w:val="nil"/>
            </w:tcBorders>
            <w:shd w:val="clear" w:color="auto" w:fill="auto"/>
            <w:noWrap/>
            <w:vAlign w:val="bottom"/>
            <w:hideMark/>
          </w:tcPr>
          <w:p w14:paraId="678BDA3D" w14:textId="77777777" w:rsidR="00F26627" w:rsidRPr="00F26627" w:rsidRDefault="00F26627" w:rsidP="00F26627">
            <w:pPr>
              <w:spacing w:after="0" w:line="240" w:lineRule="auto"/>
              <w:rPr>
                <w:rFonts w:ascii="Calibri" w:eastAsia="Times New Roman" w:hAnsi="Calibri" w:cs="Calibri"/>
                <w:b/>
                <w:bCs/>
                <w:color w:val="000000"/>
              </w:rPr>
            </w:pPr>
          </w:p>
        </w:tc>
        <w:tc>
          <w:tcPr>
            <w:tcW w:w="9652" w:type="dxa"/>
            <w:gridSpan w:val="3"/>
            <w:tcBorders>
              <w:top w:val="nil"/>
              <w:left w:val="nil"/>
              <w:bottom w:val="nil"/>
              <w:right w:val="nil"/>
            </w:tcBorders>
            <w:shd w:val="clear" w:color="auto" w:fill="auto"/>
            <w:noWrap/>
            <w:vAlign w:val="bottom"/>
            <w:hideMark/>
          </w:tcPr>
          <w:p w14:paraId="7B40516A"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None</w:t>
            </w:r>
          </w:p>
        </w:tc>
      </w:tr>
      <w:tr w:rsidR="00F26627" w:rsidRPr="00F26627" w14:paraId="0627EE22" w14:textId="77777777" w:rsidTr="007421B4">
        <w:trPr>
          <w:gridBefore w:val="2"/>
          <w:wBefore w:w="483" w:type="dxa"/>
          <w:trHeight w:val="288"/>
        </w:trPr>
        <w:tc>
          <w:tcPr>
            <w:tcW w:w="665" w:type="dxa"/>
            <w:gridSpan w:val="2"/>
            <w:tcBorders>
              <w:top w:val="nil"/>
              <w:left w:val="nil"/>
              <w:bottom w:val="nil"/>
              <w:right w:val="nil"/>
            </w:tcBorders>
            <w:shd w:val="clear" w:color="auto" w:fill="auto"/>
            <w:noWrap/>
            <w:vAlign w:val="bottom"/>
            <w:hideMark/>
          </w:tcPr>
          <w:p w14:paraId="6F0E8465" w14:textId="77777777" w:rsidR="00F26627" w:rsidRPr="00F26627" w:rsidRDefault="00F26627" w:rsidP="00F26627">
            <w:pPr>
              <w:spacing w:after="0" w:line="240" w:lineRule="auto"/>
              <w:rPr>
                <w:rFonts w:ascii="Calibri" w:eastAsia="Times New Roman" w:hAnsi="Calibri" w:cs="Calibri"/>
                <w:color w:val="000000"/>
              </w:rPr>
            </w:pPr>
          </w:p>
        </w:tc>
        <w:tc>
          <w:tcPr>
            <w:tcW w:w="9652" w:type="dxa"/>
            <w:gridSpan w:val="3"/>
            <w:tcBorders>
              <w:top w:val="nil"/>
              <w:left w:val="nil"/>
              <w:bottom w:val="nil"/>
              <w:right w:val="nil"/>
            </w:tcBorders>
            <w:shd w:val="clear" w:color="auto" w:fill="auto"/>
            <w:noWrap/>
            <w:vAlign w:val="bottom"/>
            <w:hideMark/>
          </w:tcPr>
          <w:p w14:paraId="1AFA0F41"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Authorized Enrollment Confirmed</w:t>
            </w:r>
          </w:p>
        </w:tc>
      </w:tr>
      <w:tr w:rsidR="00F26627" w:rsidRPr="00F26627" w14:paraId="6C0DA338" w14:textId="77777777" w:rsidTr="007421B4">
        <w:trPr>
          <w:gridBefore w:val="2"/>
          <w:wBefore w:w="483" w:type="dxa"/>
          <w:trHeight w:val="288"/>
        </w:trPr>
        <w:tc>
          <w:tcPr>
            <w:tcW w:w="665" w:type="dxa"/>
            <w:gridSpan w:val="2"/>
            <w:tcBorders>
              <w:top w:val="nil"/>
              <w:left w:val="nil"/>
              <w:bottom w:val="nil"/>
              <w:right w:val="nil"/>
            </w:tcBorders>
            <w:shd w:val="clear" w:color="auto" w:fill="auto"/>
            <w:noWrap/>
            <w:vAlign w:val="bottom"/>
            <w:hideMark/>
          </w:tcPr>
          <w:p w14:paraId="44E746B3" w14:textId="77777777" w:rsidR="00F26627" w:rsidRPr="00F26627" w:rsidRDefault="00F26627" w:rsidP="00F26627">
            <w:pPr>
              <w:spacing w:after="0" w:line="240" w:lineRule="auto"/>
              <w:rPr>
                <w:rFonts w:ascii="Calibri" w:eastAsia="Times New Roman" w:hAnsi="Calibri" w:cs="Calibri"/>
                <w:color w:val="000000"/>
              </w:rPr>
            </w:pPr>
          </w:p>
        </w:tc>
        <w:tc>
          <w:tcPr>
            <w:tcW w:w="9652" w:type="dxa"/>
            <w:gridSpan w:val="3"/>
            <w:tcBorders>
              <w:top w:val="nil"/>
              <w:left w:val="nil"/>
              <w:bottom w:val="nil"/>
              <w:right w:val="nil"/>
            </w:tcBorders>
            <w:shd w:val="clear" w:color="auto" w:fill="auto"/>
            <w:noWrap/>
            <w:vAlign w:val="bottom"/>
            <w:hideMark/>
          </w:tcPr>
          <w:p w14:paraId="77900B47"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 xml:space="preserve">Duplicate Issue </w:t>
            </w:r>
          </w:p>
        </w:tc>
      </w:tr>
      <w:tr w:rsidR="00F26627" w:rsidRPr="00F26627" w14:paraId="4C6A46D7" w14:textId="77777777" w:rsidTr="007421B4">
        <w:trPr>
          <w:gridBefore w:val="2"/>
          <w:wBefore w:w="483" w:type="dxa"/>
          <w:trHeight w:val="288"/>
        </w:trPr>
        <w:tc>
          <w:tcPr>
            <w:tcW w:w="665" w:type="dxa"/>
            <w:gridSpan w:val="2"/>
            <w:tcBorders>
              <w:top w:val="nil"/>
              <w:left w:val="nil"/>
              <w:bottom w:val="nil"/>
              <w:right w:val="nil"/>
            </w:tcBorders>
            <w:shd w:val="clear" w:color="auto" w:fill="auto"/>
            <w:noWrap/>
            <w:vAlign w:val="bottom"/>
            <w:hideMark/>
          </w:tcPr>
          <w:p w14:paraId="623B8212" w14:textId="77777777" w:rsidR="00F26627" w:rsidRPr="00F26627" w:rsidRDefault="00F26627" w:rsidP="00F26627">
            <w:pPr>
              <w:spacing w:after="0" w:line="240" w:lineRule="auto"/>
              <w:rPr>
                <w:rFonts w:ascii="Calibri" w:eastAsia="Times New Roman" w:hAnsi="Calibri" w:cs="Calibri"/>
                <w:color w:val="000000"/>
              </w:rPr>
            </w:pPr>
          </w:p>
        </w:tc>
        <w:tc>
          <w:tcPr>
            <w:tcW w:w="9652" w:type="dxa"/>
            <w:gridSpan w:val="3"/>
            <w:tcBorders>
              <w:top w:val="nil"/>
              <w:left w:val="nil"/>
              <w:bottom w:val="nil"/>
              <w:right w:val="nil"/>
            </w:tcBorders>
            <w:shd w:val="clear" w:color="auto" w:fill="auto"/>
            <w:noWrap/>
            <w:vAlign w:val="bottom"/>
            <w:hideMark/>
          </w:tcPr>
          <w:p w14:paraId="1FF9C794"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3rd Party CR has regained/transaction completed</w:t>
            </w:r>
          </w:p>
        </w:tc>
      </w:tr>
      <w:tr w:rsidR="00F26627" w:rsidRPr="00F26627" w14:paraId="38BDC0CB" w14:textId="77777777" w:rsidTr="007421B4">
        <w:trPr>
          <w:gridBefore w:val="2"/>
          <w:wBefore w:w="483" w:type="dxa"/>
          <w:trHeight w:val="288"/>
        </w:trPr>
        <w:tc>
          <w:tcPr>
            <w:tcW w:w="665" w:type="dxa"/>
            <w:gridSpan w:val="2"/>
            <w:tcBorders>
              <w:top w:val="nil"/>
              <w:left w:val="nil"/>
              <w:bottom w:val="nil"/>
              <w:right w:val="nil"/>
            </w:tcBorders>
            <w:shd w:val="clear" w:color="auto" w:fill="auto"/>
            <w:noWrap/>
            <w:vAlign w:val="bottom"/>
            <w:hideMark/>
          </w:tcPr>
          <w:p w14:paraId="242C8A49" w14:textId="77777777" w:rsidR="00F26627" w:rsidRPr="00F26627" w:rsidRDefault="00F26627" w:rsidP="00F26627">
            <w:pPr>
              <w:spacing w:after="0" w:line="240" w:lineRule="auto"/>
              <w:rPr>
                <w:rFonts w:ascii="Calibri" w:eastAsia="Times New Roman" w:hAnsi="Calibri" w:cs="Calibri"/>
                <w:color w:val="000000"/>
              </w:rPr>
            </w:pPr>
          </w:p>
        </w:tc>
        <w:tc>
          <w:tcPr>
            <w:tcW w:w="9652" w:type="dxa"/>
            <w:gridSpan w:val="3"/>
            <w:tcBorders>
              <w:top w:val="nil"/>
              <w:left w:val="nil"/>
              <w:bottom w:val="nil"/>
              <w:right w:val="nil"/>
            </w:tcBorders>
            <w:shd w:val="clear" w:color="auto" w:fill="auto"/>
            <w:noWrap/>
            <w:vAlign w:val="bottom"/>
            <w:hideMark/>
          </w:tcPr>
          <w:p w14:paraId="5BC1E6BD"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Other</w:t>
            </w:r>
          </w:p>
        </w:tc>
      </w:tr>
      <w:tr w:rsidR="00F26627" w:rsidRPr="00F26627" w14:paraId="33905DB0" w14:textId="77777777" w:rsidTr="007421B4">
        <w:trPr>
          <w:gridBefore w:val="2"/>
          <w:gridAfter w:val="1"/>
          <w:wBefore w:w="483" w:type="dxa"/>
          <w:wAfter w:w="178" w:type="dxa"/>
          <w:trHeight w:val="288"/>
        </w:trPr>
        <w:tc>
          <w:tcPr>
            <w:tcW w:w="10139" w:type="dxa"/>
            <w:gridSpan w:val="4"/>
            <w:tcBorders>
              <w:top w:val="nil"/>
              <w:left w:val="nil"/>
              <w:bottom w:val="nil"/>
              <w:right w:val="nil"/>
            </w:tcBorders>
            <w:shd w:val="clear" w:color="auto" w:fill="auto"/>
            <w:noWrap/>
            <w:vAlign w:val="bottom"/>
            <w:hideMark/>
          </w:tcPr>
          <w:p w14:paraId="50785637" w14:textId="77777777" w:rsidR="00F26627" w:rsidRPr="00F26627" w:rsidRDefault="00F26627" w:rsidP="00F26627">
            <w:pPr>
              <w:spacing w:after="0" w:line="240" w:lineRule="auto"/>
              <w:rPr>
                <w:rFonts w:ascii="Calibri" w:eastAsia="Times New Roman" w:hAnsi="Calibri" w:cs="Calibri"/>
                <w:b/>
                <w:bCs/>
                <w:color w:val="000000"/>
                <w:u w:val="single"/>
              </w:rPr>
            </w:pPr>
            <w:r w:rsidRPr="00F26627">
              <w:rPr>
                <w:rFonts w:ascii="Calibri" w:eastAsia="Times New Roman" w:hAnsi="Calibri" w:cs="Calibri"/>
                <w:b/>
                <w:bCs/>
                <w:color w:val="000000"/>
                <w:u w:val="single"/>
              </w:rPr>
              <w:t>Inadvertent Losses</w:t>
            </w:r>
          </w:p>
        </w:tc>
      </w:tr>
      <w:tr w:rsidR="00F26627" w:rsidRPr="00F26627" w14:paraId="096DDDFF" w14:textId="77777777" w:rsidTr="007421B4">
        <w:trPr>
          <w:gridBefore w:val="2"/>
          <w:gridAfter w:val="1"/>
          <w:wBefore w:w="483" w:type="dxa"/>
          <w:wAfter w:w="178" w:type="dxa"/>
          <w:trHeight w:val="288"/>
        </w:trPr>
        <w:tc>
          <w:tcPr>
            <w:tcW w:w="240" w:type="dxa"/>
            <w:tcBorders>
              <w:top w:val="nil"/>
              <w:left w:val="nil"/>
              <w:bottom w:val="nil"/>
              <w:right w:val="nil"/>
            </w:tcBorders>
            <w:shd w:val="clear" w:color="auto" w:fill="auto"/>
            <w:noWrap/>
            <w:vAlign w:val="bottom"/>
            <w:hideMark/>
          </w:tcPr>
          <w:p w14:paraId="4466FD62" w14:textId="77777777" w:rsidR="00F26627" w:rsidRPr="00F26627" w:rsidRDefault="00F26627" w:rsidP="00F26627">
            <w:pPr>
              <w:spacing w:after="0" w:line="240" w:lineRule="auto"/>
              <w:rPr>
                <w:rFonts w:ascii="Calibri" w:eastAsia="Times New Roman" w:hAnsi="Calibri" w:cs="Calibri"/>
                <w:b/>
                <w:bCs/>
                <w:color w:val="000000"/>
              </w:rPr>
            </w:pPr>
          </w:p>
        </w:tc>
        <w:tc>
          <w:tcPr>
            <w:tcW w:w="9899" w:type="dxa"/>
            <w:gridSpan w:val="3"/>
            <w:tcBorders>
              <w:top w:val="nil"/>
              <w:left w:val="nil"/>
              <w:bottom w:val="nil"/>
              <w:right w:val="nil"/>
            </w:tcBorders>
            <w:shd w:val="clear" w:color="auto" w:fill="auto"/>
            <w:noWrap/>
            <w:vAlign w:val="bottom"/>
            <w:hideMark/>
          </w:tcPr>
          <w:p w14:paraId="3E136747"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3rd Party CR has regained/transaction completed</w:t>
            </w:r>
          </w:p>
        </w:tc>
      </w:tr>
      <w:tr w:rsidR="00F26627" w:rsidRPr="00F26627" w14:paraId="6442D9F8" w14:textId="77777777" w:rsidTr="007421B4">
        <w:trPr>
          <w:gridBefore w:val="2"/>
          <w:gridAfter w:val="1"/>
          <w:wBefore w:w="483" w:type="dxa"/>
          <w:wAfter w:w="178" w:type="dxa"/>
          <w:trHeight w:val="288"/>
        </w:trPr>
        <w:tc>
          <w:tcPr>
            <w:tcW w:w="240" w:type="dxa"/>
            <w:tcBorders>
              <w:top w:val="nil"/>
              <w:left w:val="nil"/>
              <w:bottom w:val="nil"/>
              <w:right w:val="nil"/>
            </w:tcBorders>
            <w:shd w:val="clear" w:color="auto" w:fill="auto"/>
            <w:noWrap/>
            <w:vAlign w:val="bottom"/>
            <w:hideMark/>
          </w:tcPr>
          <w:p w14:paraId="56EA32E3" w14:textId="77777777" w:rsidR="00F26627" w:rsidRPr="00F26627" w:rsidRDefault="00F26627" w:rsidP="00F26627">
            <w:pPr>
              <w:spacing w:after="0" w:line="240" w:lineRule="auto"/>
              <w:rPr>
                <w:rFonts w:ascii="Calibri" w:eastAsia="Times New Roman" w:hAnsi="Calibri" w:cs="Calibri"/>
                <w:color w:val="000000"/>
              </w:rPr>
            </w:pPr>
          </w:p>
        </w:tc>
        <w:tc>
          <w:tcPr>
            <w:tcW w:w="9899" w:type="dxa"/>
            <w:gridSpan w:val="3"/>
            <w:tcBorders>
              <w:top w:val="nil"/>
              <w:left w:val="nil"/>
              <w:bottom w:val="nil"/>
              <w:right w:val="nil"/>
            </w:tcBorders>
            <w:shd w:val="clear" w:color="auto" w:fill="auto"/>
            <w:noWrap/>
            <w:vAlign w:val="bottom"/>
            <w:hideMark/>
          </w:tcPr>
          <w:p w14:paraId="71AF1198"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 xml:space="preserve">Duplicate Issue </w:t>
            </w:r>
          </w:p>
        </w:tc>
      </w:tr>
      <w:tr w:rsidR="00F26627" w:rsidRPr="00F26627" w14:paraId="6FC69E10" w14:textId="77777777" w:rsidTr="007421B4">
        <w:trPr>
          <w:gridAfter w:val="2"/>
          <w:wAfter w:w="763" w:type="dxa"/>
          <w:trHeight w:val="288"/>
        </w:trPr>
        <w:tc>
          <w:tcPr>
            <w:tcW w:w="221" w:type="dxa"/>
            <w:tcBorders>
              <w:top w:val="nil"/>
              <w:left w:val="nil"/>
              <w:bottom w:val="nil"/>
              <w:right w:val="nil"/>
            </w:tcBorders>
            <w:shd w:val="clear" w:color="auto" w:fill="auto"/>
            <w:noWrap/>
            <w:vAlign w:val="bottom"/>
            <w:hideMark/>
          </w:tcPr>
          <w:p w14:paraId="73B0F2B5" w14:textId="77777777" w:rsidR="00F26627" w:rsidRPr="00F26627" w:rsidRDefault="00F26627" w:rsidP="00F26627">
            <w:pPr>
              <w:spacing w:after="0" w:line="240" w:lineRule="auto"/>
              <w:rPr>
                <w:rFonts w:ascii="Calibri" w:eastAsia="Times New Roman" w:hAnsi="Calibri" w:cs="Calibri"/>
                <w:color w:val="000000"/>
              </w:rPr>
            </w:pPr>
          </w:p>
        </w:tc>
        <w:tc>
          <w:tcPr>
            <w:tcW w:w="9816" w:type="dxa"/>
            <w:gridSpan w:val="4"/>
            <w:tcBorders>
              <w:top w:val="nil"/>
              <w:left w:val="nil"/>
              <w:bottom w:val="nil"/>
              <w:right w:val="nil"/>
            </w:tcBorders>
            <w:shd w:val="clear" w:color="auto" w:fill="auto"/>
            <w:noWrap/>
            <w:vAlign w:val="bottom"/>
            <w:hideMark/>
          </w:tcPr>
          <w:p w14:paraId="45AA6CFB" w14:textId="07E21E92" w:rsidR="00F26627" w:rsidRDefault="00F26627" w:rsidP="00F26627">
            <w:pPr>
              <w:spacing w:after="0" w:line="240" w:lineRule="auto"/>
              <w:ind w:left="720"/>
              <w:rPr>
                <w:rFonts w:ascii="Calibri" w:eastAsia="Times New Roman" w:hAnsi="Calibri" w:cs="Calibri"/>
                <w:color w:val="000000"/>
              </w:rPr>
            </w:pPr>
            <w:r w:rsidRPr="00F26627">
              <w:rPr>
                <w:rFonts w:ascii="Calibri" w:eastAsia="Times New Roman" w:hAnsi="Calibri" w:cs="Calibri"/>
                <w:color w:val="000000"/>
              </w:rPr>
              <w:t>Other (comments</w:t>
            </w:r>
            <w:r>
              <w:rPr>
                <w:rFonts w:ascii="Calibri" w:eastAsia="Times New Roman" w:hAnsi="Calibri" w:cs="Calibri"/>
                <w:color w:val="000000"/>
              </w:rPr>
              <w:t>)</w:t>
            </w:r>
          </w:p>
          <w:tbl>
            <w:tblPr>
              <w:tblW w:w="7005" w:type="dxa"/>
              <w:tblInd w:w="612" w:type="dxa"/>
              <w:tblLook w:val="04A0" w:firstRow="1" w:lastRow="0" w:firstColumn="1" w:lastColumn="0" w:noHBand="0" w:noVBand="1"/>
            </w:tblPr>
            <w:tblGrid>
              <w:gridCol w:w="1239"/>
              <w:gridCol w:w="5766"/>
            </w:tblGrid>
            <w:tr w:rsidR="00F26627" w:rsidRPr="00F26627" w14:paraId="5E165991" w14:textId="77777777" w:rsidTr="00F26627">
              <w:trPr>
                <w:trHeight w:val="288"/>
              </w:trPr>
              <w:tc>
                <w:tcPr>
                  <w:tcW w:w="1239" w:type="dxa"/>
                  <w:tcBorders>
                    <w:top w:val="nil"/>
                    <w:left w:val="nil"/>
                    <w:bottom w:val="nil"/>
                    <w:right w:val="nil"/>
                  </w:tcBorders>
                  <w:shd w:val="clear" w:color="auto" w:fill="auto"/>
                  <w:noWrap/>
                  <w:vAlign w:val="bottom"/>
                  <w:hideMark/>
                </w:tcPr>
                <w:p w14:paraId="7D0004D9" w14:textId="77777777" w:rsidR="00F26627" w:rsidRPr="00F26627" w:rsidRDefault="00F26627" w:rsidP="00F26627">
                  <w:pPr>
                    <w:spacing w:after="0" w:line="240" w:lineRule="auto"/>
                    <w:rPr>
                      <w:rFonts w:ascii="Calibri" w:eastAsia="Times New Roman" w:hAnsi="Calibri" w:cs="Calibri"/>
                      <w:b/>
                      <w:bCs/>
                      <w:color w:val="000000"/>
                      <w:u w:val="single"/>
                    </w:rPr>
                  </w:pPr>
                  <w:r w:rsidRPr="00F26627">
                    <w:rPr>
                      <w:rFonts w:ascii="Calibri" w:eastAsia="Times New Roman" w:hAnsi="Calibri" w:cs="Calibri"/>
                      <w:b/>
                      <w:bCs/>
                      <w:color w:val="000000"/>
                      <w:u w:val="single"/>
                    </w:rPr>
                    <w:t>Rescissions</w:t>
                  </w:r>
                </w:p>
              </w:tc>
              <w:tc>
                <w:tcPr>
                  <w:tcW w:w="5766" w:type="dxa"/>
                  <w:tcBorders>
                    <w:top w:val="nil"/>
                    <w:left w:val="nil"/>
                    <w:bottom w:val="nil"/>
                    <w:right w:val="nil"/>
                  </w:tcBorders>
                  <w:shd w:val="clear" w:color="auto" w:fill="auto"/>
                  <w:noWrap/>
                  <w:vAlign w:val="bottom"/>
                  <w:hideMark/>
                </w:tcPr>
                <w:p w14:paraId="04C6EA47" w14:textId="77777777" w:rsidR="00F26627" w:rsidRPr="00F26627" w:rsidRDefault="00F26627" w:rsidP="00F26627">
                  <w:pPr>
                    <w:spacing w:after="0" w:line="240" w:lineRule="auto"/>
                    <w:rPr>
                      <w:rFonts w:ascii="Calibri" w:eastAsia="Times New Roman" w:hAnsi="Calibri" w:cs="Calibri"/>
                      <w:b/>
                      <w:bCs/>
                      <w:color w:val="000000"/>
                      <w:u w:val="single"/>
                    </w:rPr>
                  </w:pPr>
                </w:p>
              </w:tc>
            </w:tr>
            <w:tr w:rsidR="00F26627" w:rsidRPr="00F26627" w14:paraId="7F6B22C1" w14:textId="77777777" w:rsidTr="00F26627">
              <w:trPr>
                <w:trHeight w:val="288"/>
              </w:trPr>
              <w:tc>
                <w:tcPr>
                  <w:tcW w:w="1239" w:type="dxa"/>
                  <w:tcBorders>
                    <w:top w:val="nil"/>
                    <w:left w:val="nil"/>
                    <w:bottom w:val="nil"/>
                    <w:right w:val="nil"/>
                  </w:tcBorders>
                  <w:shd w:val="clear" w:color="auto" w:fill="auto"/>
                  <w:noWrap/>
                  <w:vAlign w:val="bottom"/>
                  <w:hideMark/>
                </w:tcPr>
                <w:p w14:paraId="1A76FD39" w14:textId="77777777" w:rsidR="00F26627" w:rsidRPr="00F26627" w:rsidRDefault="00F26627" w:rsidP="00F26627">
                  <w:pPr>
                    <w:spacing w:after="0" w:line="240" w:lineRule="auto"/>
                    <w:rPr>
                      <w:rFonts w:ascii="Times New Roman" w:eastAsia="Times New Roman" w:hAnsi="Times New Roman" w:cs="Times New Roman"/>
                      <w:sz w:val="20"/>
                      <w:szCs w:val="20"/>
                    </w:rPr>
                  </w:pPr>
                </w:p>
              </w:tc>
              <w:tc>
                <w:tcPr>
                  <w:tcW w:w="5766" w:type="dxa"/>
                  <w:tcBorders>
                    <w:top w:val="nil"/>
                    <w:left w:val="nil"/>
                    <w:bottom w:val="nil"/>
                    <w:right w:val="nil"/>
                  </w:tcBorders>
                  <w:shd w:val="clear" w:color="auto" w:fill="auto"/>
                  <w:noWrap/>
                  <w:vAlign w:val="bottom"/>
                  <w:hideMark/>
                </w:tcPr>
                <w:p w14:paraId="61DD3C9C"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None</w:t>
                  </w:r>
                </w:p>
              </w:tc>
            </w:tr>
            <w:tr w:rsidR="00F26627" w:rsidRPr="00F26627" w14:paraId="4DB8B079" w14:textId="77777777" w:rsidTr="00F26627">
              <w:trPr>
                <w:trHeight w:val="288"/>
              </w:trPr>
              <w:tc>
                <w:tcPr>
                  <w:tcW w:w="1239" w:type="dxa"/>
                  <w:tcBorders>
                    <w:top w:val="nil"/>
                    <w:left w:val="nil"/>
                    <w:bottom w:val="nil"/>
                    <w:right w:val="nil"/>
                  </w:tcBorders>
                  <w:shd w:val="clear" w:color="auto" w:fill="auto"/>
                  <w:noWrap/>
                  <w:vAlign w:val="bottom"/>
                  <w:hideMark/>
                </w:tcPr>
                <w:p w14:paraId="4C215081" w14:textId="77777777" w:rsidR="00F26627" w:rsidRPr="00F26627" w:rsidRDefault="00F26627" w:rsidP="00F26627">
                  <w:pPr>
                    <w:spacing w:after="0" w:line="240" w:lineRule="auto"/>
                    <w:rPr>
                      <w:rFonts w:ascii="Calibri" w:eastAsia="Times New Roman" w:hAnsi="Calibri" w:cs="Calibri"/>
                      <w:color w:val="000000"/>
                    </w:rPr>
                  </w:pPr>
                </w:p>
              </w:tc>
              <w:tc>
                <w:tcPr>
                  <w:tcW w:w="5766" w:type="dxa"/>
                  <w:tcBorders>
                    <w:top w:val="nil"/>
                    <w:left w:val="nil"/>
                    <w:bottom w:val="nil"/>
                    <w:right w:val="nil"/>
                  </w:tcBorders>
                  <w:shd w:val="clear" w:color="auto" w:fill="auto"/>
                  <w:noWrap/>
                  <w:vAlign w:val="bottom"/>
                  <w:hideMark/>
                </w:tcPr>
                <w:p w14:paraId="351A5196"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Authorized Enrollment Confirmed</w:t>
                  </w:r>
                </w:p>
              </w:tc>
            </w:tr>
            <w:tr w:rsidR="00F26627" w:rsidRPr="00F26627" w14:paraId="20CFECA4" w14:textId="77777777" w:rsidTr="00F26627">
              <w:trPr>
                <w:trHeight w:val="288"/>
              </w:trPr>
              <w:tc>
                <w:tcPr>
                  <w:tcW w:w="1239" w:type="dxa"/>
                  <w:tcBorders>
                    <w:top w:val="nil"/>
                    <w:left w:val="nil"/>
                    <w:bottom w:val="nil"/>
                    <w:right w:val="nil"/>
                  </w:tcBorders>
                  <w:shd w:val="clear" w:color="auto" w:fill="auto"/>
                  <w:noWrap/>
                  <w:vAlign w:val="bottom"/>
                  <w:hideMark/>
                </w:tcPr>
                <w:p w14:paraId="4156E8A6" w14:textId="77777777" w:rsidR="00F26627" w:rsidRPr="00F26627" w:rsidRDefault="00F26627" w:rsidP="00F26627">
                  <w:pPr>
                    <w:spacing w:after="0" w:line="240" w:lineRule="auto"/>
                    <w:rPr>
                      <w:rFonts w:ascii="Calibri" w:eastAsia="Times New Roman" w:hAnsi="Calibri" w:cs="Calibri"/>
                      <w:color w:val="000000"/>
                    </w:rPr>
                  </w:pPr>
                </w:p>
              </w:tc>
              <w:tc>
                <w:tcPr>
                  <w:tcW w:w="5766" w:type="dxa"/>
                  <w:tcBorders>
                    <w:top w:val="nil"/>
                    <w:left w:val="nil"/>
                    <w:bottom w:val="nil"/>
                    <w:right w:val="nil"/>
                  </w:tcBorders>
                  <w:shd w:val="clear" w:color="auto" w:fill="auto"/>
                  <w:noWrap/>
                  <w:vAlign w:val="bottom"/>
                  <w:hideMark/>
                </w:tcPr>
                <w:p w14:paraId="3E280837"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 xml:space="preserve">Duplicate Issue </w:t>
                  </w:r>
                </w:p>
              </w:tc>
            </w:tr>
            <w:tr w:rsidR="00F26627" w:rsidRPr="00F26627" w14:paraId="5FDF16CB" w14:textId="77777777" w:rsidTr="00F26627">
              <w:trPr>
                <w:trHeight w:val="288"/>
              </w:trPr>
              <w:tc>
                <w:tcPr>
                  <w:tcW w:w="1239" w:type="dxa"/>
                  <w:tcBorders>
                    <w:top w:val="nil"/>
                    <w:left w:val="nil"/>
                    <w:bottom w:val="nil"/>
                    <w:right w:val="nil"/>
                  </w:tcBorders>
                  <w:shd w:val="clear" w:color="auto" w:fill="auto"/>
                  <w:noWrap/>
                  <w:vAlign w:val="bottom"/>
                  <w:hideMark/>
                </w:tcPr>
                <w:p w14:paraId="63B60E11" w14:textId="77777777" w:rsidR="00F26627" w:rsidRPr="00F26627" w:rsidRDefault="00F26627" w:rsidP="00F26627">
                  <w:pPr>
                    <w:spacing w:after="0" w:line="240" w:lineRule="auto"/>
                    <w:rPr>
                      <w:rFonts w:ascii="Calibri" w:eastAsia="Times New Roman" w:hAnsi="Calibri" w:cs="Calibri"/>
                      <w:color w:val="000000"/>
                    </w:rPr>
                  </w:pPr>
                </w:p>
              </w:tc>
              <w:tc>
                <w:tcPr>
                  <w:tcW w:w="5766" w:type="dxa"/>
                  <w:tcBorders>
                    <w:top w:val="nil"/>
                    <w:left w:val="nil"/>
                    <w:bottom w:val="nil"/>
                    <w:right w:val="nil"/>
                  </w:tcBorders>
                  <w:shd w:val="clear" w:color="auto" w:fill="auto"/>
                  <w:noWrap/>
                  <w:vAlign w:val="bottom"/>
                  <w:hideMark/>
                </w:tcPr>
                <w:p w14:paraId="5A468EBF"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3rd Party CR has regained/transaction completed</w:t>
                  </w:r>
                </w:p>
              </w:tc>
            </w:tr>
            <w:tr w:rsidR="00F26627" w:rsidRPr="00F26627" w14:paraId="0B577C37" w14:textId="77777777" w:rsidTr="00F26627">
              <w:trPr>
                <w:trHeight w:val="288"/>
              </w:trPr>
              <w:tc>
                <w:tcPr>
                  <w:tcW w:w="1239" w:type="dxa"/>
                  <w:tcBorders>
                    <w:top w:val="nil"/>
                    <w:left w:val="nil"/>
                    <w:bottom w:val="nil"/>
                    <w:right w:val="nil"/>
                  </w:tcBorders>
                  <w:shd w:val="clear" w:color="auto" w:fill="auto"/>
                  <w:noWrap/>
                  <w:vAlign w:val="bottom"/>
                  <w:hideMark/>
                </w:tcPr>
                <w:p w14:paraId="0C7A48AF" w14:textId="77777777" w:rsidR="00F26627" w:rsidRPr="00F26627" w:rsidRDefault="00F26627" w:rsidP="00F26627">
                  <w:pPr>
                    <w:spacing w:after="0" w:line="240" w:lineRule="auto"/>
                    <w:rPr>
                      <w:rFonts w:ascii="Calibri" w:eastAsia="Times New Roman" w:hAnsi="Calibri" w:cs="Calibri"/>
                      <w:color w:val="000000"/>
                    </w:rPr>
                  </w:pPr>
                </w:p>
              </w:tc>
              <w:tc>
                <w:tcPr>
                  <w:tcW w:w="5766" w:type="dxa"/>
                  <w:tcBorders>
                    <w:top w:val="nil"/>
                    <w:left w:val="nil"/>
                    <w:bottom w:val="nil"/>
                    <w:right w:val="nil"/>
                  </w:tcBorders>
                  <w:shd w:val="clear" w:color="auto" w:fill="auto"/>
                  <w:noWrap/>
                  <w:vAlign w:val="bottom"/>
                  <w:hideMark/>
                </w:tcPr>
                <w:p w14:paraId="4A431A5F"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Other</w:t>
                  </w:r>
                </w:p>
              </w:tc>
            </w:tr>
            <w:tr w:rsidR="00F26627" w:rsidRPr="00F26627" w14:paraId="11D00B41" w14:textId="77777777" w:rsidTr="00F26627">
              <w:trPr>
                <w:trHeight w:val="288"/>
              </w:trPr>
              <w:tc>
                <w:tcPr>
                  <w:tcW w:w="7005" w:type="dxa"/>
                  <w:gridSpan w:val="2"/>
                  <w:tcBorders>
                    <w:top w:val="nil"/>
                    <w:left w:val="nil"/>
                    <w:bottom w:val="nil"/>
                    <w:right w:val="nil"/>
                  </w:tcBorders>
                  <w:shd w:val="clear" w:color="auto" w:fill="auto"/>
                  <w:noWrap/>
                  <w:vAlign w:val="bottom"/>
                  <w:hideMark/>
                </w:tcPr>
                <w:p w14:paraId="36450B52" w14:textId="77777777" w:rsidR="00F26627" w:rsidRPr="00F26627" w:rsidRDefault="00F26627" w:rsidP="00F26627">
                  <w:pPr>
                    <w:spacing w:after="0" w:line="240" w:lineRule="auto"/>
                    <w:rPr>
                      <w:rFonts w:ascii="Calibri" w:eastAsia="Times New Roman" w:hAnsi="Calibri" w:cs="Calibri"/>
                      <w:b/>
                      <w:bCs/>
                      <w:color w:val="000000"/>
                      <w:u w:val="single"/>
                    </w:rPr>
                  </w:pPr>
                  <w:r w:rsidRPr="00F26627">
                    <w:rPr>
                      <w:rFonts w:ascii="Calibri" w:eastAsia="Times New Roman" w:hAnsi="Calibri" w:cs="Calibri"/>
                      <w:b/>
                      <w:bCs/>
                      <w:color w:val="000000"/>
                      <w:u w:val="single"/>
                    </w:rPr>
                    <w:t>Cancel w/ &amp; w/o Approval</w:t>
                  </w:r>
                </w:p>
              </w:tc>
            </w:tr>
            <w:tr w:rsidR="00F26627" w:rsidRPr="00F26627" w14:paraId="5BFCF18E" w14:textId="77777777" w:rsidTr="00F26627">
              <w:trPr>
                <w:trHeight w:val="288"/>
              </w:trPr>
              <w:tc>
                <w:tcPr>
                  <w:tcW w:w="1239" w:type="dxa"/>
                  <w:tcBorders>
                    <w:top w:val="nil"/>
                    <w:left w:val="nil"/>
                    <w:bottom w:val="nil"/>
                    <w:right w:val="nil"/>
                  </w:tcBorders>
                  <w:shd w:val="clear" w:color="auto" w:fill="auto"/>
                  <w:noWrap/>
                  <w:vAlign w:val="bottom"/>
                  <w:hideMark/>
                </w:tcPr>
                <w:p w14:paraId="754C7482" w14:textId="77777777" w:rsidR="00F26627" w:rsidRPr="00F26627" w:rsidRDefault="00F26627" w:rsidP="00F26627">
                  <w:pPr>
                    <w:spacing w:after="0" w:line="240" w:lineRule="auto"/>
                    <w:rPr>
                      <w:rFonts w:ascii="Calibri" w:eastAsia="Times New Roman" w:hAnsi="Calibri" w:cs="Calibri"/>
                      <w:b/>
                      <w:bCs/>
                      <w:color w:val="000000"/>
                    </w:rPr>
                  </w:pPr>
                </w:p>
              </w:tc>
              <w:tc>
                <w:tcPr>
                  <w:tcW w:w="5766" w:type="dxa"/>
                  <w:tcBorders>
                    <w:top w:val="nil"/>
                    <w:left w:val="nil"/>
                    <w:bottom w:val="nil"/>
                    <w:right w:val="nil"/>
                  </w:tcBorders>
                  <w:shd w:val="clear" w:color="auto" w:fill="auto"/>
                  <w:noWrap/>
                  <w:vAlign w:val="bottom"/>
                  <w:hideMark/>
                </w:tcPr>
                <w:p w14:paraId="111E8C66" w14:textId="77777777" w:rsidR="00F26627" w:rsidRPr="00F26627" w:rsidRDefault="00F26627" w:rsidP="00F26627">
                  <w:pPr>
                    <w:spacing w:after="0" w:line="240" w:lineRule="auto"/>
                    <w:rPr>
                      <w:rFonts w:ascii="Calibri" w:eastAsia="Times New Roman" w:hAnsi="Calibri" w:cs="Calibri"/>
                      <w:color w:val="000000"/>
                    </w:rPr>
                  </w:pPr>
                  <w:r w:rsidRPr="00F26627">
                    <w:rPr>
                      <w:rFonts w:ascii="Calibri" w:eastAsia="Times New Roman" w:hAnsi="Calibri" w:cs="Calibri"/>
                      <w:color w:val="000000"/>
                    </w:rPr>
                    <w:t>Unable to Cancel (</w:t>
                  </w:r>
                  <w:proofErr w:type="gramStart"/>
                  <w:r w:rsidRPr="00F26627">
                    <w:rPr>
                      <w:rFonts w:ascii="Calibri" w:eastAsia="Times New Roman" w:hAnsi="Calibri" w:cs="Calibri"/>
                      <w:color w:val="000000"/>
                    </w:rPr>
                    <w:t>similar to</w:t>
                  </w:r>
                  <w:proofErr w:type="gramEnd"/>
                  <w:r w:rsidRPr="00F26627">
                    <w:rPr>
                      <w:rFonts w:ascii="Calibri" w:eastAsia="Times New Roman" w:hAnsi="Calibri" w:cs="Calibri"/>
                      <w:color w:val="000000"/>
                    </w:rPr>
                    <w:t xml:space="preserve"> </w:t>
                  </w:r>
                  <w:proofErr w:type="spellStart"/>
                  <w:r w:rsidRPr="00F26627">
                    <w:rPr>
                      <w:rFonts w:ascii="Calibri" w:eastAsia="Times New Roman" w:hAnsi="Calibri" w:cs="Calibri"/>
                      <w:color w:val="000000"/>
                    </w:rPr>
                    <w:t>Unexecutable</w:t>
                  </w:r>
                  <w:proofErr w:type="spellEnd"/>
                  <w:r w:rsidRPr="00F26627">
                    <w:rPr>
                      <w:rFonts w:ascii="Calibri" w:eastAsia="Times New Roman" w:hAnsi="Calibri" w:cs="Calibri"/>
                      <w:color w:val="000000"/>
                    </w:rPr>
                    <w:t>) - no reasons</w:t>
                  </w:r>
                </w:p>
              </w:tc>
            </w:tr>
            <w:tr w:rsidR="00F26627" w:rsidRPr="00F26627" w14:paraId="508D1F23" w14:textId="77777777" w:rsidTr="00F26627">
              <w:trPr>
                <w:trHeight w:val="288"/>
              </w:trPr>
              <w:tc>
                <w:tcPr>
                  <w:tcW w:w="7005" w:type="dxa"/>
                  <w:gridSpan w:val="2"/>
                  <w:tcBorders>
                    <w:top w:val="nil"/>
                    <w:left w:val="nil"/>
                    <w:bottom w:val="nil"/>
                    <w:right w:val="nil"/>
                  </w:tcBorders>
                  <w:shd w:val="clear" w:color="auto" w:fill="auto"/>
                  <w:noWrap/>
                  <w:vAlign w:val="bottom"/>
                  <w:hideMark/>
                </w:tcPr>
                <w:p w14:paraId="11CBBFE3" w14:textId="306C72E6" w:rsidR="00F26627" w:rsidRPr="00F26627" w:rsidRDefault="00F26627" w:rsidP="00F26627">
                  <w:pPr>
                    <w:spacing w:after="0" w:line="240" w:lineRule="auto"/>
                    <w:rPr>
                      <w:rFonts w:ascii="Calibri" w:eastAsia="Times New Roman" w:hAnsi="Calibri" w:cs="Calibri"/>
                      <w:b/>
                      <w:bCs/>
                      <w:color w:val="000000"/>
                    </w:rPr>
                  </w:pPr>
                  <w:r w:rsidRPr="00F26627">
                    <w:rPr>
                      <w:rFonts w:ascii="Calibri" w:eastAsia="Times New Roman" w:hAnsi="Calibri" w:cs="Calibri"/>
                      <w:b/>
                      <w:bCs/>
                      <w:color w:val="000000"/>
                      <w:u w:val="single"/>
                    </w:rPr>
                    <w:t xml:space="preserve">Missing Enrollment </w:t>
                  </w:r>
                  <w:proofErr w:type="gramStart"/>
                  <w:r w:rsidRPr="00F26627">
                    <w:rPr>
                      <w:rFonts w:ascii="Calibri" w:eastAsia="Times New Roman" w:hAnsi="Calibri" w:cs="Calibri"/>
                      <w:b/>
                      <w:bCs/>
                      <w:color w:val="000000"/>
                      <w:u w:val="single"/>
                    </w:rPr>
                    <w:t xml:space="preserve">Transactions </w:t>
                  </w:r>
                  <w:r w:rsidRPr="00F26627">
                    <w:rPr>
                      <w:rFonts w:ascii="Calibri" w:eastAsia="Times New Roman" w:hAnsi="Calibri" w:cs="Calibri"/>
                      <w:b/>
                      <w:bCs/>
                      <w:color w:val="000000"/>
                    </w:rPr>
                    <w:t xml:space="preserve"> -</w:t>
                  </w:r>
                  <w:proofErr w:type="gramEnd"/>
                  <w:r w:rsidRPr="00F26627">
                    <w:rPr>
                      <w:rFonts w:ascii="Calibri" w:eastAsia="Times New Roman" w:hAnsi="Calibri" w:cs="Calibri"/>
                      <w:b/>
                      <w:bCs/>
                      <w:color w:val="000000"/>
                    </w:rPr>
                    <w:t xml:space="preserve"> </w:t>
                  </w:r>
                  <w:r w:rsidRPr="00F26627">
                    <w:rPr>
                      <w:rFonts w:ascii="Calibri" w:eastAsia="Times New Roman" w:hAnsi="Calibri" w:cs="Calibri"/>
                      <w:color w:val="FF0000"/>
                    </w:rPr>
                    <w:t>need clarity on Complete vs executable</w:t>
                  </w:r>
                </w:p>
              </w:tc>
            </w:tr>
          </w:tbl>
          <w:p w14:paraId="77D9BB5D" w14:textId="76F5D94A" w:rsidR="00F26627" w:rsidRDefault="00F26627" w:rsidP="00F26627">
            <w:pPr>
              <w:spacing w:after="0" w:line="240" w:lineRule="auto"/>
              <w:ind w:left="612"/>
              <w:rPr>
                <w:rFonts w:ascii="Calibri" w:eastAsia="Times New Roman" w:hAnsi="Calibri" w:cs="Calibri"/>
                <w:color w:val="000000"/>
              </w:rPr>
            </w:pPr>
          </w:p>
          <w:p w14:paraId="509DEB7C" w14:textId="1CE492D8" w:rsidR="00F26627" w:rsidRPr="00F26627" w:rsidRDefault="00F26627" w:rsidP="00F26627">
            <w:pPr>
              <w:spacing w:after="0" w:line="240" w:lineRule="auto"/>
              <w:ind w:left="612"/>
              <w:rPr>
                <w:rFonts w:ascii="Calibri" w:eastAsia="Times New Roman" w:hAnsi="Calibri" w:cs="Calibri"/>
                <w:b/>
                <w:bCs/>
                <w:color w:val="000000"/>
                <w:u w:val="single"/>
              </w:rPr>
            </w:pPr>
            <w:r w:rsidRPr="00F26627">
              <w:rPr>
                <w:rFonts w:ascii="Calibri" w:eastAsia="Times New Roman" w:hAnsi="Calibri" w:cs="Calibri"/>
                <w:b/>
                <w:bCs/>
                <w:color w:val="000000"/>
                <w:u w:val="single"/>
              </w:rPr>
              <w:t>Switch Hold Removal</w:t>
            </w:r>
          </w:p>
          <w:tbl>
            <w:tblPr>
              <w:tblW w:w="9972" w:type="dxa"/>
              <w:tblLook w:val="04A0" w:firstRow="1" w:lastRow="0" w:firstColumn="1" w:lastColumn="0" w:noHBand="0" w:noVBand="1"/>
            </w:tblPr>
            <w:tblGrid>
              <w:gridCol w:w="598"/>
              <w:gridCol w:w="8443"/>
              <w:gridCol w:w="590"/>
            </w:tblGrid>
            <w:tr w:rsidR="00F26627" w:rsidRPr="00F26627" w14:paraId="37BB5827" w14:textId="77777777" w:rsidTr="00F26627">
              <w:trPr>
                <w:gridBefore w:val="1"/>
                <w:wBefore w:w="612" w:type="dxa"/>
                <w:trHeight w:val="288"/>
              </w:trPr>
              <w:tc>
                <w:tcPr>
                  <w:tcW w:w="9360" w:type="dxa"/>
                  <w:gridSpan w:val="2"/>
                  <w:tcBorders>
                    <w:top w:val="nil"/>
                    <w:left w:val="nil"/>
                    <w:bottom w:val="nil"/>
                    <w:right w:val="nil"/>
                  </w:tcBorders>
                  <w:shd w:val="clear" w:color="auto" w:fill="auto"/>
                  <w:noWrap/>
                  <w:vAlign w:val="center"/>
                  <w:hideMark/>
                </w:tcPr>
                <w:p w14:paraId="23D83022" w14:textId="77777777" w:rsidR="00F26627" w:rsidRPr="00F26627" w:rsidRDefault="00F26627" w:rsidP="00F26627">
                  <w:pPr>
                    <w:spacing w:after="0" w:line="240" w:lineRule="auto"/>
                    <w:ind w:firstLineChars="1200" w:firstLine="2400"/>
                    <w:rPr>
                      <w:rFonts w:ascii="Symbol" w:eastAsia="Times New Roman" w:hAnsi="Symbol" w:cs="Calibri"/>
                      <w:color w:val="000000"/>
                      <w:sz w:val="20"/>
                      <w:szCs w:val="20"/>
                    </w:rPr>
                  </w:pPr>
                  <w:r w:rsidRPr="00F26627">
                    <w:rPr>
                      <w:rFonts w:ascii="Symbol" w:eastAsia="Times New Roman" w:hAnsi="Symbol" w:cs="Calibri"/>
                      <w:color w:val="000000"/>
                      <w:sz w:val="20"/>
                      <w:szCs w:val="20"/>
                    </w:rPr>
                    <w:t>o</w:t>
                  </w:r>
                  <w:r w:rsidRPr="00F26627">
                    <w:rPr>
                      <w:rFonts w:ascii="Times New Roman" w:eastAsia="Times New Roman" w:hAnsi="Times New Roman" w:cs="Times New Roman"/>
                      <w:color w:val="000000"/>
                      <w:sz w:val="14"/>
                      <w:szCs w:val="14"/>
                    </w:rPr>
                    <w:t xml:space="preserve">       </w:t>
                  </w:r>
                  <w:r w:rsidRPr="00F26627">
                    <w:rPr>
                      <w:rFonts w:ascii="Arial" w:eastAsia="Times New Roman" w:hAnsi="Arial" w:cs="Arial"/>
                      <w:color w:val="000000"/>
                      <w:sz w:val="20"/>
                      <w:szCs w:val="20"/>
                    </w:rPr>
                    <w:t>Issue is not filed for the reason of inadequate time for market participants as outlined in RMG</w:t>
                  </w:r>
                </w:p>
              </w:tc>
            </w:tr>
            <w:tr w:rsidR="00F26627" w:rsidRPr="00F26627" w14:paraId="6E2664FF" w14:textId="77777777" w:rsidTr="00F26627">
              <w:trPr>
                <w:gridBefore w:val="1"/>
                <w:wBefore w:w="612" w:type="dxa"/>
                <w:trHeight w:val="288"/>
              </w:trPr>
              <w:tc>
                <w:tcPr>
                  <w:tcW w:w="9360" w:type="dxa"/>
                  <w:gridSpan w:val="2"/>
                  <w:tcBorders>
                    <w:top w:val="nil"/>
                    <w:left w:val="nil"/>
                    <w:bottom w:val="nil"/>
                    <w:right w:val="nil"/>
                  </w:tcBorders>
                  <w:shd w:val="clear" w:color="auto" w:fill="auto"/>
                  <w:noWrap/>
                  <w:vAlign w:val="center"/>
                  <w:hideMark/>
                </w:tcPr>
                <w:p w14:paraId="293194CE" w14:textId="77777777" w:rsidR="00F26627" w:rsidRPr="00F26627" w:rsidRDefault="00F26627" w:rsidP="00F26627">
                  <w:pPr>
                    <w:spacing w:after="0" w:line="240" w:lineRule="auto"/>
                    <w:ind w:firstLineChars="1200" w:firstLine="2400"/>
                    <w:rPr>
                      <w:rFonts w:ascii="Symbol" w:eastAsia="Times New Roman" w:hAnsi="Symbol" w:cs="Calibri"/>
                      <w:color w:val="000000"/>
                      <w:sz w:val="20"/>
                      <w:szCs w:val="20"/>
                    </w:rPr>
                  </w:pPr>
                  <w:r w:rsidRPr="00F26627">
                    <w:rPr>
                      <w:rFonts w:ascii="Symbol" w:eastAsia="Times New Roman" w:hAnsi="Symbol" w:cs="Calibri"/>
                      <w:color w:val="000000"/>
                      <w:sz w:val="20"/>
                      <w:szCs w:val="20"/>
                    </w:rPr>
                    <w:t>o</w:t>
                  </w:r>
                  <w:r w:rsidRPr="00F26627">
                    <w:rPr>
                      <w:rFonts w:ascii="Times New Roman" w:eastAsia="Times New Roman" w:hAnsi="Times New Roman" w:cs="Times New Roman"/>
                      <w:color w:val="000000"/>
                      <w:sz w:val="14"/>
                      <w:szCs w:val="14"/>
                    </w:rPr>
                    <w:t xml:space="preserve">       </w:t>
                  </w:r>
                  <w:r w:rsidRPr="00F26627">
                    <w:rPr>
                      <w:rFonts w:ascii="Arial" w:eastAsia="Times New Roman" w:hAnsi="Arial" w:cs="Arial"/>
                      <w:color w:val="000000"/>
                      <w:sz w:val="20"/>
                      <w:szCs w:val="20"/>
                    </w:rPr>
                    <w:t>Further review of original Switch Hold Removal issue, verified through State Change History, reveals both the Losing CR and TDSP were each given the required one business hour, as Responsible MP, to review the issue</w:t>
                  </w:r>
                </w:p>
              </w:tc>
            </w:tr>
            <w:tr w:rsidR="00F26627" w:rsidRPr="00F26627" w14:paraId="03407469" w14:textId="77777777" w:rsidTr="00F26627">
              <w:trPr>
                <w:gridBefore w:val="1"/>
                <w:wBefore w:w="612" w:type="dxa"/>
                <w:trHeight w:val="288"/>
              </w:trPr>
              <w:tc>
                <w:tcPr>
                  <w:tcW w:w="9360" w:type="dxa"/>
                  <w:gridSpan w:val="2"/>
                  <w:tcBorders>
                    <w:top w:val="nil"/>
                    <w:left w:val="nil"/>
                    <w:bottom w:val="nil"/>
                    <w:right w:val="nil"/>
                  </w:tcBorders>
                  <w:shd w:val="clear" w:color="auto" w:fill="auto"/>
                  <w:noWrap/>
                  <w:vAlign w:val="center"/>
                  <w:hideMark/>
                </w:tcPr>
                <w:p w14:paraId="51FD7363" w14:textId="77777777" w:rsidR="00F26627" w:rsidRPr="00F26627" w:rsidRDefault="00F26627" w:rsidP="00F26627">
                  <w:pPr>
                    <w:spacing w:after="0" w:line="240" w:lineRule="auto"/>
                    <w:ind w:firstLineChars="1200" w:firstLine="2400"/>
                    <w:rPr>
                      <w:rFonts w:ascii="Symbol" w:eastAsia="Times New Roman" w:hAnsi="Symbol" w:cs="Calibri"/>
                      <w:color w:val="000000"/>
                      <w:sz w:val="20"/>
                      <w:szCs w:val="20"/>
                    </w:rPr>
                  </w:pPr>
                  <w:r w:rsidRPr="00F26627">
                    <w:rPr>
                      <w:rFonts w:ascii="Symbol" w:eastAsia="Times New Roman" w:hAnsi="Symbol" w:cs="Calibri"/>
                      <w:color w:val="000000"/>
                      <w:sz w:val="20"/>
                      <w:szCs w:val="20"/>
                    </w:rPr>
                    <w:t>o</w:t>
                  </w:r>
                  <w:r w:rsidRPr="00F26627">
                    <w:rPr>
                      <w:rFonts w:ascii="Times New Roman" w:eastAsia="Times New Roman" w:hAnsi="Times New Roman" w:cs="Times New Roman"/>
                      <w:color w:val="000000"/>
                      <w:sz w:val="14"/>
                      <w:szCs w:val="14"/>
                    </w:rPr>
                    <w:t xml:space="preserve">       </w:t>
                  </w:r>
                  <w:r w:rsidRPr="00F26627">
                    <w:rPr>
                      <w:rFonts w:ascii="Arial" w:eastAsia="Times New Roman" w:hAnsi="Arial" w:cs="Arial"/>
                      <w:color w:val="000000"/>
                      <w:sz w:val="20"/>
                      <w:szCs w:val="20"/>
                    </w:rPr>
                    <w:t>Losing CR did not assign the original Switch Hold Removal issue to the Gaining CR within one business hour as required by the RMG, verified by the issue’s State Change History</w:t>
                  </w:r>
                </w:p>
              </w:tc>
            </w:tr>
            <w:tr w:rsidR="00F26627" w:rsidRPr="00F26627" w14:paraId="5C0CAE1E" w14:textId="77777777" w:rsidTr="00F26627">
              <w:trPr>
                <w:gridAfter w:val="1"/>
                <w:wAfter w:w="612" w:type="dxa"/>
                <w:trHeight w:val="288"/>
              </w:trPr>
              <w:tc>
                <w:tcPr>
                  <w:tcW w:w="9360" w:type="dxa"/>
                  <w:gridSpan w:val="2"/>
                  <w:tcBorders>
                    <w:top w:val="nil"/>
                    <w:left w:val="nil"/>
                    <w:bottom w:val="nil"/>
                    <w:right w:val="nil"/>
                  </w:tcBorders>
                  <w:shd w:val="clear" w:color="auto" w:fill="auto"/>
                  <w:noWrap/>
                  <w:vAlign w:val="center"/>
                  <w:hideMark/>
                </w:tcPr>
                <w:p w14:paraId="5ABE92A5" w14:textId="77777777" w:rsidR="00F26627" w:rsidRPr="00F26627" w:rsidRDefault="00F26627" w:rsidP="00F26627">
                  <w:pPr>
                    <w:spacing w:after="0" w:line="240" w:lineRule="auto"/>
                    <w:ind w:left="720" w:firstLineChars="1200" w:firstLine="2400"/>
                    <w:rPr>
                      <w:rFonts w:ascii="Symbol" w:eastAsia="Times New Roman" w:hAnsi="Symbol" w:cs="Calibri"/>
                      <w:color w:val="000000"/>
                      <w:sz w:val="20"/>
                      <w:szCs w:val="20"/>
                    </w:rPr>
                  </w:pPr>
                  <w:r w:rsidRPr="00F26627">
                    <w:rPr>
                      <w:rFonts w:ascii="Symbol" w:eastAsia="Times New Roman" w:hAnsi="Symbol" w:cs="Calibri"/>
                      <w:color w:val="000000"/>
                      <w:sz w:val="20"/>
                      <w:szCs w:val="20"/>
                    </w:rPr>
                    <w:t>o</w:t>
                  </w:r>
                  <w:r w:rsidRPr="00F26627">
                    <w:rPr>
                      <w:rFonts w:ascii="Times New Roman" w:eastAsia="Times New Roman" w:hAnsi="Times New Roman" w:cs="Times New Roman"/>
                      <w:color w:val="000000"/>
                      <w:sz w:val="14"/>
                      <w:szCs w:val="14"/>
                    </w:rPr>
                    <w:t xml:space="preserve">       </w:t>
                  </w:r>
                  <w:r w:rsidRPr="00F26627">
                    <w:rPr>
                      <w:rFonts w:ascii="Arial" w:eastAsia="Times New Roman" w:hAnsi="Arial" w:cs="Arial"/>
                      <w:color w:val="000000"/>
                      <w:sz w:val="20"/>
                      <w:szCs w:val="20"/>
                    </w:rPr>
                    <w:t>Losing CR used the Return to Submitter transition within the original Switch Hold Removal issue, preventing the TDSP from again becoming Responsible MP</w:t>
                  </w:r>
                </w:p>
              </w:tc>
            </w:tr>
          </w:tbl>
          <w:p w14:paraId="665BEE02" w14:textId="6030A803" w:rsidR="00F26627" w:rsidRPr="00F26627" w:rsidRDefault="00F26627" w:rsidP="00F26627">
            <w:pPr>
              <w:spacing w:after="0" w:line="240" w:lineRule="auto"/>
              <w:rPr>
                <w:rFonts w:ascii="Calibri" w:eastAsia="Times New Roman" w:hAnsi="Calibri" w:cs="Calibri"/>
                <w:color w:val="000000"/>
              </w:rPr>
            </w:pPr>
          </w:p>
        </w:tc>
      </w:tr>
    </w:tbl>
    <w:p w14:paraId="0BE7F815" w14:textId="247EB041" w:rsidR="006A18CD" w:rsidRDefault="006A18CD" w:rsidP="00E445C0">
      <w:pPr>
        <w:pStyle w:val="NoSpacing"/>
        <w:rPr>
          <w:rFonts w:cstheme="minorHAnsi"/>
          <w:iCs/>
        </w:rPr>
      </w:pPr>
    </w:p>
    <w:p w14:paraId="706FE5E1" w14:textId="400178F0" w:rsidR="007660CA" w:rsidRPr="007660CA" w:rsidRDefault="007660CA" w:rsidP="00F145EE">
      <w:pPr>
        <w:pStyle w:val="NoSpacing"/>
        <w:rPr>
          <w:b/>
          <w:u w:val="single"/>
        </w:rPr>
      </w:pPr>
      <w:r w:rsidRPr="007660CA">
        <w:rPr>
          <w:b/>
          <w:u w:val="single"/>
        </w:rPr>
        <w:t xml:space="preserve">AGENDA for </w:t>
      </w:r>
      <w:r w:rsidR="00F26627">
        <w:rPr>
          <w:b/>
          <w:u w:val="single"/>
        </w:rPr>
        <w:t>10</w:t>
      </w:r>
      <w:r w:rsidR="005719FD">
        <w:rPr>
          <w:b/>
          <w:u w:val="single"/>
        </w:rPr>
        <w:t>/</w:t>
      </w:r>
      <w:r w:rsidR="00F26627">
        <w:rPr>
          <w:b/>
          <w:u w:val="single"/>
        </w:rPr>
        <w:t>20</w:t>
      </w:r>
      <w:r w:rsidR="005719FD">
        <w:rPr>
          <w:b/>
          <w:u w:val="single"/>
        </w:rPr>
        <w:t>/2</w:t>
      </w:r>
      <w:r w:rsidR="00323CE5">
        <w:rPr>
          <w:b/>
          <w:u w:val="single"/>
        </w:rPr>
        <w:t>1</w:t>
      </w:r>
      <w:r w:rsidRPr="007660CA">
        <w:rPr>
          <w:b/>
          <w:u w:val="single"/>
        </w:rPr>
        <w:t xml:space="preserve"> Meeting</w:t>
      </w:r>
      <w:r w:rsidR="00F26627">
        <w:rPr>
          <w:b/>
          <w:u w:val="single"/>
        </w:rPr>
        <w:t xml:space="preserve"> - Wednesday</w:t>
      </w:r>
    </w:p>
    <w:p w14:paraId="17541CE9" w14:textId="77777777" w:rsidR="00F26627" w:rsidRPr="00F26627" w:rsidRDefault="00F26627" w:rsidP="00F26627">
      <w:pPr>
        <w:pStyle w:val="NoSpacing"/>
        <w:numPr>
          <w:ilvl w:val="0"/>
          <w:numId w:val="5"/>
        </w:numPr>
      </w:pPr>
      <w:r w:rsidRPr="00F26627">
        <w:t>System instances and MarkeTrak Monthly Performance Review</w:t>
      </w:r>
    </w:p>
    <w:p w14:paraId="10E5C5DA" w14:textId="77777777" w:rsidR="00F26627" w:rsidRPr="00F26627" w:rsidRDefault="00F26627" w:rsidP="00F26627">
      <w:pPr>
        <w:pStyle w:val="NoSpacing"/>
        <w:numPr>
          <w:ilvl w:val="0"/>
          <w:numId w:val="5"/>
        </w:numPr>
      </w:pPr>
      <w:r w:rsidRPr="00F26627">
        <w:t>Market Data Transparency 2022 SLOs</w:t>
      </w:r>
    </w:p>
    <w:p w14:paraId="59E4004E" w14:textId="77777777" w:rsidR="00F26627" w:rsidRPr="00F26627" w:rsidRDefault="00F26627" w:rsidP="00F26627">
      <w:pPr>
        <w:pStyle w:val="NoSpacing"/>
        <w:numPr>
          <w:ilvl w:val="0"/>
          <w:numId w:val="5"/>
        </w:numPr>
      </w:pPr>
      <w:r w:rsidRPr="00F26627">
        <w:t>MarkeTrak Upgrade status</w:t>
      </w:r>
    </w:p>
    <w:p w14:paraId="1AEC8E73" w14:textId="77777777" w:rsidR="00F26627" w:rsidRPr="00F26627" w:rsidRDefault="00F26627" w:rsidP="00F26627">
      <w:pPr>
        <w:pStyle w:val="NoSpacing"/>
        <w:numPr>
          <w:ilvl w:val="0"/>
          <w:numId w:val="5"/>
        </w:numPr>
      </w:pPr>
      <w:r w:rsidRPr="00F26627">
        <w:t xml:space="preserve">Review Monthly IAG Report </w:t>
      </w:r>
    </w:p>
    <w:p w14:paraId="00218AA7" w14:textId="77777777" w:rsidR="00F26627" w:rsidRPr="00F26627" w:rsidRDefault="00F26627" w:rsidP="00F26627">
      <w:pPr>
        <w:pStyle w:val="NoSpacing"/>
        <w:numPr>
          <w:ilvl w:val="0"/>
          <w:numId w:val="5"/>
        </w:numPr>
      </w:pPr>
      <w:r w:rsidRPr="00F26627">
        <w:t>Status of proposed SCRs and RMGRRs</w:t>
      </w:r>
    </w:p>
    <w:p w14:paraId="21D0D6FA" w14:textId="77777777" w:rsidR="00F26627" w:rsidRPr="00F26627" w:rsidRDefault="00F26627" w:rsidP="00F26627">
      <w:pPr>
        <w:pStyle w:val="NoSpacing"/>
        <w:numPr>
          <w:ilvl w:val="0"/>
          <w:numId w:val="5"/>
        </w:numPr>
      </w:pPr>
      <w:r w:rsidRPr="00F26627">
        <w:t>RMGRR 166 – Switch Hold Extract Repository – comments</w:t>
      </w:r>
    </w:p>
    <w:p w14:paraId="63D3F209" w14:textId="77777777" w:rsidR="00F26627" w:rsidRPr="00F26627" w:rsidRDefault="00F26627" w:rsidP="00F26627">
      <w:pPr>
        <w:pStyle w:val="NoSpacing"/>
        <w:numPr>
          <w:ilvl w:val="0"/>
          <w:numId w:val="5"/>
        </w:numPr>
      </w:pPr>
      <w:r w:rsidRPr="00F26627">
        <w:t xml:space="preserve">SCR817 – MT Validation Revisions – common list of </w:t>
      </w:r>
      <w:proofErr w:type="spellStart"/>
      <w:r w:rsidRPr="00F26627">
        <w:t>Unexecutable</w:t>
      </w:r>
      <w:proofErr w:type="spellEnd"/>
      <w:r w:rsidRPr="00F26627">
        <w:t xml:space="preserve"> Reasons</w:t>
      </w:r>
    </w:p>
    <w:p w14:paraId="54F93ADB" w14:textId="77777777" w:rsidR="00F26627" w:rsidRPr="00F26627" w:rsidRDefault="00F26627" w:rsidP="00F26627">
      <w:pPr>
        <w:pStyle w:val="NoSpacing"/>
        <w:numPr>
          <w:ilvl w:val="0"/>
          <w:numId w:val="5"/>
        </w:numPr>
      </w:pPr>
      <w:r w:rsidRPr="00F26627">
        <w:t>Checkpoint on Goals for 2021</w:t>
      </w:r>
    </w:p>
    <w:sectPr w:rsidR="00F26627" w:rsidRPr="00F26627"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9C7A0" w14:textId="77777777" w:rsidR="00127F5D" w:rsidRDefault="00127F5D" w:rsidP="00F26627">
      <w:pPr>
        <w:spacing w:after="0" w:line="240" w:lineRule="auto"/>
      </w:pPr>
      <w:r>
        <w:separator/>
      </w:r>
    </w:p>
  </w:endnote>
  <w:endnote w:type="continuationSeparator" w:id="0">
    <w:p w14:paraId="5DA638D0" w14:textId="77777777" w:rsidR="00127F5D" w:rsidRDefault="00127F5D"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DF65F" w14:textId="77777777" w:rsidR="00127F5D" w:rsidRDefault="00127F5D" w:rsidP="00F26627">
      <w:pPr>
        <w:spacing w:after="0" w:line="240" w:lineRule="auto"/>
      </w:pPr>
      <w:r>
        <w:separator/>
      </w:r>
    </w:p>
  </w:footnote>
  <w:footnote w:type="continuationSeparator" w:id="0">
    <w:p w14:paraId="2BCF7894" w14:textId="77777777" w:rsidR="00127F5D" w:rsidRDefault="00127F5D"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83E"/>
    <w:multiLevelType w:val="hybridMultilevel"/>
    <w:tmpl w:val="0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10681D05"/>
    <w:multiLevelType w:val="hybridMultilevel"/>
    <w:tmpl w:val="F1D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4D3F"/>
    <w:multiLevelType w:val="hybridMultilevel"/>
    <w:tmpl w:val="8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63A08"/>
    <w:multiLevelType w:val="hybridMultilevel"/>
    <w:tmpl w:val="FBB63F26"/>
    <w:lvl w:ilvl="0" w:tplc="18EC5FF0">
      <w:start w:val="1"/>
      <w:numFmt w:val="bullet"/>
      <w:lvlText w:val=""/>
      <w:lvlJc w:val="left"/>
      <w:pPr>
        <w:tabs>
          <w:tab w:val="num" w:pos="720"/>
        </w:tabs>
        <w:ind w:left="720" w:hanging="360"/>
      </w:pPr>
      <w:rPr>
        <w:rFonts w:ascii="Wingdings" w:hAnsi="Wingdings" w:hint="default"/>
      </w:rPr>
    </w:lvl>
    <w:lvl w:ilvl="1" w:tplc="197E70CA" w:tentative="1">
      <w:start w:val="1"/>
      <w:numFmt w:val="bullet"/>
      <w:lvlText w:val=""/>
      <w:lvlJc w:val="left"/>
      <w:pPr>
        <w:tabs>
          <w:tab w:val="num" w:pos="1440"/>
        </w:tabs>
        <w:ind w:left="1440" w:hanging="360"/>
      </w:pPr>
      <w:rPr>
        <w:rFonts w:ascii="Wingdings" w:hAnsi="Wingdings" w:hint="default"/>
      </w:rPr>
    </w:lvl>
    <w:lvl w:ilvl="2" w:tplc="5824D8AC" w:tentative="1">
      <w:start w:val="1"/>
      <w:numFmt w:val="bullet"/>
      <w:lvlText w:val=""/>
      <w:lvlJc w:val="left"/>
      <w:pPr>
        <w:tabs>
          <w:tab w:val="num" w:pos="2160"/>
        </w:tabs>
        <w:ind w:left="2160" w:hanging="360"/>
      </w:pPr>
      <w:rPr>
        <w:rFonts w:ascii="Wingdings" w:hAnsi="Wingdings" w:hint="default"/>
      </w:rPr>
    </w:lvl>
    <w:lvl w:ilvl="3" w:tplc="FB9EA9C4" w:tentative="1">
      <w:start w:val="1"/>
      <w:numFmt w:val="bullet"/>
      <w:lvlText w:val=""/>
      <w:lvlJc w:val="left"/>
      <w:pPr>
        <w:tabs>
          <w:tab w:val="num" w:pos="2880"/>
        </w:tabs>
        <w:ind w:left="2880" w:hanging="360"/>
      </w:pPr>
      <w:rPr>
        <w:rFonts w:ascii="Wingdings" w:hAnsi="Wingdings" w:hint="default"/>
      </w:rPr>
    </w:lvl>
    <w:lvl w:ilvl="4" w:tplc="626C6308" w:tentative="1">
      <w:start w:val="1"/>
      <w:numFmt w:val="bullet"/>
      <w:lvlText w:val=""/>
      <w:lvlJc w:val="left"/>
      <w:pPr>
        <w:tabs>
          <w:tab w:val="num" w:pos="3600"/>
        </w:tabs>
        <w:ind w:left="3600" w:hanging="360"/>
      </w:pPr>
      <w:rPr>
        <w:rFonts w:ascii="Wingdings" w:hAnsi="Wingdings" w:hint="default"/>
      </w:rPr>
    </w:lvl>
    <w:lvl w:ilvl="5" w:tplc="C23E3BF8" w:tentative="1">
      <w:start w:val="1"/>
      <w:numFmt w:val="bullet"/>
      <w:lvlText w:val=""/>
      <w:lvlJc w:val="left"/>
      <w:pPr>
        <w:tabs>
          <w:tab w:val="num" w:pos="4320"/>
        </w:tabs>
        <w:ind w:left="4320" w:hanging="360"/>
      </w:pPr>
      <w:rPr>
        <w:rFonts w:ascii="Wingdings" w:hAnsi="Wingdings" w:hint="default"/>
      </w:rPr>
    </w:lvl>
    <w:lvl w:ilvl="6" w:tplc="F3D836C0" w:tentative="1">
      <w:start w:val="1"/>
      <w:numFmt w:val="bullet"/>
      <w:lvlText w:val=""/>
      <w:lvlJc w:val="left"/>
      <w:pPr>
        <w:tabs>
          <w:tab w:val="num" w:pos="5040"/>
        </w:tabs>
        <w:ind w:left="5040" w:hanging="360"/>
      </w:pPr>
      <w:rPr>
        <w:rFonts w:ascii="Wingdings" w:hAnsi="Wingdings" w:hint="default"/>
      </w:rPr>
    </w:lvl>
    <w:lvl w:ilvl="7" w:tplc="CD109ABC" w:tentative="1">
      <w:start w:val="1"/>
      <w:numFmt w:val="bullet"/>
      <w:lvlText w:val=""/>
      <w:lvlJc w:val="left"/>
      <w:pPr>
        <w:tabs>
          <w:tab w:val="num" w:pos="5760"/>
        </w:tabs>
        <w:ind w:left="5760" w:hanging="360"/>
      </w:pPr>
      <w:rPr>
        <w:rFonts w:ascii="Wingdings" w:hAnsi="Wingdings" w:hint="default"/>
      </w:rPr>
    </w:lvl>
    <w:lvl w:ilvl="8" w:tplc="B0B2263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5626A"/>
    <w:multiLevelType w:val="hybridMultilevel"/>
    <w:tmpl w:val="94A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F70DC"/>
    <w:multiLevelType w:val="hybridMultilevel"/>
    <w:tmpl w:val="CA8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03B87"/>
    <w:multiLevelType w:val="hybridMultilevel"/>
    <w:tmpl w:val="D5D2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77480E"/>
    <w:multiLevelType w:val="hybridMultilevel"/>
    <w:tmpl w:val="2AF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D97F52"/>
    <w:multiLevelType w:val="hybridMultilevel"/>
    <w:tmpl w:val="700AA0FE"/>
    <w:lvl w:ilvl="0" w:tplc="9E44010E">
      <w:start w:val="1"/>
      <w:numFmt w:val="bullet"/>
      <w:lvlText w:val=""/>
      <w:lvlJc w:val="left"/>
      <w:pPr>
        <w:tabs>
          <w:tab w:val="num" w:pos="720"/>
        </w:tabs>
        <w:ind w:left="720" w:hanging="360"/>
      </w:pPr>
      <w:rPr>
        <w:rFonts w:ascii="Wingdings" w:hAnsi="Wingdings" w:hint="default"/>
      </w:rPr>
    </w:lvl>
    <w:lvl w:ilvl="1" w:tplc="C2944974" w:tentative="1">
      <w:start w:val="1"/>
      <w:numFmt w:val="bullet"/>
      <w:lvlText w:val=""/>
      <w:lvlJc w:val="left"/>
      <w:pPr>
        <w:tabs>
          <w:tab w:val="num" w:pos="1440"/>
        </w:tabs>
        <w:ind w:left="1440" w:hanging="360"/>
      </w:pPr>
      <w:rPr>
        <w:rFonts w:ascii="Wingdings" w:hAnsi="Wingdings" w:hint="default"/>
      </w:rPr>
    </w:lvl>
    <w:lvl w:ilvl="2" w:tplc="5F9A187C" w:tentative="1">
      <w:start w:val="1"/>
      <w:numFmt w:val="bullet"/>
      <w:lvlText w:val=""/>
      <w:lvlJc w:val="left"/>
      <w:pPr>
        <w:tabs>
          <w:tab w:val="num" w:pos="2160"/>
        </w:tabs>
        <w:ind w:left="2160" w:hanging="360"/>
      </w:pPr>
      <w:rPr>
        <w:rFonts w:ascii="Wingdings" w:hAnsi="Wingdings" w:hint="default"/>
      </w:rPr>
    </w:lvl>
    <w:lvl w:ilvl="3" w:tplc="9B0CC3B8" w:tentative="1">
      <w:start w:val="1"/>
      <w:numFmt w:val="bullet"/>
      <w:lvlText w:val=""/>
      <w:lvlJc w:val="left"/>
      <w:pPr>
        <w:tabs>
          <w:tab w:val="num" w:pos="2880"/>
        </w:tabs>
        <w:ind w:left="2880" w:hanging="360"/>
      </w:pPr>
      <w:rPr>
        <w:rFonts w:ascii="Wingdings" w:hAnsi="Wingdings" w:hint="default"/>
      </w:rPr>
    </w:lvl>
    <w:lvl w:ilvl="4" w:tplc="EA929600" w:tentative="1">
      <w:start w:val="1"/>
      <w:numFmt w:val="bullet"/>
      <w:lvlText w:val=""/>
      <w:lvlJc w:val="left"/>
      <w:pPr>
        <w:tabs>
          <w:tab w:val="num" w:pos="3600"/>
        </w:tabs>
        <w:ind w:left="3600" w:hanging="360"/>
      </w:pPr>
      <w:rPr>
        <w:rFonts w:ascii="Wingdings" w:hAnsi="Wingdings" w:hint="default"/>
      </w:rPr>
    </w:lvl>
    <w:lvl w:ilvl="5" w:tplc="E1E01284" w:tentative="1">
      <w:start w:val="1"/>
      <w:numFmt w:val="bullet"/>
      <w:lvlText w:val=""/>
      <w:lvlJc w:val="left"/>
      <w:pPr>
        <w:tabs>
          <w:tab w:val="num" w:pos="4320"/>
        </w:tabs>
        <w:ind w:left="4320" w:hanging="360"/>
      </w:pPr>
      <w:rPr>
        <w:rFonts w:ascii="Wingdings" w:hAnsi="Wingdings" w:hint="default"/>
      </w:rPr>
    </w:lvl>
    <w:lvl w:ilvl="6" w:tplc="C644C942" w:tentative="1">
      <w:start w:val="1"/>
      <w:numFmt w:val="bullet"/>
      <w:lvlText w:val=""/>
      <w:lvlJc w:val="left"/>
      <w:pPr>
        <w:tabs>
          <w:tab w:val="num" w:pos="5040"/>
        </w:tabs>
        <w:ind w:left="5040" w:hanging="360"/>
      </w:pPr>
      <w:rPr>
        <w:rFonts w:ascii="Wingdings" w:hAnsi="Wingdings" w:hint="default"/>
      </w:rPr>
    </w:lvl>
    <w:lvl w:ilvl="7" w:tplc="89E6A46A" w:tentative="1">
      <w:start w:val="1"/>
      <w:numFmt w:val="bullet"/>
      <w:lvlText w:val=""/>
      <w:lvlJc w:val="left"/>
      <w:pPr>
        <w:tabs>
          <w:tab w:val="num" w:pos="5760"/>
        </w:tabs>
        <w:ind w:left="5760" w:hanging="360"/>
      </w:pPr>
      <w:rPr>
        <w:rFonts w:ascii="Wingdings" w:hAnsi="Wingdings" w:hint="default"/>
      </w:rPr>
    </w:lvl>
    <w:lvl w:ilvl="8" w:tplc="0966ED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A3F14"/>
    <w:multiLevelType w:val="hybridMultilevel"/>
    <w:tmpl w:val="66C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84D16"/>
    <w:multiLevelType w:val="hybridMultilevel"/>
    <w:tmpl w:val="1D26C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132D9A"/>
    <w:multiLevelType w:val="hybridMultilevel"/>
    <w:tmpl w:val="0AFC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BC57F7"/>
    <w:multiLevelType w:val="hybridMultilevel"/>
    <w:tmpl w:val="C1A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8"/>
  </w:num>
  <w:num w:numId="4">
    <w:abstractNumId w:val="12"/>
  </w:num>
  <w:num w:numId="5">
    <w:abstractNumId w:val="26"/>
  </w:num>
  <w:num w:numId="6">
    <w:abstractNumId w:val="32"/>
  </w:num>
  <w:num w:numId="7">
    <w:abstractNumId w:val="11"/>
  </w:num>
  <w:num w:numId="8">
    <w:abstractNumId w:val="21"/>
  </w:num>
  <w:num w:numId="9">
    <w:abstractNumId w:val="19"/>
  </w:num>
  <w:num w:numId="10">
    <w:abstractNumId w:val="1"/>
  </w:num>
  <w:num w:numId="11">
    <w:abstractNumId w:val="10"/>
  </w:num>
  <w:num w:numId="12">
    <w:abstractNumId w:val="6"/>
  </w:num>
  <w:num w:numId="13">
    <w:abstractNumId w:val="20"/>
  </w:num>
  <w:num w:numId="14">
    <w:abstractNumId w:val="35"/>
  </w:num>
  <w:num w:numId="15">
    <w:abstractNumId w:val="30"/>
  </w:num>
  <w:num w:numId="16">
    <w:abstractNumId w:val="9"/>
  </w:num>
  <w:num w:numId="17">
    <w:abstractNumId w:val="25"/>
  </w:num>
  <w:num w:numId="18">
    <w:abstractNumId w:val="7"/>
  </w:num>
  <w:num w:numId="19">
    <w:abstractNumId w:val="4"/>
  </w:num>
  <w:num w:numId="20">
    <w:abstractNumId w:val="29"/>
  </w:num>
  <w:num w:numId="21">
    <w:abstractNumId w:val="17"/>
  </w:num>
  <w:num w:numId="22">
    <w:abstractNumId w:val="2"/>
  </w:num>
  <w:num w:numId="23">
    <w:abstractNumId w:val="22"/>
  </w:num>
  <w:num w:numId="24">
    <w:abstractNumId w:val="33"/>
  </w:num>
  <w:num w:numId="25">
    <w:abstractNumId w:val="0"/>
  </w:num>
  <w:num w:numId="26">
    <w:abstractNumId w:val="16"/>
  </w:num>
  <w:num w:numId="27">
    <w:abstractNumId w:val="3"/>
  </w:num>
  <w:num w:numId="28">
    <w:abstractNumId w:val="23"/>
  </w:num>
  <w:num w:numId="29">
    <w:abstractNumId w:val="36"/>
  </w:num>
  <w:num w:numId="30">
    <w:abstractNumId w:val="27"/>
  </w:num>
  <w:num w:numId="31">
    <w:abstractNumId w:val="5"/>
  </w:num>
  <w:num w:numId="32">
    <w:abstractNumId w:val="31"/>
  </w:num>
  <w:num w:numId="33">
    <w:abstractNumId w:val="15"/>
  </w:num>
  <w:num w:numId="34">
    <w:abstractNumId w:val="18"/>
  </w:num>
  <w:num w:numId="35">
    <w:abstractNumId w:val="24"/>
  </w:num>
  <w:num w:numId="36">
    <w:abstractNumId w:val="28"/>
  </w:num>
  <w:num w:numId="3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15B0C"/>
    <w:rsid w:val="00020312"/>
    <w:rsid w:val="00020E68"/>
    <w:rsid w:val="00021FA8"/>
    <w:rsid w:val="00022185"/>
    <w:rsid w:val="00023998"/>
    <w:rsid w:val="00025B49"/>
    <w:rsid w:val="0004131D"/>
    <w:rsid w:val="00083BA8"/>
    <w:rsid w:val="000A1F65"/>
    <w:rsid w:val="000C0AF2"/>
    <w:rsid w:val="000C20CF"/>
    <w:rsid w:val="000C319D"/>
    <w:rsid w:val="000C5FAB"/>
    <w:rsid w:val="000D3187"/>
    <w:rsid w:val="000E13F8"/>
    <w:rsid w:val="000F415E"/>
    <w:rsid w:val="00110EA2"/>
    <w:rsid w:val="00123FEE"/>
    <w:rsid w:val="00127F5D"/>
    <w:rsid w:val="001303F8"/>
    <w:rsid w:val="001313EA"/>
    <w:rsid w:val="00131DDA"/>
    <w:rsid w:val="00136DF5"/>
    <w:rsid w:val="001416DA"/>
    <w:rsid w:val="00153056"/>
    <w:rsid w:val="00171E07"/>
    <w:rsid w:val="00194107"/>
    <w:rsid w:val="001B1170"/>
    <w:rsid w:val="001C225E"/>
    <w:rsid w:val="001C3FE4"/>
    <w:rsid w:val="001C4664"/>
    <w:rsid w:val="001D16C1"/>
    <w:rsid w:val="001E1FBF"/>
    <w:rsid w:val="001E2F5F"/>
    <w:rsid w:val="001E4D51"/>
    <w:rsid w:val="001E6B2D"/>
    <w:rsid w:val="001E6DA0"/>
    <w:rsid w:val="00210956"/>
    <w:rsid w:val="0022539C"/>
    <w:rsid w:val="00227F00"/>
    <w:rsid w:val="00233E77"/>
    <w:rsid w:val="002417F6"/>
    <w:rsid w:val="00245452"/>
    <w:rsid w:val="00257783"/>
    <w:rsid w:val="00266626"/>
    <w:rsid w:val="00275BB9"/>
    <w:rsid w:val="002956E8"/>
    <w:rsid w:val="002A0074"/>
    <w:rsid w:val="002A4D17"/>
    <w:rsid w:val="002B73B5"/>
    <w:rsid w:val="002C5F35"/>
    <w:rsid w:val="002D0238"/>
    <w:rsid w:val="002E188E"/>
    <w:rsid w:val="002E4A02"/>
    <w:rsid w:val="002E4AA8"/>
    <w:rsid w:val="002E52F7"/>
    <w:rsid w:val="002E6D10"/>
    <w:rsid w:val="002F12FE"/>
    <w:rsid w:val="002F5B65"/>
    <w:rsid w:val="002F6A98"/>
    <w:rsid w:val="00304812"/>
    <w:rsid w:val="00307922"/>
    <w:rsid w:val="00310E34"/>
    <w:rsid w:val="003147A9"/>
    <w:rsid w:val="00315059"/>
    <w:rsid w:val="0031702C"/>
    <w:rsid w:val="0032177A"/>
    <w:rsid w:val="003224FF"/>
    <w:rsid w:val="00323CE5"/>
    <w:rsid w:val="00326666"/>
    <w:rsid w:val="0032714F"/>
    <w:rsid w:val="00327A45"/>
    <w:rsid w:val="00331770"/>
    <w:rsid w:val="00331FF3"/>
    <w:rsid w:val="0033302E"/>
    <w:rsid w:val="00345EA2"/>
    <w:rsid w:val="0035068E"/>
    <w:rsid w:val="00351211"/>
    <w:rsid w:val="00356955"/>
    <w:rsid w:val="00363882"/>
    <w:rsid w:val="00370FAA"/>
    <w:rsid w:val="00384273"/>
    <w:rsid w:val="0038504B"/>
    <w:rsid w:val="00386AB4"/>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37F12"/>
    <w:rsid w:val="00446742"/>
    <w:rsid w:val="004510BA"/>
    <w:rsid w:val="00453CB9"/>
    <w:rsid w:val="0046383E"/>
    <w:rsid w:val="00463A02"/>
    <w:rsid w:val="00473E06"/>
    <w:rsid w:val="00474281"/>
    <w:rsid w:val="004852C1"/>
    <w:rsid w:val="00487203"/>
    <w:rsid w:val="00496BC3"/>
    <w:rsid w:val="004A002B"/>
    <w:rsid w:val="004A02A5"/>
    <w:rsid w:val="004B0BD3"/>
    <w:rsid w:val="004C5528"/>
    <w:rsid w:val="004C672D"/>
    <w:rsid w:val="004D5B2D"/>
    <w:rsid w:val="004E7003"/>
    <w:rsid w:val="004F3A5D"/>
    <w:rsid w:val="004F3B6C"/>
    <w:rsid w:val="004F5F8C"/>
    <w:rsid w:val="005048DF"/>
    <w:rsid w:val="005101FF"/>
    <w:rsid w:val="0051096F"/>
    <w:rsid w:val="00517D7C"/>
    <w:rsid w:val="00522605"/>
    <w:rsid w:val="00527ADA"/>
    <w:rsid w:val="00540840"/>
    <w:rsid w:val="0054333F"/>
    <w:rsid w:val="00543BB4"/>
    <w:rsid w:val="00544D4C"/>
    <w:rsid w:val="00546D6E"/>
    <w:rsid w:val="00547B3B"/>
    <w:rsid w:val="00553D72"/>
    <w:rsid w:val="005572E8"/>
    <w:rsid w:val="00562FBA"/>
    <w:rsid w:val="005645B7"/>
    <w:rsid w:val="00565315"/>
    <w:rsid w:val="005719FD"/>
    <w:rsid w:val="005A25C3"/>
    <w:rsid w:val="005A6DE1"/>
    <w:rsid w:val="005B05BD"/>
    <w:rsid w:val="005D1EE7"/>
    <w:rsid w:val="005D1F24"/>
    <w:rsid w:val="005D5510"/>
    <w:rsid w:val="005F3844"/>
    <w:rsid w:val="006149AB"/>
    <w:rsid w:val="00625565"/>
    <w:rsid w:val="0062681D"/>
    <w:rsid w:val="00637F5C"/>
    <w:rsid w:val="00643E89"/>
    <w:rsid w:val="00653F95"/>
    <w:rsid w:val="006758D3"/>
    <w:rsid w:val="006816F8"/>
    <w:rsid w:val="00683CC7"/>
    <w:rsid w:val="00690321"/>
    <w:rsid w:val="006A18CD"/>
    <w:rsid w:val="006B7779"/>
    <w:rsid w:val="006F0C42"/>
    <w:rsid w:val="00702CF5"/>
    <w:rsid w:val="00707132"/>
    <w:rsid w:val="00720A5D"/>
    <w:rsid w:val="00733038"/>
    <w:rsid w:val="00733B41"/>
    <w:rsid w:val="007361FA"/>
    <w:rsid w:val="007421B4"/>
    <w:rsid w:val="007533E9"/>
    <w:rsid w:val="0076159C"/>
    <w:rsid w:val="0076567B"/>
    <w:rsid w:val="007660CA"/>
    <w:rsid w:val="00766AED"/>
    <w:rsid w:val="00766E5D"/>
    <w:rsid w:val="00770025"/>
    <w:rsid w:val="00774226"/>
    <w:rsid w:val="00780949"/>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15480"/>
    <w:rsid w:val="00820B4A"/>
    <w:rsid w:val="008217FD"/>
    <w:rsid w:val="008451D6"/>
    <w:rsid w:val="00855FFB"/>
    <w:rsid w:val="00860321"/>
    <w:rsid w:val="00862522"/>
    <w:rsid w:val="008636F7"/>
    <w:rsid w:val="00875092"/>
    <w:rsid w:val="00887CAB"/>
    <w:rsid w:val="00891A72"/>
    <w:rsid w:val="008953BF"/>
    <w:rsid w:val="008A2659"/>
    <w:rsid w:val="008A3554"/>
    <w:rsid w:val="008B2CB8"/>
    <w:rsid w:val="008B5C93"/>
    <w:rsid w:val="008C13D1"/>
    <w:rsid w:val="008D135C"/>
    <w:rsid w:val="008D78D2"/>
    <w:rsid w:val="008E4C59"/>
    <w:rsid w:val="008E6934"/>
    <w:rsid w:val="008F2439"/>
    <w:rsid w:val="008F4DC4"/>
    <w:rsid w:val="008F6D8F"/>
    <w:rsid w:val="0090152E"/>
    <w:rsid w:val="00932C1B"/>
    <w:rsid w:val="009361FE"/>
    <w:rsid w:val="00944599"/>
    <w:rsid w:val="00945CCB"/>
    <w:rsid w:val="0095114C"/>
    <w:rsid w:val="00963F70"/>
    <w:rsid w:val="0096742E"/>
    <w:rsid w:val="009805C2"/>
    <w:rsid w:val="00990903"/>
    <w:rsid w:val="009921EF"/>
    <w:rsid w:val="009A0B03"/>
    <w:rsid w:val="009A6188"/>
    <w:rsid w:val="009B2EE9"/>
    <w:rsid w:val="009C4583"/>
    <w:rsid w:val="009D07DF"/>
    <w:rsid w:val="009D5ECB"/>
    <w:rsid w:val="009D7657"/>
    <w:rsid w:val="009D7D5C"/>
    <w:rsid w:val="009F63FD"/>
    <w:rsid w:val="009F7D81"/>
    <w:rsid w:val="00A00502"/>
    <w:rsid w:val="00A01863"/>
    <w:rsid w:val="00A0572E"/>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72D14"/>
    <w:rsid w:val="00A86140"/>
    <w:rsid w:val="00A86544"/>
    <w:rsid w:val="00A94F0C"/>
    <w:rsid w:val="00A95E96"/>
    <w:rsid w:val="00AA104F"/>
    <w:rsid w:val="00AA3CAF"/>
    <w:rsid w:val="00AA7CB2"/>
    <w:rsid w:val="00AB4932"/>
    <w:rsid w:val="00AB5B26"/>
    <w:rsid w:val="00AC7F6D"/>
    <w:rsid w:val="00AE38A9"/>
    <w:rsid w:val="00AE3E48"/>
    <w:rsid w:val="00AF56A0"/>
    <w:rsid w:val="00AF71B5"/>
    <w:rsid w:val="00B02EFA"/>
    <w:rsid w:val="00B05A4F"/>
    <w:rsid w:val="00B22277"/>
    <w:rsid w:val="00B22D19"/>
    <w:rsid w:val="00B303A3"/>
    <w:rsid w:val="00B31199"/>
    <w:rsid w:val="00B33AC5"/>
    <w:rsid w:val="00B5220F"/>
    <w:rsid w:val="00B57B56"/>
    <w:rsid w:val="00B64B2E"/>
    <w:rsid w:val="00B66384"/>
    <w:rsid w:val="00B749BF"/>
    <w:rsid w:val="00B877FC"/>
    <w:rsid w:val="00B90882"/>
    <w:rsid w:val="00BB0367"/>
    <w:rsid w:val="00BB094F"/>
    <w:rsid w:val="00BB571E"/>
    <w:rsid w:val="00BC33B9"/>
    <w:rsid w:val="00C06E4C"/>
    <w:rsid w:val="00C1359E"/>
    <w:rsid w:val="00C21A42"/>
    <w:rsid w:val="00C27CC0"/>
    <w:rsid w:val="00C32B22"/>
    <w:rsid w:val="00C33E4E"/>
    <w:rsid w:val="00C41BC0"/>
    <w:rsid w:val="00C44212"/>
    <w:rsid w:val="00C5225F"/>
    <w:rsid w:val="00C66CDF"/>
    <w:rsid w:val="00C70FD8"/>
    <w:rsid w:val="00C7529A"/>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5935"/>
    <w:rsid w:val="00D059C5"/>
    <w:rsid w:val="00D15CA5"/>
    <w:rsid w:val="00D17997"/>
    <w:rsid w:val="00D17CF3"/>
    <w:rsid w:val="00D21886"/>
    <w:rsid w:val="00D24CFB"/>
    <w:rsid w:val="00D30343"/>
    <w:rsid w:val="00D30503"/>
    <w:rsid w:val="00D40728"/>
    <w:rsid w:val="00D66857"/>
    <w:rsid w:val="00D70538"/>
    <w:rsid w:val="00D734CD"/>
    <w:rsid w:val="00D77953"/>
    <w:rsid w:val="00D848CA"/>
    <w:rsid w:val="00D8669C"/>
    <w:rsid w:val="00D86915"/>
    <w:rsid w:val="00D9194D"/>
    <w:rsid w:val="00DA1B12"/>
    <w:rsid w:val="00DB5EB2"/>
    <w:rsid w:val="00DC64DC"/>
    <w:rsid w:val="00DD1441"/>
    <w:rsid w:val="00DE49C2"/>
    <w:rsid w:val="00DF0E46"/>
    <w:rsid w:val="00DF4C02"/>
    <w:rsid w:val="00E03B9B"/>
    <w:rsid w:val="00E12C6D"/>
    <w:rsid w:val="00E26300"/>
    <w:rsid w:val="00E445C0"/>
    <w:rsid w:val="00E44630"/>
    <w:rsid w:val="00E522FE"/>
    <w:rsid w:val="00E65CE9"/>
    <w:rsid w:val="00E7036C"/>
    <w:rsid w:val="00E72A60"/>
    <w:rsid w:val="00E761AD"/>
    <w:rsid w:val="00E822B6"/>
    <w:rsid w:val="00E871A3"/>
    <w:rsid w:val="00E9774C"/>
    <w:rsid w:val="00EA1F8B"/>
    <w:rsid w:val="00EA742D"/>
    <w:rsid w:val="00EA7AAC"/>
    <w:rsid w:val="00EB2B86"/>
    <w:rsid w:val="00EB3273"/>
    <w:rsid w:val="00EB6375"/>
    <w:rsid w:val="00EC285D"/>
    <w:rsid w:val="00EC4002"/>
    <w:rsid w:val="00EC7CD0"/>
    <w:rsid w:val="00ED1739"/>
    <w:rsid w:val="00ED192F"/>
    <w:rsid w:val="00ED6B55"/>
    <w:rsid w:val="00ED7D16"/>
    <w:rsid w:val="00EE0F52"/>
    <w:rsid w:val="00EE6D3E"/>
    <w:rsid w:val="00EE7981"/>
    <w:rsid w:val="00EF31E0"/>
    <w:rsid w:val="00EF48D4"/>
    <w:rsid w:val="00F021C5"/>
    <w:rsid w:val="00F02BDF"/>
    <w:rsid w:val="00F145EE"/>
    <w:rsid w:val="00F14D1F"/>
    <w:rsid w:val="00F2039B"/>
    <w:rsid w:val="00F26627"/>
    <w:rsid w:val="00F2707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dcterms:created xsi:type="dcterms:W3CDTF">2021-10-01T16:43:00Z</dcterms:created>
  <dcterms:modified xsi:type="dcterms:W3CDTF">2021-10-01T19:45:00Z</dcterms:modified>
</cp:coreProperties>
</file>