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F63DAA" w:rsidRPr="00F63DAA" w14:paraId="040A529C" w14:textId="77777777" w:rsidTr="00D23F4E">
        <w:tc>
          <w:tcPr>
            <w:tcW w:w="1620" w:type="dxa"/>
            <w:tcBorders>
              <w:bottom w:val="single" w:sz="4" w:space="0" w:color="auto"/>
            </w:tcBorders>
            <w:shd w:val="clear" w:color="auto" w:fill="FFFFFF"/>
            <w:vAlign w:val="center"/>
          </w:tcPr>
          <w:p w14:paraId="0BFBEA41" w14:textId="77777777" w:rsidR="00F63DAA" w:rsidRPr="00F63DAA" w:rsidRDefault="00F63DAA" w:rsidP="00F63DAA">
            <w:pPr>
              <w:tabs>
                <w:tab w:val="center" w:pos="4320"/>
                <w:tab w:val="right" w:pos="8640"/>
              </w:tabs>
              <w:rPr>
                <w:rFonts w:ascii="Arial" w:hAnsi="Arial"/>
                <w:b/>
                <w:bCs/>
              </w:rPr>
            </w:pPr>
            <w:r w:rsidRPr="00F63DAA">
              <w:rPr>
                <w:rFonts w:ascii="Arial" w:hAnsi="Arial"/>
                <w:b/>
                <w:bCs/>
              </w:rPr>
              <w:t>OBDRR Number</w:t>
            </w:r>
          </w:p>
        </w:tc>
        <w:tc>
          <w:tcPr>
            <w:tcW w:w="1260" w:type="dxa"/>
            <w:tcBorders>
              <w:bottom w:val="single" w:sz="4" w:space="0" w:color="auto"/>
            </w:tcBorders>
            <w:vAlign w:val="center"/>
          </w:tcPr>
          <w:p w14:paraId="5A566719" w14:textId="77777777" w:rsidR="00F63DAA" w:rsidRPr="00F63DAA" w:rsidRDefault="00843CDC" w:rsidP="00F63DAA">
            <w:pPr>
              <w:tabs>
                <w:tab w:val="center" w:pos="4320"/>
                <w:tab w:val="right" w:pos="8640"/>
              </w:tabs>
              <w:rPr>
                <w:rFonts w:ascii="Arial" w:hAnsi="Arial"/>
                <w:b/>
                <w:bCs/>
              </w:rPr>
            </w:pPr>
            <w:hyperlink r:id="rId8" w:history="1">
              <w:r w:rsidR="00F63DAA" w:rsidRPr="00F63DAA">
                <w:rPr>
                  <w:rFonts w:ascii="Arial" w:hAnsi="Arial"/>
                  <w:b/>
                  <w:bCs/>
                  <w:color w:val="0000FF"/>
                  <w:u w:val="single"/>
                </w:rPr>
                <w:t>032</w:t>
              </w:r>
            </w:hyperlink>
          </w:p>
        </w:tc>
        <w:tc>
          <w:tcPr>
            <w:tcW w:w="1260" w:type="dxa"/>
            <w:tcBorders>
              <w:bottom w:val="single" w:sz="4" w:space="0" w:color="auto"/>
            </w:tcBorders>
            <w:shd w:val="clear" w:color="auto" w:fill="FFFFFF"/>
            <w:vAlign w:val="center"/>
          </w:tcPr>
          <w:p w14:paraId="3FBE1FB8" w14:textId="77777777" w:rsidR="00F63DAA" w:rsidRPr="00F63DAA" w:rsidRDefault="00F63DAA" w:rsidP="00F63DAA">
            <w:pPr>
              <w:tabs>
                <w:tab w:val="center" w:pos="4320"/>
                <w:tab w:val="right" w:pos="8640"/>
              </w:tabs>
              <w:rPr>
                <w:rFonts w:ascii="Arial" w:hAnsi="Arial"/>
                <w:b/>
                <w:bCs/>
              </w:rPr>
            </w:pPr>
            <w:r w:rsidRPr="00F63DAA">
              <w:rPr>
                <w:rFonts w:ascii="Arial" w:hAnsi="Arial"/>
                <w:b/>
                <w:bCs/>
              </w:rPr>
              <w:t>OBDRR Title</w:t>
            </w:r>
          </w:p>
        </w:tc>
        <w:tc>
          <w:tcPr>
            <w:tcW w:w="6300" w:type="dxa"/>
            <w:tcBorders>
              <w:bottom w:val="single" w:sz="4" w:space="0" w:color="auto"/>
            </w:tcBorders>
            <w:vAlign w:val="center"/>
          </w:tcPr>
          <w:p w14:paraId="7BD3B66C" w14:textId="77777777" w:rsidR="00F63DAA" w:rsidRPr="00F63DAA" w:rsidRDefault="00F63DAA" w:rsidP="00F63DAA">
            <w:pPr>
              <w:tabs>
                <w:tab w:val="center" w:pos="4320"/>
                <w:tab w:val="right" w:pos="8640"/>
              </w:tabs>
              <w:rPr>
                <w:rFonts w:ascii="Arial" w:hAnsi="Arial"/>
                <w:b/>
                <w:bCs/>
              </w:rPr>
            </w:pPr>
            <w:r w:rsidRPr="00F63DAA">
              <w:rPr>
                <w:rFonts w:ascii="Arial" w:hAnsi="Arial"/>
                <w:b/>
                <w:bCs/>
              </w:rPr>
              <w:t>Non-Spin Changes Related to NPRR1093, Load Resource Participation in Non-Spinning Reserve</w:t>
            </w:r>
          </w:p>
        </w:tc>
      </w:tr>
      <w:tr w:rsidR="00F63DAA" w:rsidRPr="00F63DAA" w14:paraId="6DC1DCC7" w14:textId="77777777" w:rsidTr="00D23F4E">
        <w:trPr>
          <w:trHeight w:val="323"/>
        </w:trPr>
        <w:tc>
          <w:tcPr>
            <w:tcW w:w="2880" w:type="dxa"/>
            <w:gridSpan w:val="2"/>
            <w:tcBorders>
              <w:top w:val="single" w:sz="4" w:space="0" w:color="auto"/>
              <w:left w:val="nil"/>
              <w:bottom w:val="nil"/>
              <w:right w:val="nil"/>
            </w:tcBorders>
            <w:shd w:val="clear" w:color="auto" w:fill="FFFFFF"/>
            <w:vAlign w:val="center"/>
          </w:tcPr>
          <w:p w14:paraId="1B0FEA70" w14:textId="77777777" w:rsidR="00F63DAA" w:rsidRPr="00F63DAA" w:rsidRDefault="00F63DAA" w:rsidP="00F63DAA">
            <w:pPr>
              <w:rPr>
                <w:rFonts w:ascii="Arial" w:hAnsi="Arial"/>
              </w:rPr>
            </w:pPr>
          </w:p>
        </w:tc>
        <w:tc>
          <w:tcPr>
            <w:tcW w:w="7560" w:type="dxa"/>
            <w:gridSpan w:val="2"/>
            <w:tcBorders>
              <w:top w:val="nil"/>
              <w:left w:val="nil"/>
              <w:bottom w:val="nil"/>
              <w:right w:val="nil"/>
            </w:tcBorders>
            <w:vAlign w:val="center"/>
          </w:tcPr>
          <w:p w14:paraId="4CA19444" w14:textId="77777777" w:rsidR="00F63DAA" w:rsidRPr="00F63DAA" w:rsidRDefault="00F63DAA" w:rsidP="00F63DAA">
            <w:pPr>
              <w:rPr>
                <w:rFonts w:ascii="Arial" w:hAnsi="Arial"/>
              </w:rPr>
            </w:pPr>
          </w:p>
        </w:tc>
      </w:tr>
      <w:tr w:rsidR="00F63DAA" w:rsidRPr="00F63DAA" w14:paraId="178762D8" w14:textId="77777777" w:rsidTr="00D23F4E">
        <w:trPr>
          <w:trHeight w:val="432"/>
        </w:trPr>
        <w:tc>
          <w:tcPr>
            <w:tcW w:w="10440" w:type="dxa"/>
            <w:gridSpan w:val="4"/>
            <w:tcBorders>
              <w:top w:val="single" w:sz="4" w:space="0" w:color="auto"/>
            </w:tcBorders>
            <w:shd w:val="clear" w:color="auto" w:fill="FFFFFF"/>
            <w:vAlign w:val="center"/>
          </w:tcPr>
          <w:p w14:paraId="4173EE3D" w14:textId="1BDE2E3F" w:rsidR="00F63DAA" w:rsidRPr="00F63DAA" w:rsidRDefault="001044A2" w:rsidP="00F63DAA">
            <w:pPr>
              <w:tabs>
                <w:tab w:val="center" w:pos="4320"/>
                <w:tab w:val="right" w:pos="8640"/>
              </w:tabs>
              <w:jc w:val="center"/>
              <w:rPr>
                <w:rFonts w:ascii="Arial" w:hAnsi="Arial"/>
                <w:b/>
                <w:bCs/>
              </w:rPr>
            </w:pPr>
            <w:r w:rsidRPr="001044A2">
              <w:rPr>
                <w:rFonts w:ascii="Arial" w:hAnsi="Arial"/>
                <w:b/>
                <w:bCs/>
              </w:rPr>
              <w:t>Submitter’s Information</w:t>
            </w:r>
          </w:p>
        </w:tc>
      </w:tr>
      <w:tr w:rsidR="00F63DAA" w:rsidRPr="00F63DAA" w14:paraId="472EC12B" w14:textId="77777777" w:rsidTr="00D23F4E">
        <w:trPr>
          <w:trHeight w:val="432"/>
        </w:trPr>
        <w:tc>
          <w:tcPr>
            <w:tcW w:w="2880" w:type="dxa"/>
            <w:gridSpan w:val="2"/>
            <w:shd w:val="clear" w:color="auto" w:fill="FFFFFF"/>
            <w:vAlign w:val="center"/>
          </w:tcPr>
          <w:p w14:paraId="3FE7B34A" w14:textId="77777777" w:rsidR="00F63DAA" w:rsidRPr="00F63DAA" w:rsidRDefault="00F63DAA" w:rsidP="00F63DAA">
            <w:pPr>
              <w:tabs>
                <w:tab w:val="center" w:pos="4320"/>
                <w:tab w:val="right" w:pos="8640"/>
              </w:tabs>
              <w:rPr>
                <w:rFonts w:ascii="Arial" w:hAnsi="Arial"/>
                <w:b/>
              </w:rPr>
            </w:pPr>
            <w:r w:rsidRPr="00F63DAA">
              <w:rPr>
                <w:rFonts w:ascii="Arial" w:hAnsi="Arial"/>
                <w:b/>
              </w:rPr>
              <w:t>Name</w:t>
            </w:r>
          </w:p>
        </w:tc>
        <w:tc>
          <w:tcPr>
            <w:tcW w:w="7560" w:type="dxa"/>
            <w:gridSpan w:val="2"/>
            <w:vAlign w:val="center"/>
          </w:tcPr>
          <w:p w14:paraId="36D5E7EA" w14:textId="77777777" w:rsidR="00F63DAA" w:rsidRPr="00F63DAA" w:rsidRDefault="00F63DAA" w:rsidP="00F63DAA">
            <w:pPr>
              <w:rPr>
                <w:rFonts w:ascii="Arial" w:hAnsi="Arial"/>
              </w:rPr>
            </w:pPr>
            <w:r w:rsidRPr="00F63DAA">
              <w:rPr>
                <w:rFonts w:ascii="Arial" w:hAnsi="Arial"/>
              </w:rPr>
              <w:t>John Dumas (LCRA) and Clif Lange (STEC)</w:t>
            </w:r>
          </w:p>
        </w:tc>
      </w:tr>
      <w:tr w:rsidR="00F63DAA" w:rsidRPr="00F63DAA" w14:paraId="30BD78E0" w14:textId="77777777" w:rsidTr="00D23F4E">
        <w:trPr>
          <w:trHeight w:val="432"/>
        </w:trPr>
        <w:tc>
          <w:tcPr>
            <w:tcW w:w="2880" w:type="dxa"/>
            <w:gridSpan w:val="2"/>
            <w:shd w:val="clear" w:color="auto" w:fill="FFFFFF"/>
            <w:vAlign w:val="center"/>
          </w:tcPr>
          <w:p w14:paraId="67B55B32" w14:textId="77777777" w:rsidR="00F63DAA" w:rsidRPr="00F63DAA" w:rsidRDefault="00F63DAA" w:rsidP="00F63DAA">
            <w:pPr>
              <w:tabs>
                <w:tab w:val="center" w:pos="4320"/>
                <w:tab w:val="right" w:pos="8640"/>
              </w:tabs>
              <w:rPr>
                <w:rFonts w:ascii="Arial" w:hAnsi="Arial"/>
                <w:b/>
              </w:rPr>
            </w:pPr>
            <w:r w:rsidRPr="00F63DAA">
              <w:rPr>
                <w:rFonts w:ascii="Arial" w:hAnsi="Arial"/>
                <w:b/>
              </w:rPr>
              <w:t>E-mail Address</w:t>
            </w:r>
          </w:p>
        </w:tc>
        <w:tc>
          <w:tcPr>
            <w:tcW w:w="7560" w:type="dxa"/>
            <w:gridSpan w:val="2"/>
            <w:vAlign w:val="center"/>
          </w:tcPr>
          <w:p w14:paraId="33787F6E" w14:textId="1FDFDBB8" w:rsidR="001A6D21" w:rsidRPr="00F63DAA" w:rsidRDefault="00843CDC" w:rsidP="001A6D21">
            <w:pPr>
              <w:rPr>
                <w:rFonts w:ascii="Arial" w:hAnsi="Arial"/>
              </w:rPr>
            </w:pPr>
            <w:hyperlink r:id="rId9" w:history="1">
              <w:r w:rsidR="00C032A8" w:rsidRPr="00043A45">
                <w:rPr>
                  <w:rStyle w:val="Hyperlink"/>
                  <w:rFonts w:ascii="Arial" w:hAnsi="Arial"/>
                </w:rPr>
                <w:t>John.Dumas@lcra.org</w:t>
              </w:r>
            </w:hyperlink>
            <w:r w:rsidR="00C032A8">
              <w:rPr>
                <w:rFonts w:ascii="Arial" w:hAnsi="Arial"/>
              </w:rPr>
              <w:t xml:space="preserve">; </w:t>
            </w:r>
            <w:hyperlink r:id="rId10" w:history="1">
              <w:r w:rsidR="001A6D21" w:rsidRPr="0095261B">
                <w:rPr>
                  <w:rStyle w:val="Hyperlink"/>
                  <w:rFonts w:ascii="Arial" w:hAnsi="Arial"/>
                </w:rPr>
                <w:t>Clif@stec.org</w:t>
              </w:r>
            </w:hyperlink>
          </w:p>
        </w:tc>
      </w:tr>
      <w:tr w:rsidR="00F63DAA" w:rsidRPr="00F63DAA" w14:paraId="00840FF6" w14:textId="77777777" w:rsidTr="00D23F4E">
        <w:trPr>
          <w:trHeight w:val="432"/>
        </w:trPr>
        <w:tc>
          <w:tcPr>
            <w:tcW w:w="2880" w:type="dxa"/>
            <w:gridSpan w:val="2"/>
            <w:shd w:val="clear" w:color="auto" w:fill="FFFFFF"/>
            <w:vAlign w:val="center"/>
          </w:tcPr>
          <w:p w14:paraId="6FD30203" w14:textId="77777777" w:rsidR="00F63DAA" w:rsidRPr="00F63DAA" w:rsidRDefault="00F63DAA" w:rsidP="00F63DAA">
            <w:pPr>
              <w:tabs>
                <w:tab w:val="center" w:pos="4320"/>
                <w:tab w:val="right" w:pos="8640"/>
              </w:tabs>
              <w:rPr>
                <w:rFonts w:ascii="Arial" w:hAnsi="Arial"/>
                <w:b/>
              </w:rPr>
            </w:pPr>
            <w:r w:rsidRPr="00F63DAA">
              <w:rPr>
                <w:rFonts w:ascii="Arial" w:hAnsi="Arial"/>
                <w:b/>
              </w:rPr>
              <w:t>Company</w:t>
            </w:r>
          </w:p>
        </w:tc>
        <w:tc>
          <w:tcPr>
            <w:tcW w:w="7560" w:type="dxa"/>
            <w:gridSpan w:val="2"/>
            <w:vAlign w:val="center"/>
          </w:tcPr>
          <w:p w14:paraId="0D0128BA" w14:textId="5361AAC4" w:rsidR="00F63DAA" w:rsidRPr="00F63DAA" w:rsidRDefault="00F63DAA" w:rsidP="00F63DAA">
            <w:pPr>
              <w:rPr>
                <w:rFonts w:ascii="Arial" w:hAnsi="Arial"/>
              </w:rPr>
            </w:pPr>
            <w:r w:rsidRPr="00F63DAA">
              <w:rPr>
                <w:rFonts w:ascii="Arial" w:hAnsi="Arial"/>
              </w:rPr>
              <w:t>Lower Colorado River Authority</w:t>
            </w:r>
            <w:r w:rsidR="001A6D21">
              <w:rPr>
                <w:rFonts w:ascii="Arial" w:hAnsi="Arial"/>
              </w:rPr>
              <w:t xml:space="preserve"> (LCRA)</w:t>
            </w:r>
            <w:r w:rsidRPr="00F63DAA">
              <w:rPr>
                <w:rFonts w:ascii="Arial" w:hAnsi="Arial"/>
              </w:rPr>
              <w:t xml:space="preserve"> and South Texas Electric Cooperative</w:t>
            </w:r>
            <w:r w:rsidR="001A6D21">
              <w:rPr>
                <w:rFonts w:ascii="Arial" w:hAnsi="Arial"/>
              </w:rPr>
              <w:t xml:space="preserve"> (STEC)</w:t>
            </w:r>
          </w:p>
        </w:tc>
      </w:tr>
      <w:tr w:rsidR="00F63DAA" w:rsidRPr="00F63DAA" w14:paraId="00A8D04B" w14:textId="77777777" w:rsidTr="00D23F4E">
        <w:trPr>
          <w:trHeight w:val="432"/>
        </w:trPr>
        <w:tc>
          <w:tcPr>
            <w:tcW w:w="2880" w:type="dxa"/>
            <w:gridSpan w:val="2"/>
            <w:tcBorders>
              <w:bottom w:val="single" w:sz="4" w:space="0" w:color="auto"/>
            </w:tcBorders>
            <w:shd w:val="clear" w:color="auto" w:fill="FFFFFF"/>
            <w:vAlign w:val="center"/>
          </w:tcPr>
          <w:p w14:paraId="6565002B" w14:textId="77777777" w:rsidR="00F63DAA" w:rsidRPr="00F63DAA" w:rsidRDefault="00F63DAA" w:rsidP="00F63DAA">
            <w:pPr>
              <w:tabs>
                <w:tab w:val="center" w:pos="4320"/>
                <w:tab w:val="right" w:pos="8640"/>
              </w:tabs>
              <w:rPr>
                <w:rFonts w:ascii="Arial" w:hAnsi="Arial"/>
                <w:b/>
              </w:rPr>
            </w:pPr>
            <w:r w:rsidRPr="00F63DAA">
              <w:rPr>
                <w:rFonts w:ascii="Arial" w:hAnsi="Arial"/>
                <w:b/>
              </w:rPr>
              <w:t>Phone Number</w:t>
            </w:r>
          </w:p>
        </w:tc>
        <w:tc>
          <w:tcPr>
            <w:tcW w:w="7560" w:type="dxa"/>
            <w:gridSpan w:val="2"/>
            <w:tcBorders>
              <w:bottom w:val="single" w:sz="4" w:space="0" w:color="auto"/>
            </w:tcBorders>
            <w:vAlign w:val="center"/>
          </w:tcPr>
          <w:p w14:paraId="6EC46D7A" w14:textId="5CB673AB" w:rsidR="00F63DAA" w:rsidRPr="00F63DAA" w:rsidRDefault="00C032A8" w:rsidP="00F63DAA">
            <w:pPr>
              <w:rPr>
                <w:rFonts w:ascii="Arial" w:hAnsi="Arial"/>
              </w:rPr>
            </w:pPr>
            <w:r>
              <w:rPr>
                <w:rFonts w:ascii="Arial" w:hAnsi="Arial"/>
              </w:rPr>
              <w:t xml:space="preserve">(512) 730-6847; </w:t>
            </w:r>
            <w:r w:rsidRPr="00C032A8">
              <w:rPr>
                <w:rFonts w:ascii="Arial" w:hAnsi="Arial"/>
              </w:rPr>
              <w:t>(361) 485-6206</w:t>
            </w:r>
          </w:p>
        </w:tc>
      </w:tr>
      <w:tr w:rsidR="00F63DAA" w:rsidRPr="00F63DAA" w14:paraId="6AD2B9EF" w14:textId="77777777" w:rsidTr="00D23F4E">
        <w:trPr>
          <w:trHeight w:val="432"/>
        </w:trPr>
        <w:tc>
          <w:tcPr>
            <w:tcW w:w="2880" w:type="dxa"/>
            <w:gridSpan w:val="2"/>
            <w:shd w:val="clear" w:color="auto" w:fill="FFFFFF"/>
            <w:vAlign w:val="center"/>
          </w:tcPr>
          <w:p w14:paraId="674B812B" w14:textId="77777777" w:rsidR="00F63DAA" w:rsidRPr="00F63DAA" w:rsidRDefault="00F63DAA" w:rsidP="00F63DAA">
            <w:pPr>
              <w:tabs>
                <w:tab w:val="center" w:pos="4320"/>
                <w:tab w:val="right" w:pos="8640"/>
              </w:tabs>
              <w:rPr>
                <w:rFonts w:ascii="Arial" w:hAnsi="Arial"/>
                <w:b/>
              </w:rPr>
            </w:pPr>
            <w:r w:rsidRPr="00F63DAA">
              <w:rPr>
                <w:rFonts w:ascii="Arial" w:hAnsi="Arial"/>
                <w:b/>
              </w:rPr>
              <w:t>Cell Number</w:t>
            </w:r>
          </w:p>
        </w:tc>
        <w:tc>
          <w:tcPr>
            <w:tcW w:w="7560" w:type="dxa"/>
            <w:gridSpan w:val="2"/>
            <w:vAlign w:val="center"/>
          </w:tcPr>
          <w:p w14:paraId="56A74A1A" w14:textId="57A20E89" w:rsidR="00F63DAA" w:rsidRPr="00F63DAA" w:rsidRDefault="00C032A8" w:rsidP="00F63DAA">
            <w:pPr>
              <w:rPr>
                <w:rFonts w:ascii="Arial" w:hAnsi="Arial"/>
              </w:rPr>
            </w:pPr>
            <w:r>
              <w:rPr>
                <w:rFonts w:ascii="Arial" w:hAnsi="Arial"/>
              </w:rPr>
              <w:t xml:space="preserve">(512) 913-9399; </w:t>
            </w:r>
            <w:r w:rsidRPr="00C032A8">
              <w:rPr>
                <w:rFonts w:ascii="Arial" w:hAnsi="Arial"/>
              </w:rPr>
              <w:t>(361) 894-3465</w:t>
            </w:r>
          </w:p>
        </w:tc>
      </w:tr>
      <w:tr w:rsidR="00F63DAA" w:rsidRPr="00F63DAA" w14:paraId="128C5C9C" w14:textId="77777777" w:rsidTr="00D23F4E">
        <w:trPr>
          <w:trHeight w:val="432"/>
        </w:trPr>
        <w:tc>
          <w:tcPr>
            <w:tcW w:w="2880" w:type="dxa"/>
            <w:gridSpan w:val="2"/>
            <w:tcBorders>
              <w:bottom w:val="single" w:sz="4" w:space="0" w:color="auto"/>
            </w:tcBorders>
            <w:shd w:val="clear" w:color="auto" w:fill="FFFFFF"/>
            <w:vAlign w:val="center"/>
          </w:tcPr>
          <w:p w14:paraId="3133F4A5" w14:textId="77777777" w:rsidR="00F63DAA" w:rsidRPr="00F63DAA" w:rsidRDefault="00F63DAA" w:rsidP="00F63DAA">
            <w:pPr>
              <w:tabs>
                <w:tab w:val="center" w:pos="4320"/>
                <w:tab w:val="right" w:pos="8640"/>
              </w:tabs>
              <w:rPr>
                <w:rFonts w:ascii="Arial" w:hAnsi="Arial"/>
                <w:b/>
              </w:rPr>
            </w:pPr>
            <w:r w:rsidRPr="00F63DAA">
              <w:rPr>
                <w:rFonts w:ascii="Arial" w:hAnsi="Arial"/>
                <w:b/>
              </w:rPr>
              <w:t>Market Segment</w:t>
            </w:r>
          </w:p>
        </w:tc>
        <w:tc>
          <w:tcPr>
            <w:tcW w:w="7560" w:type="dxa"/>
            <w:gridSpan w:val="2"/>
            <w:tcBorders>
              <w:bottom w:val="single" w:sz="4" w:space="0" w:color="auto"/>
            </w:tcBorders>
            <w:vAlign w:val="center"/>
          </w:tcPr>
          <w:p w14:paraId="313D2A4B" w14:textId="6C60A625" w:rsidR="00F63DAA" w:rsidRPr="00F63DAA" w:rsidRDefault="00884BA1" w:rsidP="00F63DAA">
            <w:pPr>
              <w:rPr>
                <w:rFonts w:ascii="Arial" w:hAnsi="Arial"/>
              </w:rPr>
            </w:pPr>
            <w:r>
              <w:rPr>
                <w:rFonts w:ascii="Arial" w:hAnsi="Arial"/>
              </w:rPr>
              <w:t>Cooperative</w:t>
            </w:r>
          </w:p>
        </w:tc>
      </w:tr>
    </w:tbl>
    <w:p w14:paraId="28232E03" w14:textId="0E2159C3" w:rsidR="00F63DAA" w:rsidRDefault="00884BA1" w:rsidP="001044A2">
      <w:pPr>
        <w:tabs>
          <w:tab w:val="num" w:pos="0"/>
        </w:tabs>
        <w:spacing w:before="240" w:after="120"/>
        <w:rPr>
          <w:rFonts w:ascii="Arial" w:hAnsi="Arial" w:cs="Arial"/>
        </w:rPr>
      </w:pPr>
      <w:r>
        <w:rPr>
          <w:rFonts w:ascii="Arial" w:hAnsi="Arial" w:cs="Arial"/>
          <w:b/>
          <w:bCs/>
        </w:rPr>
        <w:t>Overview</w:t>
      </w:r>
    </w:p>
    <w:p w14:paraId="6DDE3171" w14:textId="2DC4DB27" w:rsidR="00884BA1" w:rsidRDefault="00884BA1" w:rsidP="00D0279A">
      <w:pPr>
        <w:tabs>
          <w:tab w:val="num" w:pos="0"/>
        </w:tabs>
        <w:spacing w:before="120" w:after="120"/>
        <w:rPr>
          <w:rFonts w:ascii="Arial" w:hAnsi="Arial" w:cs="Arial"/>
        </w:rPr>
      </w:pPr>
      <w:r>
        <w:rPr>
          <w:rFonts w:ascii="Arial" w:hAnsi="Arial" w:cs="Arial"/>
        </w:rPr>
        <w:t>On September 29, 2021, the Technical Advisory Committee (TAC) approved Nodal Protocol Revision Request (NPRR) 1093</w:t>
      </w:r>
      <w:r w:rsidR="001044A2">
        <w:rPr>
          <w:rFonts w:ascii="Arial" w:hAnsi="Arial" w:cs="Arial"/>
        </w:rPr>
        <w:t xml:space="preserve">, </w:t>
      </w:r>
      <w:r w:rsidR="001044A2" w:rsidRPr="001044A2">
        <w:rPr>
          <w:rFonts w:ascii="Arial" w:hAnsi="Arial" w:cs="Arial"/>
        </w:rPr>
        <w:t>Load Resource Participation in Non-Spinning Reserve</w:t>
      </w:r>
      <w:r w:rsidR="001044A2">
        <w:rPr>
          <w:rFonts w:ascii="Arial" w:hAnsi="Arial" w:cs="Arial"/>
        </w:rPr>
        <w:t>,</w:t>
      </w:r>
      <w:r>
        <w:rPr>
          <w:rFonts w:ascii="Arial" w:hAnsi="Arial" w:cs="Arial"/>
        </w:rPr>
        <w:t xml:space="preserve"> and its associated revision requests, including Other Binding Document Revision Request (OBDRR) 032</w:t>
      </w:r>
      <w:r w:rsidR="001D2076">
        <w:rPr>
          <w:rFonts w:ascii="Arial" w:hAnsi="Arial" w:cs="Arial"/>
        </w:rPr>
        <w:t xml:space="preserve">, which is the subject of this </w:t>
      </w:r>
      <w:r w:rsidR="00E00114">
        <w:rPr>
          <w:rFonts w:ascii="Arial" w:hAnsi="Arial" w:cs="Arial"/>
        </w:rPr>
        <w:t>TAC Recommendation Opposition</w:t>
      </w:r>
      <w:r w:rsidR="00D0279A">
        <w:rPr>
          <w:rFonts w:ascii="Arial" w:hAnsi="Arial" w:cs="Arial"/>
        </w:rPr>
        <w:t xml:space="preserve">, submitted pursuant to Board Policies and Procedures Section VIII, </w:t>
      </w:r>
      <w:r w:rsidR="00D0279A" w:rsidRPr="00D0279A">
        <w:rPr>
          <w:rFonts w:ascii="Arial" w:hAnsi="Arial" w:cs="Arial"/>
        </w:rPr>
        <w:t>Procedures for Participation by Parties Requesting to Advocate For or</w:t>
      </w:r>
      <w:r w:rsidR="00D0279A">
        <w:rPr>
          <w:rFonts w:ascii="Arial" w:hAnsi="Arial" w:cs="Arial"/>
        </w:rPr>
        <w:t xml:space="preserve"> </w:t>
      </w:r>
      <w:r w:rsidR="00D0279A" w:rsidRPr="00D0279A">
        <w:rPr>
          <w:rFonts w:ascii="Arial" w:hAnsi="Arial" w:cs="Arial"/>
        </w:rPr>
        <w:t>Against Specific Voting Items before the Board</w:t>
      </w:r>
      <w:r w:rsidR="00D0279A">
        <w:rPr>
          <w:rFonts w:ascii="Arial" w:hAnsi="Arial" w:cs="Arial"/>
        </w:rPr>
        <w:t xml:space="preserve"> of the Board Policies and Procedures</w:t>
      </w:r>
      <w:r>
        <w:rPr>
          <w:rFonts w:ascii="Arial" w:hAnsi="Arial" w:cs="Arial"/>
        </w:rPr>
        <w:t xml:space="preserve">. </w:t>
      </w:r>
      <w:r w:rsidR="001A6D21">
        <w:rPr>
          <w:rFonts w:ascii="Arial" w:hAnsi="Arial" w:cs="Arial"/>
        </w:rPr>
        <w:t xml:space="preserve"> </w:t>
      </w:r>
      <w:r>
        <w:rPr>
          <w:rFonts w:ascii="Arial" w:hAnsi="Arial" w:cs="Arial"/>
        </w:rPr>
        <w:t xml:space="preserve">As described further in ERCOT’s business case for NPRR1093, the intent of the NPRR is to </w:t>
      </w:r>
      <w:r w:rsidRPr="00884BA1">
        <w:rPr>
          <w:rFonts w:ascii="Arial" w:hAnsi="Arial" w:cs="Arial"/>
        </w:rPr>
        <w:t>change the Protocols to allow Load Resources that are not Controllable Load Resources to provide Non-Spin</w:t>
      </w:r>
      <w:r>
        <w:rPr>
          <w:rFonts w:ascii="Arial" w:hAnsi="Arial" w:cs="Arial"/>
        </w:rPr>
        <w:t xml:space="preserve">ning Reserve (referred to as “Non-Spin”), a type of Ancillary Service. </w:t>
      </w:r>
      <w:r w:rsidR="001A6D21">
        <w:rPr>
          <w:rFonts w:ascii="Arial" w:hAnsi="Arial" w:cs="Arial"/>
        </w:rPr>
        <w:t xml:space="preserve"> </w:t>
      </w:r>
      <w:r w:rsidR="001D2076">
        <w:rPr>
          <w:rFonts w:ascii="Arial" w:hAnsi="Arial" w:cs="Arial"/>
        </w:rPr>
        <w:t xml:space="preserve">LCRA and STEC (“Appellants”) do not object to ERCOT permitting these additional types of Load Resources to provide Non-Spin, and therefore have not appealed the TAC’s </w:t>
      </w:r>
      <w:r w:rsidR="00D0279A">
        <w:rPr>
          <w:rFonts w:ascii="Arial" w:hAnsi="Arial" w:cs="Arial"/>
        </w:rPr>
        <w:t xml:space="preserve">recommended </w:t>
      </w:r>
      <w:r w:rsidR="001D2076">
        <w:rPr>
          <w:rFonts w:ascii="Arial" w:hAnsi="Arial" w:cs="Arial"/>
        </w:rPr>
        <w:t xml:space="preserve">approval of NPRR1093. </w:t>
      </w:r>
      <w:r w:rsidR="001A6D21">
        <w:rPr>
          <w:rFonts w:ascii="Arial" w:hAnsi="Arial" w:cs="Arial"/>
        </w:rPr>
        <w:t xml:space="preserve"> </w:t>
      </w:r>
      <w:r w:rsidR="001D2076">
        <w:rPr>
          <w:rFonts w:ascii="Arial" w:hAnsi="Arial" w:cs="Arial"/>
        </w:rPr>
        <w:t xml:space="preserve">However, Appellants do oppose ERCOT’s proposed methodology for deploying Non-Controllable Load Resources in a manner that is more favorable than the deployment of Generation Resources providing the same service. </w:t>
      </w:r>
      <w:r w:rsidR="001A6D21">
        <w:rPr>
          <w:rFonts w:ascii="Arial" w:hAnsi="Arial" w:cs="Arial"/>
        </w:rPr>
        <w:t xml:space="preserve"> </w:t>
      </w:r>
      <w:r w:rsidR="00752BFF">
        <w:rPr>
          <w:rFonts w:ascii="Arial" w:hAnsi="Arial" w:cs="Arial"/>
        </w:rPr>
        <w:t xml:space="preserve">Appellants both own dispatchable Generation Resources that currently participate in the Non-Spin market and will face a competitive disadvantage if OBDRRR032 is approved in its current form. </w:t>
      </w:r>
      <w:r w:rsidR="001A6D21">
        <w:rPr>
          <w:rFonts w:ascii="Arial" w:hAnsi="Arial" w:cs="Arial"/>
        </w:rPr>
        <w:t xml:space="preserve"> </w:t>
      </w:r>
      <w:r w:rsidR="001D2076">
        <w:rPr>
          <w:rFonts w:ascii="Arial" w:hAnsi="Arial" w:cs="Arial"/>
        </w:rPr>
        <w:t>Accordingly, Appellants present this appeal of OBDRR032 for the Board’s consideration.</w:t>
      </w:r>
    </w:p>
    <w:p w14:paraId="68A8E28F" w14:textId="52D2CA22" w:rsidR="00F63DAA" w:rsidRPr="00F63DAA" w:rsidRDefault="00F63DAA" w:rsidP="001A6D21">
      <w:pPr>
        <w:tabs>
          <w:tab w:val="num" w:pos="0"/>
        </w:tabs>
        <w:spacing w:before="120" w:after="120"/>
        <w:rPr>
          <w:rFonts w:ascii="Arial" w:hAnsi="Arial" w:cs="Arial"/>
          <w:b/>
          <w:bCs/>
        </w:rPr>
      </w:pPr>
      <w:r w:rsidRPr="00F63DAA">
        <w:rPr>
          <w:rFonts w:ascii="Arial" w:hAnsi="Arial" w:cs="Arial"/>
          <w:b/>
          <w:bCs/>
        </w:rPr>
        <w:t>Background</w:t>
      </w:r>
    </w:p>
    <w:p w14:paraId="43ACA53C" w14:textId="77777777" w:rsidR="00A9500C" w:rsidRDefault="001D2076" w:rsidP="001A6D21">
      <w:pPr>
        <w:spacing w:before="120" w:after="120"/>
        <w:rPr>
          <w:rFonts w:ascii="Arial" w:hAnsi="Arial" w:cs="Arial"/>
        </w:rPr>
      </w:pPr>
      <w:r>
        <w:rPr>
          <w:rFonts w:ascii="Arial" w:hAnsi="Arial" w:cs="Arial"/>
        </w:rPr>
        <w:t xml:space="preserve">Currently, only Generation Resources and Controllable Load Resources are permitted to provide Non-Spin. </w:t>
      </w:r>
    </w:p>
    <w:p w14:paraId="448BF3CF" w14:textId="77777777" w:rsidR="00A9500C" w:rsidRDefault="001D2076" w:rsidP="001A6D21">
      <w:pPr>
        <w:pStyle w:val="ListParagraph"/>
        <w:numPr>
          <w:ilvl w:val="0"/>
          <w:numId w:val="27"/>
        </w:numPr>
        <w:spacing w:before="60" w:after="60"/>
        <w:contextualSpacing w:val="0"/>
        <w:rPr>
          <w:rFonts w:ascii="Arial" w:hAnsi="Arial" w:cs="Arial"/>
        </w:rPr>
      </w:pPr>
      <w:r w:rsidRPr="00A9500C">
        <w:rPr>
          <w:rFonts w:ascii="Arial" w:hAnsi="Arial" w:cs="Arial"/>
        </w:rPr>
        <w:t xml:space="preserve">A Load Resource is defined as a Load that is capable of providing Ancillary Services or energy in the form of Demand response and </w:t>
      </w:r>
      <w:r w:rsidR="003F017A" w:rsidRPr="00A9500C">
        <w:rPr>
          <w:rFonts w:ascii="Arial" w:hAnsi="Arial" w:cs="Arial"/>
        </w:rPr>
        <w:t xml:space="preserve">is </w:t>
      </w:r>
      <w:r w:rsidRPr="00A9500C">
        <w:rPr>
          <w:rFonts w:ascii="Arial" w:hAnsi="Arial" w:cs="Arial"/>
        </w:rPr>
        <w:t xml:space="preserve">registered with ERCOT as a Load Resource. </w:t>
      </w:r>
    </w:p>
    <w:p w14:paraId="4F0287D4" w14:textId="456F41C7" w:rsidR="001D2076" w:rsidRDefault="001D2076" w:rsidP="001A6D21">
      <w:pPr>
        <w:pStyle w:val="ListParagraph"/>
        <w:numPr>
          <w:ilvl w:val="0"/>
          <w:numId w:val="27"/>
        </w:numPr>
        <w:spacing w:before="60" w:after="60"/>
        <w:contextualSpacing w:val="0"/>
        <w:rPr>
          <w:rFonts w:ascii="Arial" w:hAnsi="Arial" w:cs="Arial"/>
        </w:rPr>
      </w:pPr>
      <w:r w:rsidRPr="00A9500C">
        <w:rPr>
          <w:rFonts w:ascii="Arial" w:hAnsi="Arial" w:cs="Arial"/>
        </w:rPr>
        <w:lastRenderedPageBreak/>
        <w:t xml:space="preserve">A Controllable Load Resource is one that is capable of controllably reducing or increasing consumption under Dispatch control by ERCOT; </w:t>
      </w:r>
      <w:r w:rsidR="0082208D">
        <w:rPr>
          <w:rFonts w:ascii="Arial" w:hAnsi="Arial" w:cs="Arial"/>
        </w:rPr>
        <w:t xml:space="preserve">Loads with </w:t>
      </w:r>
      <w:r w:rsidRPr="00A9500C">
        <w:rPr>
          <w:rFonts w:ascii="Arial" w:hAnsi="Arial" w:cs="Arial"/>
        </w:rPr>
        <w:t xml:space="preserve">such </w:t>
      </w:r>
      <w:r w:rsidR="0082208D">
        <w:rPr>
          <w:rFonts w:ascii="Arial" w:hAnsi="Arial" w:cs="Arial"/>
        </w:rPr>
        <w:t>capabilities</w:t>
      </w:r>
      <w:r w:rsidRPr="00A9500C">
        <w:rPr>
          <w:rFonts w:ascii="Arial" w:hAnsi="Arial" w:cs="Arial"/>
        </w:rPr>
        <w:t xml:space="preserve"> are already permitted to provide Non-Spin today.</w:t>
      </w:r>
    </w:p>
    <w:p w14:paraId="6B9B1F3F" w14:textId="75CEC6FD" w:rsidR="00A9500C" w:rsidRPr="00A9500C" w:rsidRDefault="00A9500C" w:rsidP="001A6D21">
      <w:pPr>
        <w:pStyle w:val="ListParagraph"/>
        <w:numPr>
          <w:ilvl w:val="0"/>
          <w:numId w:val="27"/>
        </w:numPr>
        <w:spacing w:before="60" w:after="60"/>
        <w:contextualSpacing w:val="0"/>
        <w:rPr>
          <w:rFonts w:ascii="Arial" w:hAnsi="Arial" w:cs="Arial"/>
        </w:rPr>
      </w:pPr>
      <w:r>
        <w:rPr>
          <w:rFonts w:ascii="Arial" w:hAnsi="Arial" w:cs="Arial"/>
        </w:rPr>
        <w:t xml:space="preserve">By extension, a Load Resource that is not a Controllable Load Resource (which Appellants refer to as a “Non-Controllable Load Resource” for brevity, although this is not a defined term), lacks the capability </w:t>
      </w:r>
      <w:r w:rsidR="00752BFF">
        <w:rPr>
          <w:rFonts w:ascii="Arial" w:hAnsi="Arial" w:cs="Arial"/>
        </w:rPr>
        <w:t xml:space="preserve">to be “dispatched” by ERCOT, i.e., it cannot </w:t>
      </w:r>
      <w:r>
        <w:rPr>
          <w:rFonts w:ascii="Arial" w:hAnsi="Arial" w:cs="Arial"/>
        </w:rPr>
        <w:t>reduce or increase its consumption when directed by ERCOT.</w:t>
      </w:r>
    </w:p>
    <w:p w14:paraId="1E18B53E" w14:textId="4C696435" w:rsidR="003F017A" w:rsidRDefault="003F017A" w:rsidP="001A6D21">
      <w:pPr>
        <w:spacing w:before="120" w:after="120"/>
        <w:rPr>
          <w:rFonts w:ascii="Arial" w:hAnsi="Arial"/>
        </w:rPr>
      </w:pPr>
      <w:r>
        <w:rPr>
          <w:rFonts w:ascii="Arial" w:hAnsi="Arial"/>
        </w:rPr>
        <w:t xml:space="preserve">Allowing Non-Controllable Load Resources to provide Non-Spin requires changes to how ERCOT “deploys,” or calls upon, Resources with a Non-Spin obligation when ERCOT needs to convert that Non-Spin capacity into energy. </w:t>
      </w:r>
      <w:r w:rsidR="001A6D21">
        <w:rPr>
          <w:rFonts w:ascii="Arial" w:hAnsi="Arial"/>
        </w:rPr>
        <w:t xml:space="preserve"> </w:t>
      </w:r>
      <w:r>
        <w:rPr>
          <w:rFonts w:ascii="Arial" w:hAnsi="Arial"/>
        </w:rPr>
        <w:t xml:space="preserve">With OBDRR032, ERCOT proposes that </w:t>
      </w:r>
      <w:r w:rsidRPr="00FB7ED1">
        <w:rPr>
          <w:rFonts w:ascii="Arial" w:hAnsi="Arial"/>
          <w:b/>
          <w:bCs/>
        </w:rPr>
        <w:t>“Load Resources that are not Controllable Load Resources will be deployed after other Non-Spin from Off-Line Generation Resources.”</w:t>
      </w:r>
      <w:r>
        <w:rPr>
          <w:rFonts w:ascii="Arial" w:hAnsi="Arial"/>
        </w:rPr>
        <w:t xml:space="preserve"> Further, </w:t>
      </w:r>
      <w:r w:rsidRPr="00FB7ED1">
        <w:rPr>
          <w:rFonts w:ascii="Arial" w:hAnsi="Arial"/>
          <w:b/>
          <w:bCs/>
        </w:rPr>
        <w:t>“Load Resources that are not Controllable Load Resources will be recalled first, followed by Generation Resources.”</w:t>
      </w:r>
      <w:r>
        <w:rPr>
          <w:rFonts w:ascii="Arial" w:hAnsi="Arial"/>
        </w:rPr>
        <w:t xml:space="preserve"> </w:t>
      </w:r>
      <w:r w:rsidR="001A6D21">
        <w:rPr>
          <w:rFonts w:ascii="Arial" w:hAnsi="Arial"/>
        </w:rPr>
        <w:t xml:space="preserve"> </w:t>
      </w:r>
      <w:r>
        <w:rPr>
          <w:rFonts w:ascii="Arial" w:hAnsi="Arial"/>
        </w:rPr>
        <w:t>In other words, OBDRR032 presents a</w:t>
      </w:r>
      <w:r w:rsidR="009D41F1">
        <w:rPr>
          <w:rFonts w:ascii="Arial" w:hAnsi="Arial"/>
        </w:rPr>
        <w:t xml:space="preserve"> discriminatory</w:t>
      </w:r>
      <w:r>
        <w:rPr>
          <w:rFonts w:ascii="Arial" w:hAnsi="Arial"/>
        </w:rPr>
        <w:t xml:space="preserve"> “last in, first out” preference for Non-Controllable Load Resources, reducing the likelihood that such Resources will actually be called upon relative to Generation Resources providing the exact same service and getting paid the </w:t>
      </w:r>
      <w:r w:rsidR="0082208D">
        <w:rPr>
          <w:rFonts w:ascii="Arial" w:hAnsi="Arial"/>
        </w:rPr>
        <w:t xml:space="preserve">exact </w:t>
      </w:r>
      <w:r>
        <w:rPr>
          <w:rFonts w:ascii="Arial" w:hAnsi="Arial"/>
        </w:rPr>
        <w:t xml:space="preserve">same </w:t>
      </w:r>
      <w:r w:rsidR="0082208D">
        <w:rPr>
          <w:rFonts w:ascii="Arial" w:hAnsi="Arial"/>
        </w:rPr>
        <w:t xml:space="preserve">price </w:t>
      </w:r>
      <w:r>
        <w:rPr>
          <w:rFonts w:ascii="Arial" w:hAnsi="Arial"/>
        </w:rPr>
        <w:t>as the Non-Controllable Load Resources.</w:t>
      </w:r>
    </w:p>
    <w:p w14:paraId="0F3CCFDD" w14:textId="741829DA" w:rsidR="00A67F75" w:rsidRPr="00A67F75" w:rsidRDefault="00A67F75" w:rsidP="001A6D21">
      <w:pPr>
        <w:spacing w:before="120" w:after="120"/>
        <w:rPr>
          <w:rFonts w:ascii="Arial" w:hAnsi="Arial"/>
        </w:rPr>
      </w:pPr>
      <w:r w:rsidRPr="005305A0">
        <w:rPr>
          <w:rFonts w:ascii="Arial" w:hAnsi="Arial"/>
        </w:rPr>
        <w:t xml:space="preserve">With regard to timing, ERCOT initially indicated in its request for urgency by the Protocol Revision Subcommittee (which in fact voted to approve urgent consideration for NPRR1093 at its September 16, 2021 meeting) that such urgency was necessary “to allow ERCOT to explore temporary work-arounds to allow Load Resources that are not Controllable Load Resources to participate in Non-Spinning Reserve (Non-Spin) so that additional capacity is available to ERCOT Operators for the upcoming winter and summer 2022.” </w:t>
      </w:r>
      <w:r w:rsidR="001A6D21">
        <w:rPr>
          <w:rFonts w:ascii="Arial" w:hAnsi="Arial"/>
        </w:rPr>
        <w:t xml:space="preserve"> </w:t>
      </w:r>
      <w:r w:rsidRPr="005305A0">
        <w:rPr>
          <w:rFonts w:ascii="Arial" w:hAnsi="Arial"/>
        </w:rPr>
        <w:t xml:space="preserve">However, ERCOT initially identified the implementation timeline for the changes as requiring “8 to 12 months,” according to the original Impact Analysis filed with NPRR1093. </w:t>
      </w:r>
      <w:r w:rsidR="001A6D21">
        <w:rPr>
          <w:rFonts w:ascii="Arial" w:hAnsi="Arial"/>
        </w:rPr>
        <w:t xml:space="preserve"> </w:t>
      </w:r>
      <w:r w:rsidRPr="005305A0">
        <w:rPr>
          <w:rFonts w:ascii="Arial" w:hAnsi="Arial"/>
        </w:rPr>
        <w:t xml:space="preserve">Thus, it was never the case that ERCOT could have the necessary changes in place to allow for Non-Controllable Load Resources to provide Non-Spin capacity as early as “the upcoming winter.” </w:t>
      </w:r>
      <w:r w:rsidR="001A6D21">
        <w:rPr>
          <w:rFonts w:ascii="Arial" w:hAnsi="Arial"/>
        </w:rPr>
        <w:t xml:space="preserve"> </w:t>
      </w:r>
      <w:r w:rsidRPr="005305A0">
        <w:rPr>
          <w:rFonts w:ascii="Arial" w:hAnsi="Arial"/>
        </w:rPr>
        <w:t xml:space="preserve">ERCOT has since further revised its estimated timeline to “10 to 14 months.” </w:t>
      </w:r>
      <w:r w:rsidR="001A6D21">
        <w:rPr>
          <w:rFonts w:ascii="Arial" w:hAnsi="Arial"/>
        </w:rPr>
        <w:t xml:space="preserve"> </w:t>
      </w:r>
      <w:r w:rsidRPr="005305A0">
        <w:rPr>
          <w:rFonts w:ascii="Arial" w:hAnsi="Arial"/>
        </w:rPr>
        <w:t>As a result, any additional time required for ERCOT to revise OBDRR032 will not be the cause for a delay in implementing these changes “for the upcoming winter and summer 2022,” as such targets are not achievable to implement NPRR1093 even based on the current TAC-</w:t>
      </w:r>
      <w:r w:rsidR="004B2984">
        <w:rPr>
          <w:rFonts w:ascii="Arial" w:hAnsi="Arial"/>
        </w:rPr>
        <w:t>recommended</w:t>
      </w:r>
      <w:r w:rsidRPr="005305A0">
        <w:rPr>
          <w:rFonts w:ascii="Arial" w:hAnsi="Arial"/>
        </w:rPr>
        <w:t xml:space="preserve"> language. </w:t>
      </w:r>
      <w:r w:rsidR="001A6D21">
        <w:rPr>
          <w:rFonts w:ascii="Arial" w:hAnsi="Arial"/>
        </w:rPr>
        <w:t xml:space="preserve"> </w:t>
      </w:r>
      <w:r w:rsidR="00706B0F" w:rsidRPr="005305A0">
        <w:rPr>
          <w:rFonts w:ascii="Arial" w:hAnsi="Arial"/>
        </w:rPr>
        <w:t>To be clear, OBDRR032 has not been granted Urgent status, and t</w:t>
      </w:r>
      <w:r w:rsidRPr="005305A0">
        <w:rPr>
          <w:rFonts w:ascii="Arial" w:hAnsi="Arial"/>
        </w:rPr>
        <w:t>here is simply no reason to require a rushed</w:t>
      </w:r>
      <w:r w:rsidR="00706B0F" w:rsidRPr="005305A0">
        <w:rPr>
          <w:rFonts w:ascii="Arial" w:hAnsi="Arial"/>
        </w:rPr>
        <w:t xml:space="preserve"> </w:t>
      </w:r>
      <w:r w:rsidRPr="005305A0">
        <w:rPr>
          <w:rFonts w:ascii="Arial" w:hAnsi="Arial"/>
        </w:rPr>
        <w:t xml:space="preserve">and inequitable implementation </w:t>
      </w:r>
      <w:r w:rsidR="00706B0F" w:rsidRPr="005305A0">
        <w:rPr>
          <w:rFonts w:ascii="Arial" w:hAnsi="Arial"/>
        </w:rPr>
        <w:t>plan to achieve a goal that ERCOT has already signaled cannot be met.</w:t>
      </w:r>
      <w:r w:rsidR="001B18C6" w:rsidRPr="005305A0">
        <w:rPr>
          <w:rFonts w:ascii="Arial" w:hAnsi="Arial"/>
        </w:rPr>
        <w:t xml:space="preserve"> </w:t>
      </w:r>
      <w:r w:rsidR="001A6D21">
        <w:rPr>
          <w:rFonts w:ascii="Arial" w:hAnsi="Arial"/>
        </w:rPr>
        <w:t xml:space="preserve"> </w:t>
      </w:r>
      <w:r w:rsidR="001B18C6" w:rsidRPr="005305A0">
        <w:rPr>
          <w:rFonts w:ascii="Arial" w:hAnsi="Arial"/>
        </w:rPr>
        <w:t>ERCOT staff can still “explore temporary work-arounds” while it revises the deployment methodology in OBDRR032 to be resource-neutral and non-discriminatory, if ordered by the Board.</w:t>
      </w:r>
      <w:r w:rsidR="001B18C6">
        <w:rPr>
          <w:rFonts w:ascii="Arial" w:hAnsi="Arial"/>
        </w:rPr>
        <w:t xml:space="preserve"> </w:t>
      </w:r>
      <w:r w:rsidR="00706B0F">
        <w:rPr>
          <w:rFonts w:ascii="Arial" w:hAnsi="Arial"/>
        </w:rPr>
        <w:t xml:space="preserve"> </w:t>
      </w:r>
    </w:p>
    <w:p w14:paraId="32B37701" w14:textId="187A5730" w:rsidR="00FB7ED1" w:rsidRDefault="00FB7ED1" w:rsidP="001A6D21">
      <w:pPr>
        <w:spacing w:before="120" w:after="120"/>
        <w:rPr>
          <w:rFonts w:ascii="Arial" w:hAnsi="Arial"/>
          <w:b/>
          <w:bCs/>
        </w:rPr>
      </w:pPr>
      <w:r>
        <w:rPr>
          <w:rFonts w:ascii="Arial" w:hAnsi="Arial"/>
          <w:b/>
          <w:bCs/>
        </w:rPr>
        <w:t>Appeal</w:t>
      </w:r>
    </w:p>
    <w:p w14:paraId="286F8862" w14:textId="28A336A3" w:rsidR="00FB7ED1" w:rsidRPr="00FB7ED1" w:rsidRDefault="00FB7ED1" w:rsidP="001A6D21">
      <w:pPr>
        <w:spacing w:before="120" w:after="120"/>
        <w:rPr>
          <w:rFonts w:ascii="Arial" w:hAnsi="Arial"/>
        </w:rPr>
      </w:pPr>
      <w:r>
        <w:rPr>
          <w:rFonts w:ascii="Arial" w:hAnsi="Arial"/>
        </w:rPr>
        <w:t xml:space="preserve">Appellants specifically object to the above-quoted deployment order language changes in </w:t>
      </w:r>
      <w:r w:rsidR="001A6D21">
        <w:rPr>
          <w:rFonts w:ascii="Arial" w:hAnsi="Arial"/>
        </w:rPr>
        <w:t>S</w:t>
      </w:r>
      <w:r>
        <w:rPr>
          <w:rFonts w:ascii="Arial" w:hAnsi="Arial"/>
        </w:rPr>
        <w:t>ections 1 and 3 of the OBDRR.</w:t>
      </w:r>
    </w:p>
    <w:p w14:paraId="0870DEFA" w14:textId="42B81104" w:rsidR="00F63DAA" w:rsidRPr="00F63DAA" w:rsidRDefault="00F63DAA" w:rsidP="001A6D21">
      <w:pPr>
        <w:spacing w:before="120" w:after="120"/>
        <w:rPr>
          <w:rFonts w:ascii="Arial" w:hAnsi="Arial"/>
          <w:b/>
        </w:rPr>
      </w:pPr>
      <w:r w:rsidRPr="00F63DAA">
        <w:rPr>
          <w:rFonts w:ascii="Arial" w:hAnsi="Arial"/>
        </w:rPr>
        <w:lastRenderedPageBreak/>
        <w:t>The</w:t>
      </w:r>
      <w:r w:rsidR="003F017A">
        <w:rPr>
          <w:rFonts w:ascii="Arial" w:hAnsi="Arial"/>
        </w:rPr>
        <w:t>se</w:t>
      </w:r>
      <w:r w:rsidRPr="00F63DAA">
        <w:rPr>
          <w:rFonts w:ascii="Arial" w:hAnsi="Arial"/>
        </w:rPr>
        <w:t xml:space="preserve"> changes will have market consequences that negatively and disproportionately burden </w:t>
      </w:r>
      <w:r w:rsidR="003F017A">
        <w:rPr>
          <w:rFonts w:ascii="Arial" w:hAnsi="Arial"/>
        </w:rPr>
        <w:t>G</w:t>
      </w:r>
      <w:r w:rsidRPr="00F63DAA">
        <w:rPr>
          <w:rFonts w:ascii="Arial" w:hAnsi="Arial"/>
        </w:rPr>
        <w:t xml:space="preserve">eneration </w:t>
      </w:r>
      <w:r w:rsidR="003F017A">
        <w:rPr>
          <w:rFonts w:ascii="Arial" w:hAnsi="Arial"/>
        </w:rPr>
        <w:t>R</w:t>
      </w:r>
      <w:r w:rsidRPr="00F63DAA">
        <w:rPr>
          <w:rFonts w:ascii="Arial" w:hAnsi="Arial"/>
        </w:rPr>
        <w:t xml:space="preserve">esources. </w:t>
      </w:r>
      <w:r w:rsidR="001A6D21">
        <w:rPr>
          <w:rFonts w:ascii="Arial" w:hAnsi="Arial"/>
        </w:rPr>
        <w:t xml:space="preserve"> </w:t>
      </w:r>
      <w:r w:rsidRPr="00F63DAA">
        <w:rPr>
          <w:rFonts w:ascii="Arial" w:hAnsi="Arial"/>
        </w:rPr>
        <w:t>This outcome is at odds with Senate Bill 3</w:t>
      </w:r>
      <w:r w:rsidR="00A9500C">
        <w:rPr>
          <w:rFonts w:ascii="Arial" w:hAnsi="Arial"/>
        </w:rPr>
        <w:t>, which requires the Public Utility Commission to “</w:t>
      </w:r>
      <w:r w:rsidR="00A9500C" w:rsidRPr="00A9500C">
        <w:rPr>
          <w:rFonts w:ascii="Arial" w:hAnsi="Arial"/>
        </w:rPr>
        <w:t>evaluate whether additional services are needed</w:t>
      </w:r>
      <w:r w:rsidR="00A9500C">
        <w:rPr>
          <w:rFonts w:ascii="Arial" w:hAnsi="Arial"/>
        </w:rPr>
        <w:t xml:space="preserve"> </w:t>
      </w:r>
      <w:r w:rsidR="00A9500C" w:rsidRPr="00A9500C">
        <w:rPr>
          <w:rFonts w:ascii="Arial" w:hAnsi="Arial"/>
        </w:rPr>
        <w:t xml:space="preserve">for reliability in the ERCOT power region </w:t>
      </w:r>
      <w:r w:rsidR="00A9500C" w:rsidRPr="00A9500C">
        <w:rPr>
          <w:rFonts w:ascii="Arial" w:hAnsi="Arial"/>
          <w:i/>
          <w:iCs/>
        </w:rPr>
        <w:t>while providing adequate incentives</w:t>
      </w:r>
      <w:r w:rsidR="00A9500C" w:rsidRPr="00A9500C">
        <w:rPr>
          <w:rFonts w:ascii="Arial" w:hAnsi="Arial"/>
        </w:rPr>
        <w:t xml:space="preserve"> </w:t>
      </w:r>
      <w:r w:rsidR="00A9500C" w:rsidRPr="00A9500C">
        <w:rPr>
          <w:rFonts w:ascii="Arial" w:hAnsi="Arial"/>
          <w:i/>
          <w:iCs/>
        </w:rPr>
        <w:t>for dispatchable generation</w:t>
      </w:r>
      <w:r w:rsidR="00A9500C">
        <w:rPr>
          <w:rFonts w:ascii="Arial" w:hAnsi="Arial"/>
        </w:rPr>
        <w:t>.”</w:t>
      </w:r>
      <w:r w:rsidR="00A9500C">
        <w:rPr>
          <w:rStyle w:val="FootnoteReference"/>
          <w:rFonts w:ascii="Arial" w:hAnsi="Arial"/>
        </w:rPr>
        <w:footnoteReference w:id="1"/>
      </w:r>
      <w:r w:rsidRPr="00F63DAA">
        <w:rPr>
          <w:rFonts w:ascii="Arial" w:hAnsi="Arial"/>
        </w:rPr>
        <w:t xml:space="preserve"> </w:t>
      </w:r>
      <w:r w:rsidR="001A6D21">
        <w:rPr>
          <w:rFonts w:ascii="Arial" w:hAnsi="Arial"/>
        </w:rPr>
        <w:t xml:space="preserve"> </w:t>
      </w:r>
      <w:r w:rsidR="00A9500C">
        <w:rPr>
          <w:rFonts w:ascii="Arial" w:hAnsi="Arial"/>
        </w:rPr>
        <w:t>Specifically, in procuring Ancillary Services, ERCOT is required under Senate Bill 3 to ensure that resources that provide such services are “dispatchable.”</w:t>
      </w:r>
      <w:r w:rsidR="00A9500C">
        <w:rPr>
          <w:rStyle w:val="FootnoteReference"/>
          <w:rFonts w:ascii="Arial" w:hAnsi="Arial"/>
        </w:rPr>
        <w:footnoteReference w:id="2"/>
      </w:r>
      <w:r w:rsidR="00A9500C">
        <w:rPr>
          <w:rFonts w:ascii="Arial" w:hAnsi="Arial"/>
        </w:rPr>
        <w:t xml:space="preserve"> </w:t>
      </w:r>
      <w:r w:rsidR="001A6D21">
        <w:rPr>
          <w:rFonts w:ascii="Arial" w:hAnsi="Arial"/>
        </w:rPr>
        <w:t xml:space="preserve"> </w:t>
      </w:r>
      <w:r w:rsidR="00A9500C">
        <w:rPr>
          <w:rFonts w:ascii="Arial" w:hAnsi="Arial"/>
        </w:rPr>
        <w:t xml:space="preserve">Moreover, </w:t>
      </w:r>
      <w:r w:rsidRPr="00F63DAA">
        <w:rPr>
          <w:rFonts w:ascii="Arial" w:hAnsi="Arial"/>
        </w:rPr>
        <w:t xml:space="preserve">the Governor’s </w:t>
      </w:r>
      <w:r w:rsidR="00A9500C">
        <w:rPr>
          <w:rFonts w:ascii="Arial" w:hAnsi="Arial"/>
        </w:rPr>
        <w:t xml:space="preserve">policy direction to the Public Utility Commission and ERCOT in his July 6, 2021 letter is </w:t>
      </w:r>
      <w:r w:rsidRPr="00F63DAA">
        <w:rPr>
          <w:rFonts w:ascii="Arial" w:hAnsi="Arial"/>
        </w:rPr>
        <w:t xml:space="preserve">to </w:t>
      </w:r>
      <w:r w:rsidR="00A9500C">
        <w:rPr>
          <w:rFonts w:ascii="Arial" w:hAnsi="Arial"/>
        </w:rPr>
        <w:t>“</w:t>
      </w:r>
      <w:r w:rsidRPr="00F63DAA">
        <w:rPr>
          <w:rFonts w:ascii="Arial" w:hAnsi="Arial"/>
        </w:rPr>
        <w:t xml:space="preserve">streamline incentives within the ERCOT market to foster the development and maintenance of adequate and reliable </w:t>
      </w:r>
      <w:r w:rsidR="00E30A7E">
        <w:rPr>
          <w:rFonts w:ascii="Arial" w:hAnsi="Arial"/>
        </w:rPr>
        <w:t>resources</w:t>
      </w:r>
      <w:r w:rsidRPr="00F63DAA">
        <w:rPr>
          <w:rFonts w:ascii="Arial" w:hAnsi="Arial"/>
        </w:rPr>
        <w:t>, like natural gas, coal, and nuclear power.</w:t>
      </w:r>
      <w:r w:rsidR="00A9500C">
        <w:rPr>
          <w:rFonts w:ascii="Arial" w:hAnsi="Arial"/>
        </w:rPr>
        <w:t>”</w:t>
      </w:r>
      <w:bookmarkStart w:id="0" w:name="_Hlk82439958"/>
    </w:p>
    <w:bookmarkEnd w:id="0"/>
    <w:p w14:paraId="315A4EA2" w14:textId="77777777" w:rsidR="00F63DAA" w:rsidRPr="00F63DAA" w:rsidRDefault="00F63DAA" w:rsidP="001A6D21">
      <w:pPr>
        <w:spacing w:before="120" w:after="120"/>
        <w:rPr>
          <w:rFonts w:ascii="Arial" w:hAnsi="Arial"/>
          <w:b/>
        </w:rPr>
      </w:pPr>
      <w:r w:rsidRPr="00F63DAA">
        <w:rPr>
          <w:rFonts w:ascii="Arial" w:hAnsi="Arial"/>
          <w:b/>
        </w:rPr>
        <w:t>Harm to Dispatchable Generation Resources</w:t>
      </w:r>
    </w:p>
    <w:p w14:paraId="1814F3A6" w14:textId="6E48E597" w:rsidR="00F63DAA" w:rsidRPr="00F63DAA" w:rsidRDefault="00F63DAA" w:rsidP="001A6D21">
      <w:pPr>
        <w:spacing w:before="120" w:after="120"/>
        <w:rPr>
          <w:rFonts w:ascii="Arial" w:hAnsi="Arial"/>
        </w:rPr>
      </w:pPr>
      <w:r w:rsidRPr="00F63DAA">
        <w:rPr>
          <w:rFonts w:ascii="Arial" w:hAnsi="Arial"/>
        </w:rPr>
        <w:t xml:space="preserve">Given the preferential dispatch treatment proposed for Non-Controllable Load Resources, </w:t>
      </w:r>
      <w:r w:rsidR="003F017A">
        <w:rPr>
          <w:rFonts w:ascii="Arial" w:hAnsi="Arial"/>
        </w:rPr>
        <w:t xml:space="preserve">Appellants </w:t>
      </w:r>
      <w:r w:rsidRPr="00F63DAA">
        <w:rPr>
          <w:rFonts w:ascii="Arial" w:hAnsi="Arial"/>
        </w:rPr>
        <w:t xml:space="preserve">have serious concerns that </w:t>
      </w:r>
      <w:r w:rsidR="003F017A">
        <w:rPr>
          <w:rFonts w:ascii="Arial" w:hAnsi="Arial"/>
        </w:rPr>
        <w:t xml:space="preserve">the </w:t>
      </w:r>
      <w:r w:rsidRPr="00F63DAA">
        <w:rPr>
          <w:rFonts w:ascii="Arial" w:hAnsi="Arial"/>
        </w:rPr>
        <w:t>Non-Spin market</w:t>
      </w:r>
      <w:r w:rsidR="003F017A">
        <w:rPr>
          <w:rFonts w:ascii="Arial" w:hAnsi="Arial"/>
        </w:rPr>
        <w:t xml:space="preserve"> will be negatively impacted</w:t>
      </w:r>
      <w:r w:rsidRPr="00F63DAA">
        <w:rPr>
          <w:rFonts w:ascii="Arial" w:hAnsi="Arial"/>
        </w:rPr>
        <w:t>, which in turn will suppress the value of the service</w:t>
      </w:r>
      <w:r w:rsidR="003F017A">
        <w:rPr>
          <w:rFonts w:ascii="Arial" w:hAnsi="Arial"/>
        </w:rPr>
        <w:t xml:space="preserve"> and dampen </w:t>
      </w:r>
      <w:r w:rsidRPr="00F63DAA">
        <w:rPr>
          <w:rFonts w:ascii="Arial" w:hAnsi="Arial"/>
        </w:rPr>
        <w:t>Day</w:t>
      </w:r>
      <w:r w:rsidR="001A6D21">
        <w:rPr>
          <w:rFonts w:ascii="Arial" w:hAnsi="Arial"/>
        </w:rPr>
        <w:t>-</w:t>
      </w:r>
      <w:r w:rsidRPr="00F63DAA">
        <w:rPr>
          <w:rFonts w:ascii="Arial" w:hAnsi="Arial"/>
        </w:rPr>
        <w:t>Ahead, Real</w:t>
      </w:r>
      <w:r w:rsidR="001A6D21">
        <w:rPr>
          <w:rFonts w:ascii="Arial" w:hAnsi="Arial"/>
        </w:rPr>
        <w:t>-</w:t>
      </w:r>
      <w:r w:rsidRPr="00F63DAA">
        <w:rPr>
          <w:rFonts w:ascii="Arial" w:hAnsi="Arial"/>
        </w:rPr>
        <w:t xml:space="preserve">Time, and forward market prices. </w:t>
      </w:r>
      <w:r w:rsidR="001A6D21">
        <w:rPr>
          <w:rFonts w:ascii="Arial" w:hAnsi="Arial"/>
        </w:rPr>
        <w:t xml:space="preserve"> </w:t>
      </w:r>
      <w:r w:rsidR="00E30A7E">
        <w:rPr>
          <w:rFonts w:ascii="Arial" w:hAnsi="Arial"/>
        </w:rPr>
        <w:t xml:space="preserve">These market prices and investment signals are critical to ensuring that ERCOT attracts sufficient dispatchable generation capacity to reliably serve the electric needs of Texans. </w:t>
      </w:r>
      <w:r w:rsidR="001A6D21">
        <w:rPr>
          <w:rFonts w:ascii="Arial" w:hAnsi="Arial"/>
        </w:rPr>
        <w:t xml:space="preserve"> </w:t>
      </w:r>
      <w:r w:rsidRPr="00F63DAA">
        <w:rPr>
          <w:rFonts w:ascii="Arial" w:hAnsi="Arial"/>
        </w:rPr>
        <w:t xml:space="preserve">The ripple effects of these changes would be far-reaching and </w:t>
      </w:r>
      <w:r w:rsidR="00E30A7E">
        <w:rPr>
          <w:rFonts w:ascii="Arial" w:hAnsi="Arial"/>
        </w:rPr>
        <w:t xml:space="preserve">could also </w:t>
      </w:r>
      <w:r w:rsidRPr="00F63DAA">
        <w:rPr>
          <w:rFonts w:ascii="Arial" w:hAnsi="Arial"/>
        </w:rPr>
        <w:t xml:space="preserve">threaten the economic viability of existing dispatchable resources that depend on </w:t>
      </w:r>
      <w:r w:rsidR="00E30A7E">
        <w:rPr>
          <w:rFonts w:ascii="Arial" w:hAnsi="Arial"/>
        </w:rPr>
        <w:t>adequate Ancillary Service revenues to remain in the market</w:t>
      </w:r>
      <w:r w:rsidRPr="00F63DAA">
        <w:rPr>
          <w:rFonts w:ascii="Arial" w:hAnsi="Arial"/>
        </w:rPr>
        <w:t xml:space="preserve">. </w:t>
      </w:r>
      <w:r w:rsidR="001A6D21">
        <w:rPr>
          <w:rFonts w:ascii="Arial" w:hAnsi="Arial"/>
        </w:rPr>
        <w:t xml:space="preserve"> </w:t>
      </w:r>
      <w:r w:rsidRPr="00F63DAA">
        <w:rPr>
          <w:rFonts w:ascii="Arial" w:hAnsi="Arial"/>
        </w:rPr>
        <w:t xml:space="preserve">Long term resource adequacy depends on maintaining the existing dispatchable fleet of Generation Resources and encouraging further development of more dispatchable capacity. </w:t>
      </w:r>
    </w:p>
    <w:p w14:paraId="2C6031B8" w14:textId="5E0A835C" w:rsidR="00884BA1" w:rsidRPr="00BA2009" w:rsidRDefault="00E30A7E" w:rsidP="001044A2">
      <w:pPr>
        <w:spacing w:before="120" w:after="120"/>
      </w:pPr>
      <w:r>
        <w:rPr>
          <w:rFonts w:ascii="Arial" w:hAnsi="Arial"/>
        </w:rPr>
        <w:t xml:space="preserve">Appellants </w:t>
      </w:r>
      <w:r w:rsidR="00F63DAA" w:rsidRPr="00F63DAA">
        <w:rPr>
          <w:rFonts w:ascii="Arial" w:hAnsi="Arial"/>
        </w:rPr>
        <w:t xml:space="preserve">believe </w:t>
      </w:r>
      <w:r>
        <w:rPr>
          <w:rFonts w:ascii="Arial" w:hAnsi="Arial"/>
        </w:rPr>
        <w:t xml:space="preserve">that ERCOT </w:t>
      </w:r>
      <w:r w:rsidR="00F63DAA" w:rsidRPr="00F63DAA">
        <w:rPr>
          <w:rFonts w:ascii="Arial" w:hAnsi="Arial"/>
        </w:rPr>
        <w:t xml:space="preserve">can successfully integrate </w:t>
      </w:r>
      <w:r>
        <w:rPr>
          <w:rFonts w:ascii="Arial" w:hAnsi="Arial"/>
        </w:rPr>
        <w:t xml:space="preserve">Non-Controllable </w:t>
      </w:r>
      <w:r w:rsidR="00F63DAA" w:rsidRPr="00F63DAA">
        <w:rPr>
          <w:rFonts w:ascii="Arial" w:hAnsi="Arial"/>
        </w:rPr>
        <w:t xml:space="preserve">Load Resources into the Non-Spin market without damaging economic incentives for dispatchable Generation Resources and while maintaining or enhancing ERCOT’s reliability objectives. </w:t>
      </w:r>
      <w:r w:rsidR="001A6D21">
        <w:rPr>
          <w:rFonts w:ascii="Arial" w:hAnsi="Arial"/>
        </w:rPr>
        <w:t xml:space="preserve"> </w:t>
      </w:r>
      <w:r>
        <w:rPr>
          <w:rFonts w:ascii="Arial" w:hAnsi="Arial"/>
        </w:rPr>
        <w:t xml:space="preserve">However, OBDRR032 as </w:t>
      </w:r>
      <w:r w:rsidR="001044A2">
        <w:rPr>
          <w:rFonts w:ascii="Arial" w:hAnsi="Arial"/>
        </w:rPr>
        <w:t>recommended by TAC</w:t>
      </w:r>
      <w:r>
        <w:rPr>
          <w:rFonts w:ascii="Arial" w:hAnsi="Arial"/>
        </w:rPr>
        <w:t xml:space="preserve"> does not meet these goals. </w:t>
      </w:r>
      <w:r w:rsidR="001A6D21">
        <w:rPr>
          <w:rFonts w:ascii="Arial" w:hAnsi="Arial"/>
        </w:rPr>
        <w:t xml:space="preserve"> </w:t>
      </w:r>
      <w:r>
        <w:rPr>
          <w:rFonts w:ascii="Arial" w:hAnsi="Arial"/>
        </w:rPr>
        <w:t>Therefore</w:t>
      </w:r>
      <w:r w:rsidR="001A6D21">
        <w:rPr>
          <w:rFonts w:ascii="Arial" w:hAnsi="Arial"/>
        </w:rPr>
        <w:t>,</w:t>
      </w:r>
      <w:r>
        <w:rPr>
          <w:rFonts w:ascii="Arial" w:hAnsi="Arial"/>
        </w:rPr>
        <w:t xml:space="preserve"> Appellants respectfully request that the Board reject OBDRR032 and direct ERCOT to revise the deployment methodology to </w:t>
      </w:r>
      <w:r w:rsidR="004B26B4">
        <w:rPr>
          <w:rFonts w:ascii="Arial" w:hAnsi="Arial"/>
        </w:rPr>
        <w:t>e</w:t>
      </w:r>
      <w:r>
        <w:rPr>
          <w:rFonts w:ascii="Arial" w:hAnsi="Arial"/>
        </w:rPr>
        <w:t>nsure that NPRR1093 is implemented appropriately and equitably in a resource-neutral manner.</w:t>
      </w:r>
    </w:p>
    <w:p w14:paraId="0896040E" w14:textId="77777777" w:rsidR="009A3772" w:rsidRPr="00BA2009" w:rsidRDefault="009A3772" w:rsidP="00884BA1">
      <w:pPr>
        <w:keepNext/>
        <w:spacing w:before="160" w:after="160"/>
        <w:ind w:left="360"/>
        <w:outlineLvl w:val="1"/>
      </w:pPr>
    </w:p>
    <w:sectPr w:rsidR="009A3772"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8856F" w14:textId="77777777" w:rsidR="009847A0" w:rsidRDefault="009847A0">
      <w:r>
        <w:separator/>
      </w:r>
    </w:p>
  </w:endnote>
  <w:endnote w:type="continuationSeparator" w:id="0">
    <w:p w14:paraId="4CA8A68A" w14:textId="77777777" w:rsidR="009847A0" w:rsidRDefault="0098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8F0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48D94" w14:textId="30FD3EF7" w:rsidR="00752BFF" w:rsidRDefault="00C07855">
    <w:pPr>
      <w:pStyle w:val="Footer"/>
      <w:tabs>
        <w:tab w:val="clear" w:pos="4320"/>
        <w:tab w:val="clear" w:pos="8640"/>
        <w:tab w:val="right" w:pos="9360"/>
      </w:tabs>
      <w:rPr>
        <w:rFonts w:ascii="Arial" w:hAnsi="Arial" w:cs="Arial"/>
        <w:sz w:val="18"/>
      </w:rPr>
    </w:pPr>
    <w:r>
      <w:rPr>
        <w:rFonts w:ascii="Arial" w:hAnsi="Arial" w:cs="Arial"/>
        <w:sz w:val="18"/>
      </w:rPr>
      <w:t>032OBDRR-05 TAC Recommendation Opposition by LCRA and STEC 10</w:t>
    </w:r>
    <w:r w:rsidR="00843CDC">
      <w:rPr>
        <w:rFonts w:ascii="Arial" w:hAnsi="Arial" w:cs="Arial"/>
        <w:sz w:val="18"/>
      </w:rPr>
      <w:t>15</w:t>
    </w:r>
    <w:r>
      <w:rPr>
        <w:rFonts w:ascii="Arial" w:hAnsi="Arial" w:cs="Arial"/>
        <w:sz w:val="18"/>
      </w:rPr>
      <w:t>21</w:t>
    </w:r>
  </w:p>
  <w:p w14:paraId="08A102DF" w14:textId="53A1382E" w:rsidR="003A4138" w:rsidRDefault="00752BFF">
    <w:pPr>
      <w:pStyle w:val="Footer"/>
      <w:tabs>
        <w:tab w:val="clear" w:pos="4320"/>
        <w:tab w:val="clear" w:pos="8640"/>
        <w:tab w:val="right" w:pos="9360"/>
      </w:tabs>
      <w:rPr>
        <w:rFonts w:ascii="Arial" w:hAnsi="Arial" w:cs="Arial"/>
        <w:sz w:val="18"/>
      </w:rPr>
    </w:pPr>
    <w:r>
      <w:rPr>
        <w:rFonts w:ascii="Arial" w:hAnsi="Arial" w:cs="Arial"/>
        <w:sz w:val="18"/>
      </w:rPr>
      <w:t>PUBLIC</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p>
  <w:p w14:paraId="23F7CAED" w14:textId="1D993AA0" w:rsidR="003A4138" w:rsidRPr="00412DCA" w:rsidRDefault="003A4138">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F1D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DEE32" w14:textId="77777777" w:rsidR="009847A0" w:rsidRDefault="009847A0">
      <w:r>
        <w:separator/>
      </w:r>
    </w:p>
  </w:footnote>
  <w:footnote w:type="continuationSeparator" w:id="0">
    <w:p w14:paraId="7407B823" w14:textId="77777777" w:rsidR="009847A0" w:rsidRDefault="009847A0">
      <w:r>
        <w:continuationSeparator/>
      </w:r>
    </w:p>
  </w:footnote>
  <w:footnote w:id="1">
    <w:p w14:paraId="4C6E655B" w14:textId="6771947F" w:rsidR="00A9500C" w:rsidRDefault="00A9500C">
      <w:pPr>
        <w:pStyle w:val="FootnoteText"/>
      </w:pPr>
      <w:r>
        <w:rPr>
          <w:rStyle w:val="FootnoteReference"/>
        </w:rPr>
        <w:footnoteRef/>
      </w:r>
      <w:r>
        <w:t xml:space="preserve"> Tex. Util. Code § 35.004(g)(2).</w:t>
      </w:r>
    </w:p>
  </w:footnote>
  <w:footnote w:id="2">
    <w:p w14:paraId="35863578" w14:textId="0B8DFE7F" w:rsidR="00A9500C" w:rsidRPr="00A9500C" w:rsidRDefault="00A9500C">
      <w:pPr>
        <w:pStyle w:val="FootnoteText"/>
      </w:pPr>
      <w:r>
        <w:rPr>
          <w:rStyle w:val="FootnoteReference"/>
        </w:rPr>
        <w:footnoteRef/>
      </w:r>
      <w:r>
        <w:t xml:space="preserve"> </w:t>
      </w:r>
      <w:r>
        <w:rPr>
          <w:i/>
          <w:iCs/>
        </w:rPr>
        <w:t>Id.</w:t>
      </w:r>
      <w:r>
        <w:t xml:space="preserve"> § 39.159.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1DDD" w14:textId="4AA9D303" w:rsidR="003A4138" w:rsidRPr="001044A2" w:rsidRDefault="00C07855" w:rsidP="00C07855">
    <w:pPr>
      <w:pStyle w:val="Header"/>
      <w:jc w:val="center"/>
      <w:rPr>
        <w:sz w:val="32"/>
        <w:szCs w:val="32"/>
      </w:rPr>
    </w:pPr>
    <w:r w:rsidRPr="001044A2">
      <w:rPr>
        <w:bCs w:val="0"/>
        <w:sz w:val="32"/>
        <w:szCs w:val="32"/>
      </w:rPr>
      <w:t>TAC Recommendation Opposition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70215"/>
    <w:multiLevelType w:val="hybridMultilevel"/>
    <w:tmpl w:val="3FD6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3"/>
  </w:num>
  <w:num w:numId="15">
    <w:abstractNumId w:val="11"/>
  </w:num>
  <w:num w:numId="16">
    <w:abstractNumId w:val="15"/>
  </w:num>
  <w:num w:numId="17">
    <w:abstractNumId w:val="16"/>
  </w:num>
  <w:num w:numId="18">
    <w:abstractNumId w:val="5"/>
  </w:num>
  <w:num w:numId="19">
    <w:abstractNumId w:val="13"/>
  </w:num>
  <w:num w:numId="20">
    <w:abstractNumId w:val="9"/>
  </w:num>
  <w:num w:numId="21">
    <w:abstractNumId w:val="2"/>
  </w:num>
  <w:num w:numId="22">
    <w:abstractNumId w:val="4"/>
  </w:num>
  <w:num w:numId="23">
    <w:abstractNumId w:val="7"/>
  </w:num>
  <w:num w:numId="24">
    <w:abstractNumId w:val="14"/>
  </w:num>
  <w:num w:numId="25">
    <w:abstractNumId w:val="8"/>
  </w:num>
  <w:num w:numId="26">
    <w:abstractNumId w:val="1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2117"/>
    <w:rsid w:val="000233AD"/>
    <w:rsid w:val="00032C08"/>
    <w:rsid w:val="00067FE2"/>
    <w:rsid w:val="000710D5"/>
    <w:rsid w:val="000D7040"/>
    <w:rsid w:val="001044A2"/>
    <w:rsid w:val="00110DA1"/>
    <w:rsid w:val="00132E7E"/>
    <w:rsid w:val="00145425"/>
    <w:rsid w:val="0014546D"/>
    <w:rsid w:val="00147CD9"/>
    <w:rsid w:val="00175161"/>
    <w:rsid w:val="0019314C"/>
    <w:rsid w:val="001A6D21"/>
    <w:rsid w:val="001B18C6"/>
    <w:rsid w:val="001C1419"/>
    <w:rsid w:val="001D2076"/>
    <w:rsid w:val="001E2AEB"/>
    <w:rsid w:val="0024193F"/>
    <w:rsid w:val="00291547"/>
    <w:rsid w:val="0029370A"/>
    <w:rsid w:val="002A0AA5"/>
    <w:rsid w:val="002A0ECC"/>
    <w:rsid w:val="002B6665"/>
    <w:rsid w:val="002B763A"/>
    <w:rsid w:val="00300362"/>
    <w:rsid w:val="003013F2"/>
    <w:rsid w:val="00303C50"/>
    <w:rsid w:val="0030694A"/>
    <w:rsid w:val="0032677B"/>
    <w:rsid w:val="00327381"/>
    <w:rsid w:val="00372F76"/>
    <w:rsid w:val="00387DF7"/>
    <w:rsid w:val="00396DF7"/>
    <w:rsid w:val="003A3D77"/>
    <w:rsid w:val="003A4138"/>
    <w:rsid w:val="003C5BA2"/>
    <w:rsid w:val="003C5F69"/>
    <w:rsid w:val="003F017A"/>
    <w:rsid w:val="00424216"/>
    <w:rsid w:val="004463BA"/>
    <w:rsid w:val="00474489"/>
    <w:rsid w:val="004822D4"/>
    <w:rsid w:val="00483953"/>
    <w:rsid w:val="004A562B"/>
    <w:rsid w:val="004B26B4"/>
    <w:rsid w:val="004B2984"/>
    <w:rsid w:val="005064CB"/>
    <w:rsid w:val="00520A18"/>
    <w:rsid w:val="005305A0"/>
    <w:rsid w:val="00534C6C"/>
    <w:rsid w:val="005E3F9D"/>
    <w:rsid w:val="005E489D"/>
    <w:rsid w:val="00622CC8"/>
    <w:rsid w:val="006264CE"/>
    <w:rsid w:val="006424E7"/>
    <w:rsid w:val="00646F3A"/>
    <w:rsid w:val="00653565"/>
    <w:rsid w:val="0068206B"/>
    <w:rsid w:val="006A137E"/>
    <w:rsid w:val="006D2265"/>
    <w:rsid w:val="006E5682"/>
    <w:rsid w:val="006E6E27"/>
    <w:rsid w:val="006F4DE3"/>
    <w:rsid w:val="00706B0F"/>
    <w:rsid w:val="0071466E"/>
    <w:rsid w:val="00743968"/>
    <w:rsid w:val="00752BFF"/>
    <w:rsid w:val="00791CB9"/>
    <w:rsid w:val="007A5405"/>
    <w:rsid w:val="007D1B33"/>
    <w:rsid w:val="00815177"/>
    <w:rsid w:val="0082208D"/>
    <w:rsid w:val="00843CDC"/>
    <w:rsid w:val="0088116F"/>
    <w:rsid w:val="00884BA1"/>
    <w:rsid w:val="008A51E7"/>
    <w:rsid w:val="008B7D89"/>
    <w:rsid w:val="008F6441"/>
    <w:rsid w:val="00963A51"/>
    <w:rsid w:val="009847A0"/>
    <w:rsid w:val="009A3772"/>
    <w:rsid w:val="009A63D4"/>
    <w:rsid w:val="009D41F1"/>
    <w:rsid w:val="009E067E"/>
    <w:rsid w:val="00A14C6E"/>
    <w:rsid w:val="00A51CDE"/>
    <w:rsid w:val="00A66F31"/>
    <w:rsid w:val="00A67F75"/>
    <w:rsid w:val="00A8000E"/>
    <w:rsid w:val="00A9500C"/>
    <w:rsid w:val="00A954D0"/>
    <w:rsid w:val="00AF56C6"/>
    <w:rsid w:val="00AF687F"/>
    <w:rsid w:val="00B57F96"/>
    <w:rsid w:val="00B92EF9"/>
    <w:rsid w:val="00BC2D06"/>
    <w:rsid w:val="00BE5A71"/>
    <w:rsid w:val="00C032A8"/>
    <w:rsid w:val="00C07855"/>
    <w:rsid w:val="00C16A9B"/>
    <w:rsid w:val="00C41E24"/>
    <w:rsid w:val="00C90702"/>
    <w:rsid w:val="00C917FF"/>
    <w:rsid w:val="00C95034"/>
    <w:rsid w:val="00CF7E0F"/>
    <w:rsid w:val="00D0279A"/>
    <w:rsid w:val="00D335F2"/>
    <w:rsid w:val="00D47A80"/>
    <w:rsid w:val="00D97220"/>
    <w:rsid w:val="00DC3584"/>
    <w:rsid w:val="00DC7B5D"/>
    <w:rsid w:val="00DD3218"/>
    <w:rsid w:val="00E00114"/>
    <w:rsid w:val="00E30A7E"/>
    <w:rsid w:val="00E37AB0"/>
    <w:rsid w:val="00E72B3F"/>
    <w:rsid w:val="00E93772"/>
    <w:rsid w:val="00E979D4"/>
    <w:rsid w:val="00EA4CC3"/>
    <w:rsid w:val="00EA6110"/>
    <w:rsid w:val="00EB6E17"/>
    <w:rsid w:val="00F240C8"/>
    <w:rsid w:val="00F276A4"/>
    <w:rsid w:val="00F35C71"/>
    <w:rsid w:val="00F44236"/>
    <w:rsid w:val="00F51F2E"/>
    <w:rsid w:val="00F53C30"/>
    <w:rsid w:val="00F63DAA"/>
    <w:rsid w:val="00F87E79"/>
    <w:rsid w:val="00FB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1E080"/>
  <w15:chartTrackingRefBased/>
  <w15:docId w15:val="{75C543D3-EB71-4172-8DD8-E3D0FDE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UnresolvedMention1">
    <w:name w:val="Unresolved Mention1"/>
    <w:basedOn w:val="DefaultParagraphFont"/>
    <w:uiPriority w:val="99"/>
    <w:semiHidden/>
    <w:unhideWhenUsed/>
    <w:rsid w:val="00C95034"/>
    <w:rPr>
      <w:color w:val="605E5C"/>
      <w:shd w:val="clear" w:color="auto" w:fill="E1DFDD"/>
    </w:rPr>
  </w:style>
  <w:style w:type="paragraph" w:styleId="ListParagraph">
    <w:name w:val="List Paragraph"/>
    <w:basedOn w:val="Normal"/>
    <w:uiPriority w:val="34"/>
    <w:qFormat/>
    <w:rsid w:val="00F87E79"/>
    <w:pPr>
      <w:ind w:left="720"/>
      <w:contextualSpacing/>
    </w:pPr>
  </w:style>
  <w:style w:type="character" w:customStyle="1" w:styleId="UnresolvedMention2">
    <w:name w:val="Unresolved Mention2"/>
    <w:basedOn w:val="DefaultParagraphFont"/>
    <w:uiPriority w:val="99"/>
    <w:semiHidden/>
    <w:unhideWhenUsed/>
    <w:rsid w:val="00303C50"/>
    <w:rPr>
      <w:color w:val="605E5C"/>
      <w:shd w:val="clear" w:color="auto" w:fill="E1DFDD"/>
    </w:rPr>
  </w:style>
  <w:style w:type="character" w:customStyle="1" w:styleId="CommentTextChar">
    <w:name w:val="Comment Text Char"/>
    <w:link w:val="CommentText"/>
    <w:rsid w:val="008B7D89"/>
  </w:style>
  <w:style w:type="character" w:styleId="UnresolvedMention">
    <w:name w:val="Unresolved Mention"/>
    <w:basedOn w:val="DefaultParagraphFont"/>
    <w:uiPriority w:val="99"/>
    <w:semiHidden/>
    <w:unhideWhenUsed/>
    <w:rsid w:val="001C1419"/>
    <w:rPr>
      <w:color w:val="605E5C"/>
      <w:shd w:val="clear" w:color="auto" w:fill="E1DFDD"/>
    </w:rPr>
  </w:style>
  <w:style w:type="character" w:styleId="FootnoteReference">
    <w:name w:val="footnote reference"/>
    <w:basedOn w:val="DefaultParagraphFont"/>
    <w:rsid w:val="00A950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OBDRR03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lif@stec.org" TargetMode="External"/><Relationship Id="rId4" Type="http://schemas.openxmlformats.org/officeDocument/2006/relationships/settings" Target="settings.xml"/><Relationship Id="rId9" Type="http://schemas.openxmlformats.org/officeDocument/2006/relationships/hyperlink" Target="mailto:John.Dumas@lcra.org"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5E5E-E7EB-4F52-B392-5A356926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7801</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2001-06-20T16:28:00Z</cp:lastPrinted>
  <dcterms:created xsi:type="dcterms:W3CDTF">2021-10-15T19:31:00Z</dcterms:created>
  <dcterms:modified xsi:type="dcterms:W3CDTF">2021-10-15T19:31:00Z</dcterms:modified>
</cp:coreProperties>
</file>