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591" w:rsidRPr="00C754FC" w:rsidRDefault="00C754FC">
      <w:pPr>
        <w:rPr>
          <w:b/>
          <w:sz w:val="28"/>
          <w:szCs w:val="28"/>
        </w:rPr>
      </w:pPr>
      <w:r w:rsidRPr="00C754FC">
        <w:rPr>
          <w:b/>
          <w:sz w:val="28"/>
          <w:szCs w:val="28"/>
        </w:rPr>
        <w:t>RECTF</w:t>
      </w:r>
    </w:p>
    <w:p w:rsidR="00C754FC" w:rsidRPr="00C754FC" w:rsidRDefault="00FC5864">
      <w:pPr>
        <w:rPr>
          <w:b/>
          <w:sz w:val="28"/>
          <w:szCs w:val="28"/>
        </w:rPr>
      </w:pPr>
      <w:r>
        <w:rPr>
          <w:b/>
          <w:sz w:val="28"/>
          <w:szCs w:val="28"/>
        </w:rPr>
        <w:t>August 31</w:t>
      </w:r>
      <w:r w:rsidRPr="00FC5864">
        <w:rPr>
          <w:b/>
          <w:sz w:val="28"/>
          <w:szCs w:val="28"/>
          <w:vertAlign w:val="superscript"/>
        </w:rPr>
        <w:t>st</w:t>
      </w:r>
      <w:r w:rsidR="00C754FC" w:rsidRPr="00C754FC">
        <w:rPr>
          <w:b/>
          <w:sz w:val="28"/>
          <w:szCs w:val="28"/>
        </w:rPr>
        <w:t>, 2021</w:t>
      </w:r>
    </w:p>
    <w:p w:rsidR="00C754FC" w:rsidRDefault="00C754FC">
      <w:pPr>
        <w:rPr>
          <w:b/>
          <w:sz w:val="28"/>
          <w:szCs w:val="28"/>
        </w:rPr>
      </w:pPr>
      <w:r w:rsidRPr="00C754FC">
        <w:rPr>
          <w:b/>
          <w:sz w:val="28"/>
          <w:szCs w:val="28"/>
        </w:rPr>
        <w:t>WebEx only</w:t>
      </w:r>
    </w:p>
    <w:tbl>
      <w:tblPr>
        <w:tblStyle w:val="GridTable4-Accent5"/>
        <w:tblW w:w="10710" w:type="dxa"/>
        <w:tblInd w:w="-522" w:type="dxa"/>
        <w:tblLook w:val="04A0" w:firstRow="1" w:lastRow="0" w:firstColumn="1" w:lastColumn="0" w:noHBand="0" w:noVBand="1"/>
      </w:tblPr>
      <w:tblGrid>
        <w:gridCol w:w="2093"/>
        <w:gridCol w:w="1302"/>
        <w:gridCol w:w="1892"/>
        <w:gridCol w:w="90"/>
        <w:gridCol w:w="1202"/>
        <w:gridCol w:w="2346"/>
        <w:gridCol w:w="1785"/>
      </w:tblGrid>
      <w:tr w:rsidR="00C754FC" w:rsidTr="00FC5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C754FC" w:rsidRDefault="00C754FC">
            <w:pPr>
              <w:rPr>
                <w:b w:val="0"/>
                <w:sz w:val="28"/>
                <w:szCs w:val="28"/>
              </w:rPr>
            </w:pPr>
            <w:r>
              <w:rPr>
                <w:b w:val="0"/>
                <w:sz w:val="28"/>
                <w:szCs w:val="28"/>
              </w:rPr>
              <w:t>Attendee</w:t>
            </w:r>
          </w:p>
        </w:tc>
        <w:tc>
          <w:tcPr>
            <w:tcW w:w="1302" w:type="dxa"/>
          </w:tcPr>
          <w:p w:rsidR="00C754FC" w:rsidRDefault="00C754FC">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Company</w:t>
            </w:r>
          </w:p>
        </w:tc>
        <w:tc>
          <w:tcPr>
            <w:tcW w:w="1892" w:type="dxa"/>
          </w:tcPr>
          <w:p w:rsidR="00C754FC" w:rsidRDefault="00C754FC">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Attendee</w:t>
            </w:r>
          </w:p>
        </w:tc>
        <w:tc>
          <w:tcPr>
            <w:tcW w:w="1292" w:type="dxa"/>
            <w:gridSpan w:val="2"/>
          </w:tcPr>
          <w:p w:rsidR="00C754FC" w:rsidRDefault="00C754FC">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Company</w:t>
            </w:r>
          </w:p>
        </w:tc>
        <w:tc>
          <w:tcPr>
            <w:tcW w:w="2346" w:type="dxa"/>
          </w:tcPr>
          <w:p w:rsidR="00C754FC" w:rsidRDefault="00C754FC">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Attendee</w:t>
            </w:r>
          </w:p>
        </w:tc>
        <w:tc>
          <w:tcPr>
            <w:tcW w:w="1785" w:type="dxa"/>
          </w:tcPr>
          <w:p w:rsidR="00C754FC" w:rsidRDefault="00C754FC">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Company</w:t>
            </w:r>
          </w:p>
        </w:tc>
      </w:tr>
      <w:tr w:rsidR="00BF6A9F" w:rsidTr="00FC5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BF6A9F" w:rsidRPr="00C754FC" w:rsidRDefault="00BF6A9F" w:rsidP="00BF6A9F">
            <w:pPr>
              <w:rPr>
                <w:b w:val="0"/>
              </w:rPr>
            </w:pPr>
            <w:r w:rsidRPr="00C754FC">
              <w:rPr>
                <w:b w:val="0"/>
              </w:rPr>
              <w:t>Jim Lee</w:t>
            </w:r>
          </w:p>
        </w:tc>
        <w:tc>
          <w:tcPr>
            <w:tcW w:w="1302" w:type="dxa"/>
          </w:tcPr>
          <w:p w:rsidR="00BF6A9F" w:rsidRPr="00C754FC" w:rsidRDefault="00BF6A9F" w:rsidP="00BF6A9F">
            <w:pPr>
              <w:cnfStyle w:val="000000100000" w:firstRow="0" w:lastRow="0" w:firstColumn="0" w:lastColumn="0" w:oddVBand="0" w:evenVBand="0" w:oddHBand="1" w:evenHBand="0" w:firstRowFirstColumn="0" w:firstRowLastColumn="0" w:lastRowFirstColumn="0" w:lastRowLastColumn="0"/>
            </w:pPr>
            <w:r w:rsidRPr="00C754FC">
              <w:t>AEP</w:t>
            </w:r>
          </w:p>
        </w:tc>
        <w:tc>
          <w:tcPr>
            <w:tcW w:w="1982" w:type="dxa"/>
            <w:gridSpan w:val="2"/>
          </w:tcPr>
          <w:p w:rsidR="00BF6A9F" w:rsidRPr="00C754FC" w:rsidRDefault="00FC5864" w:rsidP="00BF6A9F">
            <w:pPr>
              <w:cnfStyle w:val="000000100000" w:firstRow="0" w:lastRow="0" w:firstColumn="0" w:lastColumn="0" w:oddVBand="0" w:evenVBand="0" w:oddHBand="1" w:evenHBand="0" w:firstRowFirstColumn="0" w:firstRowLastColumn="0" w:lastRowFirstColumn="0" w:lastRowLastColumn="0"/>
            </w:pPr>
            <w:r>
              <w:t>Diana Rehfeldt</w:t>
            </w:r>
          </w:p>
        </w:tc>
        <w:tc>
          <w:tcPr>
            <w:tcW w:w="1202" w:type="dxa"/>
          </w:tcPr>
          <w:p w:rsidR="00BF6A9F" w:rsidRPr="00C754FC" w:rsidRDefault="00FC5864" w:rsidP="00BF6A9F">
            <w:pPr>
              <w:cnfStyle w:val="000000100000" w:firstRow="0" w:lastRow="0" w:firstColumn="0" w:lastColumn="0" w:oddVBand="0" w:evenVBand="0" w:oddHBand="1" w:evenHBand="0" w:firstRowFirstColumn="0" w:firstRowLastColumn="0" w:lastRowFirstColumn="0" w:lastRowLastColumn="0"/>
            </w:pPr>
            <w:r>
              <w:t>TNMP</w:t>
            </w:r>
          </w:p>
        </w:tc>
        <w:tc>
          <w:tcPr>
            <w:tcW w:w="2346" w:type="dxa"/>
          </w:tcPr>
          <w:p w:rsidR="00BF6A9F" w:rsidRPr="00C754FC" w:rsidRDefault="00BF6A9F" w:rsidP="00BF6A9F">
            <w:pPr>
              <w:cnfStyle w:val="000000100000" w:firstRow="0" w:lastRow="0" w:firstColumn="0" w:lastColumn="0" w:oddVBand="0" w:evenVBand="0" w:oddHBand="1" w:evenHBand="0" w:firstRowFirstColumn="0" w:firstRowLastColumn="0" w:lastRowFirstColumn="0" w:lastRowLastColumn="0"/>
            </w:pPr>
            <w:r>
              <w:t>Mariah Benson</w:t>
            </w:r>
          </w:p>
        </w:tc>
        <w:tc>
          <w:tcPr>
            <w:tcW w:w="1785" w:type="dxa"/>
          </w:tcPr>
          <w:p w:rsidR="00BF6A9F" w:rsidRPr="00C754FC" w:rsidRDefault="00BF6A9F" w:rsidP="00BF6A9F">
            <w:pPr>
              <w:cnfStyle w:val="000000100000" w:firstRow="0" w:lastRow="0" w:firstColumn="0" w:lastColumn="0" w:oddVBand="0" w:evenVBand="0" w:oddHBand="1" w:evenHBand="0" w:firstRowFirstColumn="0" w:firstRowLastColumn="0" w:lastRowFirstColumn="0" w:lastRowLastColumn="0"/>
            </w:pPr>
            <w:r>
              <w:t>PUCT</w:t>
            </w:r>
          </w:p>
        </w:tc>
      </w:tr>
      <w:tr w:rsidR="00317103" w:rsidTr="00FC5864">
        <w:tc>
          <w:tcPr>
            <w:cnfStyle w:val="001000000000" w:firstRow="0" w:lastRow="0" w:firstColumn="1" w:lastColumn="0" w:oddVBand="0" w:evenVBand="0" w:oddHBand="0" w:evenHBand="0" w:firstRowFirstColumn="0" w:firstRowLastColumn="0" w:lastRowFirstColumn="0" w:lastRowLastColumn="0"/>
            <w:tcW w:w="2093" w:type="dxa"/>
          </w:tcPr>
          <w:p w:rsidR="00317103" w:rsidRPr="00C754FC" w:rsidRDefault="00317103" w:rsidP="00317103">
            <w:pPr>
              <w:rPr>
                <w:b w:val="0"/>
              </w:rPr>
            </w:pPr>
            <w:r w:rsidRPr="00C754FC">
              <w:rPr>
                <w:b w:val="0"/>
              </w:rPr>
              <w:t>Jordan Troublefield</w:t>
            </w:r>
          </w:p>
        </w:tc>
        <w:tc>
          <w:tcPr>
            <w:tcW w:w="1302" w:type="dxa"/>
          </w:tcPr>
          <w:p w:rsidR="00317103" w:rsidRPr="00C754FC" w:rsidRDefault="00317103" w:rsidP="00317103">
            <w:pPr>
              <w:cnfStyle w:val="000000000000" w:firstRow="0" w:lastRow="0" w:firstColumn="0" w:lastColumn="0" w:oddVBand="0" w:evenVBand="0" w:oddHBand="0" w:evenHBand="0" w:firstRowFirstColumn="0" w:firstRowLastColumn="0" w:lastRowFirstColumn="0" w:lastRowLastColumn="0"/>
            </w:pPr>
            <w:r w:rsidRPr="00C754FC">
              <w:t>ERCOT</w:t>
            </w:r>
          </w:p>
        </w:tc>
        <w:tc>
          <w:tcPr>
            <w:tcW w:w="1982" w:type="dxa"/>
            <w:gridSpan w:val="2"/>
          </w:tcPr>
          <w:p w:rsidR="00317103" w:rsidRPr="00C754FC" w:rsidRDefault="00FC5864" w:rsidP="00317103">
            <w:pPr>
              <w:cnfStyle w:val="000000000000" w:firstRow="0" w:lastRow="0" w:firstColumn="0" w:lastColumn="0" w:oddVBand="0" w:evenVBand="0" w:oddHBand="0" w:evenHBand="0" w:firstRowFirstColumn="0" w:firstRowLastColumn="0" w:lastRowFirstColumn="0" w:lastRowLastColumn="0"/>
            </w:pPr>
            <w:r>
              <w:t>Andrea Couch</w:t>
            </w:r>
          </w:p>
        </w:tc>
        <w:tc>
          <w:tcPr>
            <w:tcW w:w="1202" w:type="dxa"/>
          </w:tcPr>
          <w:p w:rsidR="00317103" w:rsidRPr="00C754FC" w:rsidRDefault="00FC5864" w:rsidP="00317103">
            <w:pPr>
              <w:cnfStyle w:val="000000000000" w:firstRow="0" w:lastRow="0" w:firstColumn="0" w:lastColumn="0" w:oddVBand="0" w:evenVBand="0" w:oddHBand="0" w:evenHBand="0" w:firstRowFirstColumn="0" w:firstRowLastColumn="0" w:lastRowFirstColumn="0" w:lastRowLastColumn="0"/>
            </w:pPr>
            <w:r>
              <w:t>TNMP</w:t>
            </w:r>
          </w:p>
        </w:tc>
        <w:tc>
          <w:tcPr>
            <w:tcW w:w="2346" w:type="dxa"/>
          </w:tcPr>
          <w:p w:rsidR="00317103" w:rsidRPr="00C754FC" w:rsidRDefault="00317103" w:rsidP="00317103">
            <w:pPr>
              <w:cnfStyle w:val="000000000000" w:firstRow="0" w:lastRow="0" w:firstColumn="0" w:lastColumn="0" w:oddVBand="0" w:evenVBand="0" w:oddHBand="0" w:evenHBand="0" w:firstRowFirstColumn="0" w:firstRowLastColumn="0" w:lastRowFirstColumn="0" w:lastRowLastColumn="0"/>
            </w:pPr>
            <w:r>
              <w:t>Chris Hendrix</w:t>
            </w:r>
          </w:p>
        </w:tc>
        <w:tc>
          <w:tcPr>
            <w:tcW w:w="1785" w:type="dxa"/>
          </w:tcPr>
          <w:p w:rsidR="00317103" w:rsidRPr="00C754FC" w:rsidRDefault="00317103" w:rsidP="00317103">
            <w:pPr>
              <w:cnfStyle w:val="000000000000" w:firstRow="0" w:lastRow="0" w:firstColumn="0" w:lastColumn="0" w:oddVBand="0" w:evenVBand="0" w:oddHBand="0" w:evenHBand="0" w:firstRowFirstColumn="0" w:firstRowLastColumn="0" w:lastRowFirstColumn="0" w:lastRowLastColumn="0"/>
            </w:pPr>
            <w:r>
              <w:t>Demand Control</w:t>
            </w:r>
          </w:p>
        </w:tc>
      </w:tr>
      <w:tr w:rsidR="00FC5864" w:rsidTr="00FC5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FC5864" w:rsidRDefault="00FC5864" w:rsidP="00FC5864">
            <w:pPr>
              <w:rPr>
                <w:b w:val="0"/>
              </w:rPr>
            </w:pPr>
            <w:r>
              <w:rPr>
                <w:b w:val="0"/>
              </w:rPr>
              <w:t>Debbie McKeever</w:t>
            </w:r>
          </w:p>
        </w:tc>
        <w:tc>
          <w:tcPr>
            <w:tcW w:w="1302" w:type="dxa"/>
          </w:tcPr>
          <w:p w:rsidR="00FC5864" w:rsidRDefault="00FC5864" w:rsidP="00FC5864">
            <w:pPr>
              <w:cnfStyle w:val="000000100000" w:firstRow="0" w:lastRow="0" w:firstColumn="0" w:lastColumn="0" w:oddVBand="0" w:evenVBand="0" w:oddHBand="1" w:evenHBand="0" w:firstRowFirstColumn="0" w:firstRowLastColumn="0" w:lastRowFirstColumn="0" w:lastRowLastColumn="0"/>
            </w:pPr>
            <w:r>
              <w:t>Oncor</w:t>
            </w:r>
          </w:p>
        </w:tc>
        <w:tc>
          <w:tcPr>
            <w:tcW w:w="1982" w:type="dxa"/>
            <w:gridSpan w:val="2"/>
          </w:tcPr>
          <w:p w:rsidR="00FC5864" w:rsidRPr="00C754FC" w:rsidRDefault="00FC5864" w:rsidP="00FC5864">
            <w:pPr>
              <w:cnfStyle w:val="000000100000" w:firstRow="0" w:lastRow="0" w:firstColumn="0" w:lastColumn="0" w:oddVBand="0" w:evenVBand="0" w:oddHBand="1" w:evenHBand="0" w:firstRowFirstColumn="0" w:firstRowLastColumn="0" w:lastRowFirstColumn="0" w:lastRowLastColumn="0"/>
            </w:pPr>
            <w:r>
              <w:t>Marilyn Hudson</w:t>
            </w:r>
          </w:p>
        </w:tc>
        <w:tc>
          <w:tcPr>
            <w:tcW w:w="1202" w:type="dxa"/>
          </w:tcPr>
          <w:p w:rsidR="00FC5864" w:rsidRPr="00C754FC" w:rsidRDefault="00FC5864" w:rsidP="00FC5864">
            <w:pPr>
              <w:cnfStyle w:val="000000100000" w:firstRow="0" w:lastRow="0" w:firstColumn="0" w:lastColumn="0" w:oddVBand="0" w:evenVBand="0" w:oddHBand="1" w:evenHBand="0" w:firstRowFirstColumn="0" w:firstRowLastColumn="0" w:lastRowFirstColumn="0" w:lastRowLastColumn="0"/>
            </w:pPr>
            <w:r>
              <w:t>CNP</w:t>
            </w:r>
          </w:p>
        </w:tc>
        <w:tc>
          <w:tcPr>
            <w:tcW w:w="2346" w:type="dxa"/>
          </w:tcPr>
          <w:p w:rsidR="00FC5864" w:rsidRPr="00C754FC" w:rsidRDefault="00FC5864" w:rsidP="00FC5864">
            <w:pPr>
              <w:cnfStyle w:val="000000100000" w:firstRow="0" w:lastRow="0" w:firstColumn="0" w:lastColumn="0" w:oddVBand="0" w:evenVBand="0" w:oddHBand="1" w:evenHBand="0" w:firstRowFirstColumn="0" w:firstRowLastColumn="0" w:lastRowFirstColumn="0" w:lastRowLastColumn="0"/>
            </w:pPr>
            <w:r>
              <w:t>Cynthia Morrow</w:t>
            </w:r>
          </w:p>
        </w:tc>
        <w:tc>
          <w:tcPr>
            <w:tcW w:w="1785" w:type="dxa"/>
          </w:tcPr>
          <w:p w:rsidR="00FC5864" w:rsidRPr="00C754FC" w:rsidRDefault="00FC5864" w:rsidP="00FC5864">
            <w:pPr>
              <w:cnfStyle w:val="000000100000" w:firstRow="0" w:lastRow="0" w:firstColumn="0" w:lastColumn="0" w:oddVBand="0" w:evenVBand="0" w:oddHBand="1" w:evenHBand="0" w:firstRowFirstColumn="0" w:firstRowLastColumn="0" w:lastRowFirstColumn="0" w:lastRowLastColumn="0"/>
            </w:pPr>
            <w:proofErr w:type="spellStart"/>
            <w:r>
              <w:t>Gexa</w:t>
            </w:r>
            <w:proofErr w:type="spellEnd"/>
          </w:p>
        </w:tc>
      </w:tr>
      <w:tr w:rsidR="00FC5864" w:rsidTr="00FC5864">
        <w:tc>
          <w:tcPr>
            <w:cnfStyle w:val="001000000000" w:firstRow="0" w:lastRow="0" w:firstColumn="1" w:lastColumn="0" w:oddVBand="0" w:evenVBand="0" w:oddHBand="0" w:evenHBand="0" w:firstRowFirstColumn="0" w:firstRowLastColumn="0" w:lastRowFirstColumn="0" w:lastRowLastColumn="0"/>
            <w:tcW w:w="2093" w:type="dxa"/>
          </w:tcPr>
          <w:p w:rsidR="00FC5864" w:rsidRPr="00C754FC" w:rsidRDefault="00FC5864" w:rsidP="00FC5864">
            <w:pPr>
              <w:rPr>
                <w:b w:val="0"/>
              </w:rPr>
            </w:pPr>
            <w:r>
              <w:rPr>
                <w:b w:val="0"/>
              </w:rPr>
              <w:t>Chris Rowley</w:t>
            </w:r>
          </w:p>
        </w:tc>
        <w:tc>
          <w:tcPr>
            <w:tcW w:w="1302" w:type="dxa"/>
          </w:tcPr>
          <w:p w:rsidR="00FC5864" w:rsidRPr="00C754FC" w:rsidRDefault="00FC5864" w:rsidP="00FC5864">
            <w:pPr>
              <w:cnfStyle w:val="000000000000" w:firstRow="0" w:lastRow="0" w:firstColumn="0" w:lastColumn="0" w:oddVBand="0" w:evenVBand="0" w:oddHBand="0" w:evenHBand="0" w:firstRowFirstColumn="0" w:firstRowLastColumn="0" w:lastRowFirstColumn="0" w:lastRowLastColumn="0"/>
            </w:pPr>
            <w:r>
              <w:t>Oncor</w:t>
            </w:r>
          </w:p>
        </w:tc>
        <w:tc>
          <w:tcPr>
            <w:tcW w:w="1982" w:type="dxa"/>
            <w:gridSpan w:val="2"/>
          </w:tcPr>
          <w:p w:rsidR="00FC5864" w:rsidRPr="00C754FC" w:rsidRDefault="00FC5864" w:rsidP="00FC5864">
            <w:pPr>
              <w:cnfStyle w:val="000000000000" w:firstRow="0" w:lastRow="0" w:firstColumn="0" w:lastColumn="0" w:oddVBand="0" w:evenVBand="0" w:oddHBand="0" w:evenHBand="0" w:firstRowFirstColumn="0" w:firstRowLastColumn="0" w:lastRowFirstColumn="0" w:lastRowLastColumn="0"/>
            </w:pPr>
            <w:r>
              <w:t>Lee Doehring</w:t>
            </w:r>
          </w:p>
        </w:tc>
        <w:tc>
          <w:tcPr>
            <w:tcW w:w="1202" w:type="dxa"/>
          </w:tcPr>
          <w:p w:rsidR="00FC5864" w:rsidRPr="00C754FC" w:rsidRDefault="00FC5864" w:rsidP="00FC5864">
            <w:pPr>
              <w:cnfStyle w:val="000000000000" w:firstRow="0" w:lastRow="0" w:firstColumn="0" w:lastColumn="0" w:oddVBand="0" w:evenVBand="0" w:oddHBand="0" w:evenHBand="0" w:firstRowFirstColumn="0" w:firstRowLastColumn="0" w:lastRowFirstColumn="0" w:lastRowLastColumn="0"/>
            </w:pPr>
            <w:r>
              <w:t>CNP</w:t>
            </w:r>
          </w:p>
        </w:tc>
        <w:tc>
          <w:tcPr>
            <w:tcW w:w="2346" w:type="dxa"/>
          </w:tcPr>
          <w:p w:rsidR="00FC5864" w:rsidRPr="00C754FC" w:rsidRDefault="00FC5864" w:rsidP="00FC5864">
            <w:pPr>
              <w:cnfStyle w:val="000000000000" w:firstRow="0" w:lastRow="0" w:firstColumn="0" w:lastColumn="0" w:oddVBand="0" w:evenVBand="0" w:oddHBand="0" w:evenHBand="0" w:firstRowFirstColumn="0" w:firstRowLastColumn="0" w:lastRowFirstColumn="0" w:lastRowLastColumn="0"/>
            </w:pPr>
            <w:r>
              <w:t>Eric Lotter</w:t>
            </w:r>
          </w:p>
        </w:tc>
        <w:tc>
          <w:tcPr>
            <w:tcW w:w="1785" w:type="dxa"/>
          </w:tcPr>
          <w:p w:rsidR="00FC5864" w:rsidRPr="00C754FC" w:rsidRDefault="00FC5864" w:rsidP="00FC5864">
            <w:pPr>
              <w:cnfStyle w:val="000000000000" w:firstRow="0" w:lastRow="0" w:firstColumn="0" w:lastColumn="0" w:oddVBand="0" w:evenVBand="0" w:oddHBand="0" w:evenHBand="0" w:firstRowFirstColumn="0" w:firstRowLastColumn="0" w:lastRowFirstColumn="0" w:lastRowLastColumn="0"/>
            </w:pPr>
            <w:proofErr w:type="spellStart"/>
            <w:r>
              <w:t>GridMonitor</w:t>
            </w:r>
            <w:proofErr w:type="spellEnd"/>
          </w:p>
        </w:tc>
      </w:tr>
      <w:tr w:rsidR="00FC5864" w:rsidTr="00FC5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FC5864" w:rsidRDefault="00FC5864" w:rsidP="00FC5864">
            <w:pPr>
              <w:rPr>
                <w:b w:val="0"/>
              </w:rPr>
            </w:pPr>
            <w:r>
              <w:rPr>
                <w:b w:val="0"/>
              </w:rPr>
              <w:t>Sam Pak</w:t>
            </w:r>
          </w:p>
        </w:tc>
        <w:tc>
          <w:tcPr>
            <w:tcW w:w="1302" w:type="dxa"/>
          </w:tcPr>
          <w:p w:rsidR="00FC5864" w:rsidRDefault="00FC5864" w:rsidP="00FC5864">
            <w:pPr>
              <w:cnfStyle w:val="000000100000" w:firstRow="0" w:lastRow="0" w:firstColumn="0" w:lastColumn="0" w:oddVBand="0" w:evenVBand="0" w:oddHBand="1" w:evenHBand="0" w:firstRowFirstColumn="0" w:firstRowLastColumn="0" w:lastRowFirstColumn="0" w:lastRowLastColumn="0"/>
            </w:pPr>
            <w:r>
              <w:t>Oncor</w:t>
            </w:r>
          </w:p>
        </w:tc>
        <w:tc>
          <w:tcPr>
            <w:tcW w:w="1982" w:type="dxa"/>
            <w:gridSpan w:val="2"/>
          </w:tcPr>
          <w:p w:rsidR="00FC5864" w:rsidRPr="00C754FC" w:rsidRDefault="00FC5864" w:rsidP="00FC5864">
            <w:pPr>
              <w:cnfStyle w:val="000000100000" w:firstRow="0" w:lastRow="0" w:firstColumn="0" w:lastColumn="0" w:oddVBand="0" w:evenVBand="0" w:oddHBand="1" w:evenHBand="0" w:firstRowFirstColumn="0" w:firstRowLastColumn="0" w:lastRowFirstColumn="0" w:lastRowLastColumn="0"/>
            </w:pPr>
            <w:r>
              <w:t>Terri Wilson Lester</w:t>
            </w:r>
          </w:p>
        </w:tc>
        <w:tc>
          <w:tcPr>
            <w:tcW w:w="1202" w:type="dxa"/>
          </w:tcPr>
          <w:p w:rsidR="00FC5864" w:rsidRPr="00C754FC" w:rsidRDefault="00FC5864" w:rsidP="00FC5864">
            <w:pPr>
              <w:cnfStyle w:val="000000100000" w:firstRow="0" w:lastRow="0" w:firstColumn="0" w:lastColumn="0" w:oddVBand="0" w:evenVBand="0" w:oddHBand="1" w:evenHBand="0" w:firstRowFirstColumn="0" w:firstRowLastColumn="0" w:lastRowFirstColumn="0" w:lastRowLastColumn="0"/>
            </w:pPr>
            <w:r>
              <w:t>CNP</w:t>
            </w:r>
          </w:p>
        </w:tc>
        <w:tc>
          <w:tcPr>
            <w:tcW w:w="2346" w:type="dxa"/>
          </w:tcPr>
          <w:p w:rsidR="00FC5864" w:rsidRDefault="00FC5864" w:rsidP="00FC5864">
            <w:pPr>
              <w:cnfStyle w:val="000000100000" w:firstRow="0" w:lastRow="0" w:firstColumn="0" w:lastColumn="0" w:oddVBand="0" w:evenVBand="0" w:oddHBand="1" w:evenHBand="0" w:firstRowFirstColumn="0" w:firstRowLastColumn="0" w:lastRowFirstColumn="0" w:lastRowLastColumn="0"/>
              <w:rPr>
                <w:b/>
              </w:rPr>
            </w:pPr>
            <w:r>
              <w:t>Sheri Wiegand</w:t>
            </w:r>
          </w:p>
        </w:tc>
        <w:tc>
          <w:tcPr>
            <w:tcW w:w="1785" w:type="dxa"/>
          </w:tcPr>
          <w:p w:rsidR="00FC5864" w:rsidRDefault="00FC5864" w:rsidP="00FC5864">
            <w:pPr>
              <w:cnfStyle w:val="000000100000" w:firstRow="0" w:lastRow="0" w:firstColumn="0" w:lastColumn="0" w:oddVBand="0" w:evenVBand="0" w:oddHBand="1" w:evenHBand="0" w:firstRowFirstColumn="0" w:firstRowLastColumn="0" w:lastRowFirstColumn="0" w:lastRowLastColumn="0"/>
            </w:pPr>
            <w:proofErr w:type="spellStart"/>
            <w:r>
              <w:t>Vistra</w:t>
            </w:r>
            <w:proofErr w:type="spellEnd"/>
          </w:p>
        </w:tc>
      </w:tr>
      <w:tr w:rsidR="00FC5864" w:rsidTr="00FC5864">
        <w:tc>
          <w:tcPr>
            <w:cnfStyle w:val="001000000000" w:firstRow="0" w:lastRow="0" w:firstColumn="1" w:lastColumn="0" w:oddVBand="0" w:evenVBand="0" w:oddHBand="0" w:evenHBand="0" w:firstRowFirstColumn="0" w:firstRowLastColumn="0" w:lastRowFirstColumn="0" w:lastRowLastColumn="0"/>
            <w:tcW w:w="2093" w:type="dxa"/>
          </w:tcPr>
          <w:p w:rsidR="00FC5864" w:rsidRDefault="00FC5864" w:rsidP="00FC5864">
            <w:pPr>
              <w:rPr>
                <w:b w:val="0"/>
              </w:rPr>
            </w:pPr>
            <w:r>
              <w:rPr>
                <w:b w:val="0"/>
              </w:rPr>
              <w:t xml:space="preserve">Malcolm </w:t>
            </w:r>
            <w:proofErr w:type="spellStart"/>
            <w:r>
              <w:rPr>
                <w:b w:val="0"/>
              </w:rPr>
              <w:t>Ainspan</w:t>
            </w:r>
            <w:proofErr w:type="spellEnd"/>
          </w:p>
        </w:tc>
        <w:tc>
          <w:tcPr>
            <w:tcW w:w="1302" w:type="dxa"/>
          </w:tcPr>
          <w:p w:rsidR="00FC5864" w:rsidRDefault="00FC5864" w:rsidP="00FC5864">
            <w:pPr>
              <w:cnfStyle w:val="000000000000" w:firstRow="0" w:lastRow="0" w:firstColumn="0" w:lastColumn="0" w:oddVBand="0" w:evenVBand="0" w:oddHBand="0" w:evenHBand="0" w:firstRowFirstColumn="0" w:firstRowLastColumn="0" w:lastRowFirstColumn="0" w:lastRowLastColumn="0"/>
            </w:pPr>
            <w:r>
              <w:t>NRG</w:t>
            </w:r>
          </w:p>
        </w:tc>
        <w:tc>
          <w:tcPr>
            <w:tcW w:w="1982" w:type="dxa"/>
            <w:gridSpan w:val="2"/>
          </w:tcPr>
          <w:p w:rsidR="00FC5864" w:rsidRPr="00C754FC" w:rsidRDefault="00FC5864" w:rsidP="00FC5864">
            <w:pPr>
              <w:cnfStyle w:val="000000000000" w:firstRow="0" w:lastRow="0" w:firstColumn="0" w:lastColumn="0" w:oddVBand="0" w:evenVBand="0" w:oddHBand="0" w:evenHBand="0" w:firstRowFirstColumn="0" w:firstRowLastColumn="0" w:lastRowFirstColumn="0" w:lastRowLastColumn="0"/>
            </w:pPr>
            <w:r>
              <w:t>Alberto Lopez</w:t>
            </w:r>
          </w:p>
        </w:tc>
        <w:tc>
          <w:tcPr>
            <w:tcW w:w="1202" w:type="dxa"/>
          </w:tcPr>
          <w:p w:rsidR="00FC5864" w:rsidRPr="00C754FC" w:rsidRDefault="00FC5864" w:rsidP="00FC5864">
            <w:pPr>
              <w:cnfStyle w:val="000000000000" w:firstRow="0" w:lastRow="0" w:firstColumn="0" w:lastColumn="0" w:oddVBand="0" w:evenVBand="0" w:oddHBand="0" w:evenHBand="0" w:firstRowFirstColumn="0" w:firstRowLastColumn="0" w:lastRowFirstColumn="0" w:lastRowLastColumn="0"/>
            </w:pPr>
            <w:r>
              <w:t>CNP</w:t>
            </w:r>
          </w:p>
        </w:tc>
        <w:tc>
          <w:tcPr>
            <w:tcW w:w="2346" w:type="dxa"/>
          </w:tcPr>
          <w:p w:rsidR="00FC5864" w:rsidRDefault="00FC5864" w:rsidP="00FC5864">
            <w:pPr>
              <w:cnfStyle w:val="000000000000" w:firstRow="0" w:lastRow="0" w:firstColumn="0" w:lastColumn="0" w:oddVBand="0" w:evenVBand="0" w:oddHBand="0" w:evenHBand="0" w:firstRowFirstColumn="0" w:firstRowLastColumn="0" w:lastRowFirstColumn="0" w:lastRowLastColumn="0"/>
              <w:rPr>
                <w:b/>
              </w:rPr>
            </w:pPr>
            <w:r>
              <w:t>John Schatz</w:t>
            </w:r>
          </w:p>
        </w:tc>
        <w:tc>
          <w:tcPr>
            <w:tcW w:w="1785" w:type="dxa"/>
          </w:tcPr>
          <w:p w:rsidR="00FC5864" w:rsidRDefault="00FC5864" w:rsidP="00FC5864">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r>
      <w:tr w:rsidR="00FC5864" w:rsidTr="00FC5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FC5864" w:rsidRPr="00BF6A9F" w:rsidRDefault="00FC5864" w:rsidP="00FC5864">
            <w:pPr>
              <w:rPr>
                <w:b w:val="0"/>
              </w:rPr>
            </w:pPr>
            <w:r w:rsidRPr="00BF6A9F">
              <w:rPr>
                <w:b w:val="0"/>
              </w:rPr>
              <w:t>Norm Levine</w:t>
            </w:r>
          </w:p>
        </w:tc>
        <w:tc>
          <w:tcPr>
            <w:tcW w:w="1302" w:type="dxa"/>
          </w:tcPr>
          <w:p w:rsidR="00FC5864" w:rsidRPr="00C754FC" w:rsidRDefault="00FC5864" w:rsidP="00FC5864">
            <w:pPr>
              <w:cnfStyle w:val="000000100000" w:firstRow="0" w:lastRow="0" w:firstColumn="0" w:lastColumn="0" w:oddVBand="0" w:evenVBand="0" w:oddHBand="1" w:evenHBand="0" w:firstRowFirstColumn="0" w:firstRowLastColumn="0" w:lastRowFirstColumn="0" w:lastRowLastColumn="0"/>
            </w:pPr>
            <w:r>
              <w:t>NRG</w:t>
            </w:r>
          </w:p>
        </w:tc>
        <w:tc>
          <w:tcPr>
            <w:tcW w:w="1982" w:type="dxa"/>
            <w:gridSpan w:val="2"/>
          </w:tcPr>
          <w:p w:rsidR="00FC5864" w:rsidRPr="00C754FC" w:rsidRDefault="00FC5864" w:rsidP="00FC5864">
            <w:pPr>
              <w:cnfStyle w:val="000000100000" w:firstRow="0" w:lastRow="0" w:firstColumn="0" w:lastColumn="0" w:oddVBand="0" w:evenVBand="0" w:oddHBand="1" w:evenHBand="0" w:firstRowFirstColumn="0" w:firstRowLastColumn="0" w:lastRowFirstColumn="0" w:lastRowLastColumn="0"/>
            </w:pPr>
            <w:r>
              <w:t>Chris Dominguez</w:t>
            </w:r>
          </w:p>
        </w:tc>
        <w:tc>
          <w:tcPr>
            <w:tcW w:w="1202" w:type="dxa"/>
          </w:tcPr>
          <w:p w:rsidR="00FC5864" w:rsidRPr="00C754FC" w:rsidRDefault="00FC5864" w:rsidP="00FC5864">
            <w:pPr>
              <w:cnfStyle w:val="000000100000" w:firstRow="0" w:lastRow="0" w:firstColumn="0" w:lastColumn="0" w:oddVBand="0" w:evenVBand="0" w:oddHBand="1" w:evenHBand="0" w:firstRowFirstColumn="0" w:firstRowLastColumn="0" w:lastRowFirstColumn="0" w:lastRowLastColumn="0"/>
            </w:pPr>
            <w:r>
              <w:t>CNP</w:t>
            </w:r>
          </w:p>
        </w:tc>
        <w:tc>
          <w:tcPr>
            <w:tcW w:w="2346" w:type="dxa"/>
          </w:tcPr>
          <w:p w:rsidR="00FC5864" w:rsidRPr="00BF6A9F" w:rsidRDefault="00FC5864" w:rsidP="00FC5864">
            <w:pPr>
              <w:cnfStyle w:val="000000100000" w:firstRow="0" w:lastRow="0" w:firstColumn="0" w:lastColumn="0" w:oddVBand="0" w:evenVBand="0" w:oddHBand="1" w:evenHBand="0" w:firstRowFirstColumn="0" w:firstRowLastColumn="0" w:lastRowFirstColumn="0" w:lastRowLastColumn="0"/>
            </w:pPr>
            <w:r w:rsidRPr="00BF6A9F">
              <w:t>Deb Belin</w:t>
            </w:r>
          </w:p>
        </w:tc>
        <w:tc>
          <w:tcPr>
            <w:tcW w:w="1785" w:type="dxa"/>
          </w:tcPr>
          <w:p w:rsidR="00FC5864" w:rsidRPr="00C754FC" w:rsidRDefault="00FC5864" w:rsidP="00FC5864">
            <w:pPr>
              <w:cnfStyle w:val="000000100000" w:firstRow="0" w:lastRow="0" w:firstColumn="0" w:lastColumn="0" w:oddVBand="0" w:evenVBand="0" w:oddHBand="1" w:evenHBand="0" w:firstRowFirstColumn="0" w:firstRowLastColumn="0" w:lastRowFirstColumn="0" w:lastRowLastColumn="0"/>
            </w:pPr>
            <w:r>
              <w:t>Marketwise</w:t>
            </w:r>
          </w:p>
        </w:tc>
      </w:tr>
      <w:tr w:rsidR="00FC5864" w:rsidTr="00FC5864">
        <w:tc>
          <w:tcPr>
            <w:cnfStyle w:val="001000000000" w:firstRow="0" w:lastRow="0" w:firstColumn="1" w:lastColumn="0" w:oddVBand="0" w:evenVBand="0" w:oddHBand="0" w:evenHBand="0" w:firstRowFirstColumn="0" w:firstRowLastColumn="0" w:lastRowFirstColumn="0" w:lastRowLastColumn="0"/>
            <w:tcW w:w="2093" w:type="dxa"/>
          </w:tcPr>
          <w:p w:rsidR="00FC5864" w:rsidRPr="00BF6A9F" w:rsidRDefault="00FC5864" w:rsidP="00FC5864">
            <w:pPr>
              <w:rPr>
                <w:b w:val="0"/>
              </w:rPr>
            </w:pPr>
            <w:r w:rsidRPr="00BF6A9F">
              <w:rPr>
                <w:b w:val="0"/>
              </w:rPr>
              <w:t>Angela Ghormley</w:t>
            </w:r>
          </w:p>
        </w:tc>
        <w:tc>
          <w:tcPr>
            <w:tcW w:w="1302" w:type="dxa"/>
          </w:tcPr>
          <w:p w:rsidR="00FC5864" w:rsidRPr="00C754FC" w:rsidRDefault="00FC5864" w:rsidP="00FC5864">
            <w:pPr>
              <w:cnfStyle w:val="000000000000" w:firstRow="0" w:lastRow="0" w:firstColumn="0" w:lastColumn="0" w:oddVBand="0" w:evenVBand="0" w:oddHBand="0" w:evenHBand="0" w:firstRowFirstColumn="0" w:firstRowLastColumn="0" w:lastRowFirstColumn="0" w:lastRowLastColumn="0"/>
            </w:pPr>
            <w:r>
              <w:t>Calpine</w:t>
            </w:r>
          </w:p>
        </w:tc>
        <w:tc>
          <w:tcPr>
            <w:tcW w:w="1982" w:type="dxa"/>
            <w:gridSpan w:val="2"/>
          </w:tcPr>
          <w:p w:rsidR="00FC5864" w:rsidRPr="00C754FC" w:rsidRDefault="00FC5864" w:rsidP="00FC5864">
            <w:pPr>
              <w:cnfStyle w:val="000000000000" w:firstRow="0" w:lastRow="0" w:firstColumn="0" w:lastColumn="0" w:oddVBand="0" w:evenVBand="0" w:oddHBand="0" w:evenHBand="0" w:firstRowFirstColumn="0" w:firstRowLastColumn="0" w:lastRowFirstColumn="0" w:lastRowLastColumn="0"/>
            </w:pPr>
            <w:r>
              <w:t>Kathy Scott</w:t>
            </w:r>
          </w:p>
        </w:tc>
        <w:tc>
          <w:tcPr>
            <w:tcW w:w="1202" w:type="dxa"/>
          </w:tcPr>
          <w:p w:rsidR="00FC5864" w:rsidRPr="00C754FC" w:rsidRDefault="00FC5864" w:rsidP="00FC5864">
            <w:pPr>
              <w:cnfStyle w:val="000000000000" w:firstRow="0" w:lastRow="0" w:firstColumn="0" w:lastColumn="0" w:oddVBand="0" w:evenVBand="0" w:oddHBand="0" w:evenHBand="0" w:firstRowFirstColumn="0" w:firstRowLastColumn="0" w:lastRowFirstColumn="0" w:lastRowLastColumn="0"/>
            </w:pPr>
            <w:r>
              <w:t>CNP</w:t>
            </w:r>
          </w:p>
        </w:tc>
        <w:tc>
          <w:tcPr>
            <w:tcW w:w="2346" w:type="dxa"/>
          </w:tcPr>
          <w:p w:rsidR="00FC5864" w:rsidRPr="00C754FC" w:rsidRDefault="00FC5864" w:rsidP="00FC5864">
            <w:pPr>
              <w:cnfStyle w:val="000000000000" w:firstRow="0" w:lastRow="0" w:firstColumn="0" w:lastColumn="0" w:oddVBand="0" w:evenVBand="0" w:oddHBand="0" w:evenHBand="0" w:firstRowFirstColumn="0" w:firstRowLastColumn="0" w:lastRowFirstColumn="0" w:lastRowLastColumn="0"/>
            </w:pPr>
            <w:r>
              <w:t>Eric Goodwin Jr</w:t>
            </w:r>
          </w:p>
        </w:tc>
        <w:tc>
          <w:tcPr>
            <w:tcW w:w="1785" w:type="dxa"/>
          </w:tcPr>
          <w:p w:rsidR="00FC5864" w:rsidRPr="00C754FC" w:rsidRDefault="00FC5864" w:rsidP="00FC5864">
            <w:pPr>
              <w:cnfStyle w:val="000000000000" w:firstRow="0" w:lastRow="0" w:firstColumn="0" w:lastColumn="0" w:oddVBand="0" w:evenVBand="0" w:oddHBand="0" w:evenHBand="0" w:firstRowFirstColumn="0" w:firstRowLastColumn="0" w:lastRowFirstColumn="0" w:lastRowLastColumn="0"/>
            </w:pPr>
            <w:r>
              <w:t>?</w:t>
            </w:r>
          </w:p>
        </w:tc>
      </w:tr>
      <w:tr w:rsidR="00FC5864" w:rsidTr="00FC5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FC5864" w:rsidRDefault="00FC5864" w:rsidP="00FC5864">
            <w:pPr>
              <w:rPr>
                <w:b w:val="0"/>
              </w:rPr>
            </w:pPr>
            <w:r>
              <w:rPr>
                <w:b w:val="0"/>
              </w:rPr>
              <w:t xml:space="preserve">Scott Smith </w:t>
            </w:r>
          </w:p>
        </w:tc>
        <w:tc>
          <w:tcPr>
            <w:tcW w:w="1302" w:type="dxa"/>
          </w:tcPr>
          <w:p w:rsidR="00FC5864" w:rsidRDefault="00FC5864" w:rsidP="00FC5864">
            <w:pPr>
              <w:cnfStyle w:val="000000100000" w:firstRow="0" w:lastRow="0" w:firstColumn="0" w:lastColumn="0" w:oddVBand="0" w:evenVBand="0" w:oddHBand="1" w:evenHBand="0" w:firstRowFirstColumn="0" w:firstRowLastColumn="0" w:lastRowFirstColumn="0" w:lastRowLastColumn="0"/>
            </w:pPr>
            <w:r>
              <w:t>Tenaska</w:t>
            </w:r>
          </w:p>
        </w:tc>
        <w:tc>
          <w:tcPr>
            <w:tcW w:w="1982" w:type="dxa"/>
            <w:gridSpan w:val="2"/>
          </w:tcPr>
          <w:p w:rsidR="00FC5864" w:rsidRPr="00C754FC" w:rsidRDefault="00FC5864" w:rsidP="00FC5864">
            <w:pPr>
              <w:cnfStyle w:val="000000100000" w:firstRow="0" w:lastRow="0" w:firstColumn="0" w:lastColumn="0" w:oddVBand="0" w:evenVBand="0" w:oddHBand="1" w:evenHBand="0" w:firstRowFirstColumn="0" w:firstRowLastColumn="0" w:lastRowFirstColumn="0" w:lastRowLastColumn="0"/>
            </w:pPr>
            <w:r>
              <w:t>Carolyn Reed</w:t>
            </w:r>
          </w:p>
        </w:tc>
        <w:tc>
          <w:tcPr>
            <w:tcW w:w="1202" w:type="dxa"/>
          </w:tcPr>
          <w:p w:rsidR="00FC5864" w:rsidRPr="00C754FC" w:rsidRDefault="00FC5864" w:rsidP="00FC5864">
            <w:pPr>
              <w:cnfStyle w:val="000000100000" w:firstRow="0" w:lastRow="0" w:firstColumn="0" w:lastColumn="0" w:oddVBand="0" w:evenVBand="0" w:oddHBand="1" w:evenHBand="0" w:firstRowFirstColumn="0" w:firstRowLastColumn="0" w:lastRowFirstColumn="0" w:lastRowLastColumn="0"/>
            </w:pPr>
            <w:r>
              <w:t>CNP</w:t>
            </w:r>
          </w:p>
        </w:tc>
        <w:tc>
          <w:tcPr>
            <w:tcW w:w="2346" w:type="dxa"/>
          </w:tcPr>
          <w:p w:rsidR="00FC5864" w:rsidRPr="00C754FC" w:rsidRDefault="00FC5864" w:rsidP="00FC5864">
            <w:pPr>
              <w:cnfStyle w:val="000000100000" w:firstRow="0" w:lastRow="0" w:firstColumn="0" w:lastColumn="0" w:oddVBand="0" w:evenVBand="0" w:oddHBand="1" w:evenHBand="0" w:firstRowFirstColumn="0" w:firstRowLastColumn="0" w:lastRowFirstColumn="0" w:lastRowLastColumn="0"/>
            </w:pPr>
            <w:r>
              <w:t>Martin Ramirez</w:t>
            </w:r>
          </w:p>
        </w:tc>
        <w:tc>
          <w:tcPr>
            <w:tcW w:w="1785" w:type="dxa"/>
          </w:tcPr>
          <w:p w:rsidR="00FC5864" w:rsidRPr="00C754FC" w:rsidRDefault="00FC5864" w:rsidP="00FC5864">
            <w:pPr>
              <w:cnfStyle w:val="000000100000" w:firstRow="0" w:lastRow="0" w:firstColumn="0" w:lastColumn="0" w:oddVBand="0" w:evenVBand="0" w:oddHBand="1" w:evenHBand="0" w:firstRowFirstColumn="0" w:firstRowLastColumn="0" w:lastRowFirstColumn="0" w:lastRowLastColumn="0"/>
            </w:pPr>
            <w:r>
              <w:t>?</w:t>
            </w:r>
          </w:p>
        </w:tc>
      </w:tr>
      <w:tr w:rsidR="00F25C5F" w:rsidTr="00FC5864">
        <w:tc>
          <w:tcPr>
            <w:cnfStyle w:val="001000000000" w:firstRow="0" w:lastRow="0" w:firstColumn="1" w:lastColumn="0" w:oddVBand="0" w:evenVBand="0" w:oddHBand="0" w:evenHBand="0" w:firstRowFirstColumn="0" w:firstRowLastColumn="0" w:lastRowFirstColumn="0" w:lastRowLastColumn="0"/>
            <w:tcW w:w="2093" w:type="dxa"/>
          </w:tcPr>
          <w:p w:rsidR="00F25C5F" w:rsidRPr="00BF6A9F" w:rsidRDefault="00F25C5F" w:rsidP="00F25C5F">
            <w:pPr>
              <w:rPr>
                <w:b w:val="0"/>
              </w:rPr>
            </w:pPr>
            <w:r>
              <w:rPr>
                <w:b w:val="0"/>
              </w:rPr>
              <w:t>Kim Rainwater</w:t>
            </w:r>
          </w:p>
        </w:tc>
        <w:tc>
          <w:tcPr>
            <w:tcW w:w="1302" w:type="dxa"/>
          </w:tcPr>
          <w:p w:rsidR="00F25C5F" w:rsidRPr="00C754FC" w:rsidRDefault="00F25C5F" w:rsidP="00F25C5F">
            <w:pPr>
              <w:cnfStyle w:val="000000000000" w:firstRow="0" w:lastRow="0" w:firstColumn="0" w:lastColumn="0" w:oddVBand="0" w:evenVBand="0" w:oddHBand="0" w:evenHBand="0" w:firstRowFirstColumn="0" w:firstRowLastColumn="0" w:lastRowFirstColumn="0" w:lastRowLastColumn="0"/>
            </w:pPr>
            <w:r>
              <w:t>LCRA</w:t>
            </w:r>
          </w:p>
        </w:tc>
        <w:tc>
          <w:tcPr>
            <w:tcW w:w="1982" w:type="dxa"/>
            <w:gridSpan w:val="2"/>
          </w:tcPr>
          <w:p w:rsidR="00F25C5F" w:rsidRPr="00C754FC" w:rsidRDefault="00F25C5F" w:rsidP="00F25C5F">
            <w:pPr>
              <w:cnfStyle w:val="000000000000" w:firstRow="0" w:lastRow="0" w:firstColumn="0" w:lastColumn="0" w:oddVBand="0" w:evenVBand="0" w:oddHBand="0" w:evenHBand="0" w:firstRowFirstColumn="0" w:firstRowLastColumn="0" w:lastRowFirstColumn="0" w:lastRowLastColumn="0"/>
            </w:pPr>
            <w:r>
              <w:t>Jill Bell</w:t>
            </w:r>
          </w:p>
        </w:tc>
        <w:tc>
          <w:tcPr>
            <w:tcW w:w="1202" w:type="dxa"/>
          </w:tcPr>
          <w:p w:rsidR="00F25C5F" w:rsidRPr="00C754FC" w:rsidRDefault="00F25C5F" w:rsidP="00F25C5F">
            <w:pPr>
              <w:cnfStyle w:val="000000000000" w:firstRow="0" w:lastRow="0" w:firstColumn="0" w:lastColumn="0" w:oddVBand="0" w:evenVBand="0" w:oddHBand="0" w:evenHBand="0" w:firstRowFirstColumn="0" w:firstRowLastColumn="0" w:lastRowFirstColumn="0" w:lastRowLastColumn="0"/>
            </w:pPr>
            <w:r>
              <w:t>CNP</w:t>
            </w:r>
          </w:p>
        </w:tc>
        <w:tc>
          <w:tcPr>
            <w:tcW w:w="2346" w:type="dxa"/>
          </w:tcPr>
          <w:p w:rsidR="00F25C5F" w:rsidRPr="00C754FC" w:rsidRDefault="00F25C5F" w:rsidP="00F25C5F">
            <w:pPr>
              <w:cnfStyle w:val="000000000000" w:firstRow="0" w:lastRow="0" w:firstColumn="0" w:lastColumn="0" w:oddVBand="0" w:evenVBand="0" w:oddHBand="0" w:evenHBand="0" w:firstRowFirstColumn="0" w:firstRowLastColumn="0" w:lastRowFirstColumn="0" w:lastRowLastColumn="0"/>
            </w:pPr>
            <w:r>
              <w:t xml:space="preserve">Mansoor </w:t>
            </w:r>
            <w:proofErr w:type="spellStart"/>
            <w:r>
              <w:t>Khanmohamed</w:t>
            </w:r>
            <w:proofErr w:type="spellEnd"/>
          </w:p>
        </w:tc>
        <w:tc>
          <w:tcPr>
            <w:tcW w:w="1785" w:type="dxa"/>
          </w:tcPr>
          <w:p w:rsidR="00F25C5F" w:rsidRPr="00C754FC" w:rsidRDefault="00F25C5F" w:rsidP="00F25C5F">
            <w:pPr>
              <w:cnfStyle w:val="000000000000" w:firstRow="0" w:lastRow="0" w:firstColumn="0" w:lastColumn="0" w:oddVBand="0" w:evenVBand="0" w:oddHBand="0" w:evenHBand="0" w:firstRowFirstColumn="0" w:firstRowLastColumn="0" w:lastRowFirstColumn="0" w:lastRowLastColumn="0"/>
            </w:pPr>
            <w:r>
              <w:t>EDF</w:t>
            </w:r>
          </w:p>
        </w:tc>
      </w:tr>
    </w:tbl>
    <w:p w:rsidR="00C754FC" w:rsidRDefault="00C754FC">
      <w:pPr>
        <w:rPr>
          <w:b/>
          <w:sz w:val="28"/>
          <w:szCs w:val="28"/>
        </w:rPr>
      </w:pPr>
    </w:p>
    <w:p w:rsidR="00A74D4D" w:rsidRDefault="001C3C84">
      <w:r>
        <w:t>Jim Lee opened the meeting reading the Antitrust Admonition.</w:t>
      </w:r>
    </w:p>
    <w:p w:rsidR="00585222" w:rsidRDefault="002C43FA" w:rsidP="009133A5">
      <w:r>
        <w:t xml:space="preserve">Meeting minutes from </w:t>
      </w:r>
      <w:r w:rsidR="00F25C5F">
        <w:t>July 27</w:t>
      </w:r>
      <w:r w:rsidR="00F25C5F" w:rsidRPr="00F25C5F">
        <w:rPr>
          <w:vertAlign w:val="superscript"/>
        </w:rPr>
        <w:t>th</w:t>
      </w:r>
      <w:r w:rsidR="00585222">
        <w:t xml:space="preserve"> were </w:t>
      </w:r>
      <w:r w:rsidR="00F25C5F">
        <w:t>reviewed and approved.</w:t>
      </w:r>
    </w:p>
    <w:p w:rsidR="00585222" w:rsidRDefault="00585222" w:rsidP="009133A5"/>
    <w:p w:rsidR="001C3C84" w:rsidRPr="009133A5" w:rsidRDefault="009133A5" w:rsidP="009133A5">
      <w:pPr>
        <w:rPr>
          <w:b/>
          <w:u w:val="single"/>
        </w:rPr>
      </w:pPr>
      <w:r w:rsidRPr="009133A5">
        <w:rPr>
          <w:b/>
          <w:u w:val="single"/>
        </w:rPr>
        <w:t xml:space="preserve">Emergency Conditions List </w:t>
      </w:r>
      <w:r w:rsidR="00C95221">
        <w:rPr>
          <w:b/>
          <w:u w:val="single"/>
        </w:rPr>
        <w:t>(ECL)</w:t>
      </w:r>
    </w:p>
    <w:p w:rsidR="00C95221" w:rsidRDefault="00585222" w:rsidP="001C3C84">
      <w:r>
        <w:t xml:space="preserve">Jim </w:t>
      </w:r>
      <w:r w:rsidR="001C3C84">
        <w:t xml:space="preserve">reviewed the attached </w:t>
      </w:r>
      <w:r w:rsidR="00C95221">
        <w:t>ECL noting status of each item.  A few notables:</w:t>
      </w:r>
    </w:p>
    <w:p w:rsidR="00F25C5F" w:rsidRDefault="00093FCD" w:rsidP="00A50CFC">
      <w:pPr>
        <w:pStyle w:val="ListParagraph"/>
        <w:numPr>
          <w:ilvl w:val="0"/>
          <w:numId w:val="4"/>
        </w:numPr>
      </w:pPr>
      <w:r>
        <w:t xml:space="preserve">#18 – </w:t>
      </w:r>
      <w:r w:rsidRPr="004B083E">
        <w:rPr>
          <w:i/>
        </w:rPr>
        <w:t>Meter Data and Estimations</w:t>
      </w:r>
      <w:r>
        <w:t xml:space="preserve"> </w:t>
      </w:r>
      <w:r w:rsidR="00F25C5F">
        <w:t xml:space="preserve"> </w:t>
      </w:r>
    </w:p>
    <w:p w:rsidR="00F25C5F" w:rsidRDefault="00F25C5F" w:rsidP="00F25C5F">
      <w:pPr>
        <w:pStyle w:val="ListParagraph"/>
        <w:rPr>
          <w:i/>
        </w:rPr>
      </w:pPr>
      <w:r>
        <w:t xml:space="preserve">#125 </w:t>
      </w:r>
      <w:r w:rsidR="00093FCD">
        <w:t>–</w:t>
      </w:r>
      <w:r w:rsidR="00093FCD" w:rsidRPr="00F25C5F">
        <w:rPr>
          <w:i/>
        </w:rPr>
        <w:t>TDSP</w:t>
      </w:r>
      <w:r>
        <w:t xml:space="preserve"> </w:t>
      </w:r>
      <w:r>
        <w:rPr>
          <w:i/>
        </w:rPr>
        <w:t>Demand Billing Considerations</w:t>
      </w:r>
    </w:p>
    <w:p w:rsidR="00F25C5F" w:rsidRDefault="00F25C5F" w:rsidP="00F25C5F">
      <w:pPr>
        <w:pStyle w:val="ListParagraph"/>
        <w:rPr>
          <w:i/>
        </w:rPr>
      </w:pPr>
      <w:r>
        <w:t xml:space="preserve">#126 – </w:t>
      </w:r>
      <w:r>
        <w:rPr>
          <w:i/>
        </w:rPr>
        <w:t>TDSP Data Practices During Prolonged Widespread Outages</w:t>
      </w:r>
    </w:p>
    <w:p w:rsidR="00093FCD" w:rsidRDefault="00093FCD" w:rsidP="00F25C5F">
      <w:pPr>
        <w:pStyle w:val="ListParagraph"/>
      </w:pPr>
      <w:r>
        <w:t xml:space="preserve">AMS Data Practices matrix and proposed addendum questions </w:t>
      </w:r>
      <w:r w:rsidR="008B2D37">
        <w:t xml:space="preserve">were reviewed </w:t>
      </w:r>
      <w:r w:rsidR="00F25C5F">
        <w:t xml:space="preserve">for any additional modifications.  </w:t>
      </w:r>
      <w:r w:rsidR="004E4A9A">
        <w:t>See later notes regarding matrix.</w:t>
      </w:r>
    </w:p>
    <w:p w:rsidR="004E4A9A" w:rsidRDefault="004E4A9A" w:rsidP="004E4A9A">
      <w:pPr>
        <w:pStyle w:val="ListParagraph"/>
        <w:numPr>
          <w:ilvl w:val="0"/>
          <w:numId w:val="4"/>
        </w:numPr>
      </w:pPr>
      <w:r>
        <w:t>#20 – “</w:t>
      </w:r>
      <w:r>
        <w:rPr>
          <w:i/>
        </w:rPr>
        <w:t xml:space="preserve">Should there be modifications for Validation, Editing and Estimation of meter data?  What is the extent of billing errors caused by this?” </w:t>
      </w:r>
      <w:r>
        <w:t xml:space="preserve"> Upon presenting ECL list at TAC, it was thought this item was still open for RECTF noting TDSP Data was “routinely late” in delivery to ERCOT.  Kathy Scott and Jim Lee worked with Randy Roberts and Kelly Brink of ERCOT to provide a report on timing and availability of AMS Data for Settlement processes.  Below is a graph of the timeliness of AMS data </w:t>
      </w:r>
      <w:r w:rsidR="00775EB0">
        <w:t>received by ERCOT on Day 2 from Jan through June 2021.</w:t>
      </w:r>
    </w:p>
    <w:p w:rsidR="006C60DE" w:rsidRDefault="006C60DE" w:rsidP="00775EB0">
      <w:pPr>
        <w:ind w:left="1440"/>
      </w:pPr>
      <w:r w:rsidRPr="006C60DE">
        <w:rPr>
          <w:noProof/>
        </w:rPr>
        <w:drawing>
          <wp:inline distT="0" distB="0" distL="0" distR="0" wp14:anchorId="6CAB84AC" wp14:editId="09A577FD">
            <wp:extent cx="4394177" cy="24079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30060" cy="2427583"/>
                    </a:xfrm>
                    <a:prstGeom prst="rect">
                      <a:avLst/>
                    </a:prstGeom>
                  </pic:spPr>
                </pic:pic>
              </a:graphicData>
            </a:graphic>
          </wp:inline>
        </w:drawing>
      </w:r>
    </w:p>
    <w:p w:rsidR="00775EB0" w:rsidRDefault="008365A4" w:rsidP="00775EB0">
      <w:pPr>
        <w:ind w:left="720"/>
      </w:pPr>
      <w:r w:rsidRPr="008365A4">
        <w:rPr>
          <w:highlight w:val="yellow"/>
        </w:rPr>
        <w:lastRenderedPageBreak/>
        <w:t>ACTION ITEM</w:t>
      </w:r>
      <w:r>
        <w:t xml:space="preserve">:  </w:t>
      </w:r>
      <w:r w:rsidR="00775EB0">
        <w:t>Randy will follow up with Day 1 availability of data.  RECTF will review data before closing out this issue.</w:t>
      </w:r>
    </w:p>
    <w:p w:rsidR="00093FCD" w:rsidRDefault="00A50CFC" w:rsidP="001C3C84">
      <w:pPr>
        <w:pStyle w:val="ListParagraph"/>
        <w:numPr>
          <w:ilvl w:val="0"/>
          <w:numId w:val="4"/>
        </w:numPr>
      </w:pPr>
      <w:r>
        <w:t xml:space="preserve">#19 – </w:t>
      </w:r>
      <w:r w:rsidR="006A59C8" w:rsidRPr="004B083E">
        <w:rPr>
          <w:i/>
        </w:rPr>
        <w:t>modification of proxy data for s</w:t>
      </w:r>
      <w:r w:rsidRPr="004B083E">
        <w:rPr>
          <w:i/>
        </w:rPr>
        <w:t xml:space="preserve">ubset of C&amp;I customers </w:t>
      </w:r>
      <w:r w:rsidR="006A59C8" w:rsidRPr="004B083E">
        <w:rPr>
          <w:i/>
        </w:rPr>
        <w:t>for initial settlement</w:t>
      </w:r>
      <w:r w:rsidR="006A59C8">
        <w:t xml:space="preserve"> – </w:t>
      </w:r>
      <w:r w:rsidR="00775EB0">
        <w:t xml:space="preserve">TDSPs are providing a list of ESIs not transitioning from BUSIDRRQ to BUSLRG to determine if the load ERCOT </w:t>
      </w:r>
      <w:r w:rsidR="00F86F7C">
        <w:t xml:space="preserve">will continue to </w:t>
      </w:r>
      <w:r w:rsidR="00775EB0">
        <w:t>estimate for initial settlement is significant</w:t>
      </w:r>
      <w:r w:rsidR="00F86F7C">
        <w:t xml:space="preserve"> and if estimation methodologies need to be reviewed.  This is being discussed at PWG and the Oct 13</w:t>
      </w:r>
      <w:r w:rsidR="00F86F7C" w:rsidRPr="00F86F7C">
        <w:rPr>
          <w:vertAlign w:val="superscript"/>
        </w:rPr>
        <w:t>th</w:t>
      </w:r>
      <w:r w:rsidR="00F86F7C">
        <w:t xml:space="preserve"> IDR/AMS Workshop.</w:t>
      </w:r>
    </w:p>
    <w:p w:rsidR="00F86F7C" w:rsidRDefault="00F86F7C" w:rsidP="00F86F7C">
      <w:pPr>
        <w:pStyle w:val="ListParagraph"/>
        <w:numPr>
          <w:ilvl w:val="0"/>
          <w:numId w:val="4"/>
        </w:numPr>
      </w:pPr>
      <w:r>
        <w:t xml:space="preserve">#22 – </w:t>
      </w:r>
      <w:r w:rsidRPr="00B42D35">
        <w:rPr>
          <w:i/>
        </w:rPr>
        <w:t>Mass Transition (MT) expectations (stacking logic) of transactions</w:t>
      </w:r>
      <w:r>
        <w:t xml:space="preserve"> –</w:t>
      </w:r>
      <w:r w:rsidR="002A1EC2">
        <w:t xml:space="preserve">RMS will consider </w:t>
      </w:r>
      <w:r>
        <w:t>RMGRR16</w:t>
      </w:r>
      <w:r w:rsidR="008A390F">
        <w:t>8</w:t>
      </w:r>
      <w:r>
        <w:t xml:space="preserve"> </w:t>
      </w:r>
      <w:r w:rsidR="008A390F">
        <w:t xml:space="preserve">at the next meeting and it was noted PUC </w:t>
      </w:r>
      <w:proofErr w:type="spellStart"/>
      <w:r w:rsidR="008A390F">
        <w:t>Subst</w:t>
      </w:r>
      <w:proofErr w:type="spellEnd"/>
      <w:r w:rsidR="008A390F">
        <w:t xml:space="preserve"> Rule 25.43 was also being addressed in Project 51830 via REP comments</w:t>
      </w:r>
    </w:p>
    <w:p w:rsidR="00B42D35" w:rsidRDefault="00B42D35" w:rsidP="00B42D35"/>
    <w:p w:rsidR="000E35BD" w:rsidRDefault="00A00209" w:rsidP="00A00209">
      <w:pPr>
        <w:rPr>
          <w:b/>
          <w:u w:val="single"/>
        </w:rPr>
      </w:pPr>
      <w:r w:rsidRPr="00A00209">
        <w:rPr>
          <w:b/>
          <w:u w:val="single"/>
        </w:rPr>
        <w:t xml:space="preserve">TDSP AMS Data Practices Matrix </w:t>
      </w:r>
    </w:p>
    <w:p w:rsidR="00FF31A5" w:rsidRDefault="000E35BD" w:rsidP="00A00209">
      <w:r>
        <w:t xml:space="preserve">Jim </w:t>
      </w:r>
      <w:r w:rsidR="008A390F">
        <w:t xml:space="preserve">presented the “final” version of the AMS Data Practices matrix with the addendum questions added to the end in same color format.  (questions # 7 – 16).  A few clarifying edits were made to </w:t>
      </w:r>
      <w:r w:rsidR="00FF31A5">
        <w:t>Oncor’s responses on #8, #9 and #15 and CNP’s response on #16.</w:t>
      </w:r>
    </w:p>
    <w:p w:rsidR="00FF31A5" w:rsidRDefault="00FF31A5" w:rsidP="00A00209"/>
    <w:p w:rsidR="000E35BD" w:rsidRDefault="00FF31A5" w:rsidP="00A00209">
      <w:r>
        <w:t xml:space="preserve"> </w:t>
      </w:r>
      <w:r w:rsidRPr="00FF31A5">
        <w:rPr>
          <w:highlight w:val="yellow"/>
        </w:rPr>
        <w:t>ACTION ITEM</w:t>
      </w:r>
      <w:r>
        <w:t xml:space="preserve">:  </w:t>
      </w:r>
      <w:r w:rsidR="000E35BD">
        <w:t>TDSP</w:t>
      </w:r>
      <w:r>
        <w:t xml:space="preserve">s will revisit the response to #13 and consider adding an overall comment in the “Notes/Comments” column regarding market notices on deviations/schedules for gap retrieval.  Q#13:  </w:t>
      </w:r>
      <w:r w:rsidRPr="00FF31A5">
        <w:rPr>
          <w:i/>
        </w:rPr>
        <w:t>After a widespread, prolonged outage concludes, does the TDSP deploy any gap retrieval processes t</w:t>
      </w:r>
      <w:r>
        <w:rPr>
          <w:i/>
        </w:rPr>
        <w:t>o recover interval data once pow</w:t>
      </w:r>
      <w:r w:rsidRPr="00FF31A5">
        <w:rPr>
          <w:i/>
        </w:rPr>
        <w:t>er is restored to a premise?</w:t>
      </w:r>
      <w:r>
        <w:t xml:space="preserve">  </w:t>
      </w:r>
      <w:r w:rsidR="000E35BD">
        <w:t xml:space="preserve"> </w:t>
      </w:r>
    </w:p>
    <w:p w:rsidR="00FF31A5" w:rsidRDefault="00FF31A5" w:rsidP="00A00209"/>
    <w:p w:rsidR="005A351E" w:rsidRDefault="00FF31A5" w:rsidP="00A00209">
      <w:r>
        <w:t>The TF will review the matrix one final time at the next meeting on September 28</w:t>
      </w:r>
      <w:r w:rsidRPr="00FF31A5">
        <w:rPr>
          <w:vertAlign w:val="superscript"/>
        </w:rPr>
        <w:t>th</w:t>
      </w:r>
      <w:r>
        <w:t xml:space="preserve">, then the matrix will be presented </w:t>
      </w:r>
      <w:r w:rsidR="005A351E">
        <w:t>at</w:t>
      </w:r>
      <w:r>
        <w:t xml:space="preserve"> </w:t>
      </w:r>
      <w:r w:rsidR="005A351E">
        <w:t xml:space="preserve">October </w:t>
      </w:r>
      <w:r>
        <w:t>RMS</w:t>
      </w:r>
      <w:r w:rsidR="005A351E">
        <w:t xml:space="preserve"> for final review and approval, then onto TAC and #18, #20 and #125 will be completed on the ECL.  </w:t>
      </w:r>
    </w:p>
    <w:p w:rsidR="005A351E" w:rsidRDefault="005A351E" w:rsidP="00A00209"/>
    <w:p w:rsidR="005A351E" w:rsidRDefault="005A351E" w:rsidP="00A00209">
      <w:r>
        <w:t>The final resting place for the matrix will be both the RMS and TXSET home pages.</w:t>
      </w:r>
    </w:p>
    <w:p w:rsidR="00E7517B" w:rsidRPr="000E35BD" w:rsidRDefault="00E7517B" w:rsidP="00A00209"/>
    <w:p w:rsidR="007B1E7F" w:rsidRDefault="002C03A4" w:rsidP="002C03A4">
      <w:pPr>
        <w:rPr>
          <w:b/>
          <w:u w:val="single"/>
        </w:rPr>
      </w:pPr>
      <w:r w:rsidRPr="002C03A4">
        <w:rPr>
          <w:b/>
          <w:u w:val="single"/>
        </w:rPr>
        <w:t>Weather Preparedness – Q &amp; A – Updated Matrix</w:t>
      </w:r>
    </w:p>
    <w:p w:rsidR="005A351E" w:rsidRDefault="008365A4" w:rsidP="00C3680C">
      <w:pPr>
        <w:pStyle w:val="ListParagraph"/>
        <w:ind w:left="0"/>
      </w:pPr>
      <w:r>
        <w:t>Jim presented two TDSP response matrices:  one FAQ for ERCOT Energy Emergency Alert (EEA) and a second for TDSP Emergency Operation Plan(EOP</w:t>
      </w:r>
      <w:proofErr w:type="gramStart"/>
      <w:r>
        <w:t>) .</w:t>
      </w:r>
      <w:proofErr w:type="gramEnd"/>
      <w:r>
        <w:t xml:space="preserve">  </w:t>
      </w:r>
    </w:p>
    <w:p w:rsidR="008365A4" w:rsidRDefault="008365A4" w:rsidP="00C3680C">
      <w:pPr>
        <w:pStyle w:val="ListParagraph"/>
        <w:ind w:left="0"/>
      </w:pPr>
    </w:p>
    <w:p w:rsidR="008365A4" w:rsidRDefault="008365A4" w:rsidP="00C3680C">
      <w:pPr>
        <w:pStyle w:val="ListParagraph"/>
        <w:ind w:left="0"/>
      </w:pPr>
      <w:r w:rsidRPr="008365A4">
        <w:rPr>
          <w:highlight w:val="yellow"/>
        </w:rPr>
        <w:t>ACTION ITEM</w:t>
      </w:r>
      <w:r>
        <w:t>:   Jim and Sheri will work to define some of the differences between when an EEA and/or an EOP may be deployed to provide clarity on when each of the FAQ responses may apply.  These clarifications will be reviewed and finalized next month.</w:t>
      </w:r>
    </w:p>
    <w:p w:rsidR="008365A4" w:rsidRDefault="008365A4" w:rsidP="00C3680C">
      <w:pPr>
        <w:pStyle w:val="ListParagraph"/>
        <w:ind w:left="0"/>
      </w:pPr>
    </w:p>
    <w:p w:rsidR="00CF64D0" w:rsidRDefault="008365A4" w:rsidP="00C3680C">
      <w:pPr>
        <w:pStyle w:val="ListParagraph"/>
        <w:ind w:left="0"/>
      </w:pPr>
      <w:r w:rsidRPr="001973E2">
        <w:rPr>
          <w:b/>
        </w:rPr>
        <w:t>EEA matrix</w:t>
      </w:r>
      <w:r>
        <w:t xml:space="preserve"> was reviewed first.  </w:t>
      </w:r>
    </w:p>
    <w:p w:rsidR="00CF64D0" w:rsidRDefault="008365A4" w:rsidP="00CF64D0">
      <w:pPr>
        <w:pStyle w:val="ListParagraph"/>
        <w:numPr>
          <w:ilvl w:val="0"/>
          <w:numId w:val="8"/>
        </w:numPr>
      </w:pPr>
      <w:r>
        <w:t>A question regarding the response to #</w:t>
      </w:r>
      <w:proofErr w:type="gramStart"/>
      <w:r>
        <w:t xml:space="preserve">4  </w:t>
      </w:r>
      <w:r>
        <w:rPr>
          <w:i/>
        </w:rPr>
        <w:t>How</w:t>
      </w:r>
      <w:proofErr w:type="gramEnd"/>
      <w:r>
        <w:rPr>
          <w:i/>
        </w:rPr>
        <w:t xml:space="preserve"> long could a Customer be without power during a load shed event</w:t>
      </w:r>
      <w:r w:rsidR="00CF64D0">
        <w:rPr>
          <w:i/>
        </w:rPr>
        <w:t xml:space="preserve">? </w:t>
      </w:r>
      <w:r w:rsidR="00CF64D0">
        <w:t xml:space="preserve">  Was presented regarding timely market notices providing updates on expectations.  With an EEA event, TDSPs explained this issue was being addressed in PUCT Project #51889. </w:t>
      </w:r>
    </w:p>
    <w:p w:rsidR="001973E2" w:rsidRDefault="00CF64D0" w:rsidP="00CF64D0">
      <w:pPr>
        <w:pStyle w:val="ListParagraph"/>
        <w:numPr>
          <w:ilvl w:val="0"/>
          <w:numId w:val="8"/>
        </w:numPr>
      </w:pPr>
      <w:r>
        <w:t xml:space="preserve">For #6 </w:t>
      </w:r>
      <w:r w:rsidRPr="00CF64D0">
        <w:rPr>
          <w:i/>
        </w:rPr>
        <w:t>Are TDSPs AMS systems integrated with their Outage Management Systems (OMS)</w:t>
      </w:r>
      <w:proofErr w:type="gramStart"/>
      <w:r w:rsidRPr="00CF64D0">
        <w:rPr>
          <w:i/>
        </w:rPr>
        <w:t>?</w:t>
      </w:r>
      <w:r>
        <w:t xml:space="preserve"> ,</w:t>
      </w:r>
      <w:proofErr w:type="gramEnd"/>
      <w:r>
        <w:t xml:space="preserve"> Oncor aligned their EEA response with their EOP response indicating ‘partially’ meaning today their system </w:t>
      </w:r>
      <w:r w:rsidR="001973E2">
        <w:t>does not estimate zeros when an outage is detected, however, other features are integrated.  Oncor did present this was a project “they were looking into”.</w:t>
      </w:r>
    </w:p>
    <w:p w:rsidR="001973E2" w:rsidRDefault="001973E2" w:rsidP="00CF64D0">
      <w:pPr>
        <w:pStyle w:val="ListParagraph"/>
        <w:numPr>
          <w:ilvl w:val="0"/>
          <w:numId w:val="8"/>
        </w:numPr>
      </w:pPr>
      <w:r>
        <w:t xml:space="preserve">On #14 </w:t>
      </w:r>
      <w:r w:rsidRPr="001973E2">
        <w:rPr>
          <w:i/>
        </w:rPr>
        <w:t>How are Service Orders impacted during a load shedding event</w:t>
      </w:r>
      <w:proofErr w:type="gramStart"/>
      <w:r w:rsidRPr="001973E2">
        <w:rPr>
          <w:i/>
        </w:rPr>
        <w:t>”</w:t>
      </w:r>
      <w:r>
        <w:t xml:space="preserve"> ,</w:t>
      </w:r>
      <w:proofErr w:type="gramEnd"/>
      <w:r>
        <w:t xml:space="preserve"> when questioned if CNP’s first part of their response applied to all other TDSPs, all wanted to keep the original language on their response.  CNP’s response: </w:t>
      </w:r>
      <w:r w:rsidRPr="001973E2">
        <w:rPr>
          <w:i/>
        </w:rPr>
        <w:t xml:space="preserve">“Delays could be experienced during any power </w:t>
      </w:r>
      <w:r w:rsidRPr="001973E2">
        <w:rPr>
          <w:i/>
        </w:rPr>
        <w:lastRenderedPageBreak/>
        <w:t>outage event since all AMSR meters’ remote functionality become inoperable until power has been restored to the meter(s)</w:t>
      </w:r>
      <w:r>
        <w:t>.”</w:t>
      </w:r>
    </w:p>
    <w:p w:rsidR="001973E2" w:rsidRDefault="001973E2" w:rsidP="00CF64D0">
      <w:pPr>
        <w:pStyle w:val="ListParagraph"/>
        <w:numPr>
          <w:ilvl w:val="0"/>
          <w:numId w:val="8"/>
        </w:numPr>
      </w:pPr>
      <w:r>
        <w:t>Title block was changed to include “Chronic Condition” as well</w:t>
      </w:r>
    </w:p>
    <w:p w:rsidR="008365A4" w:rsidRPr="00CF64D0" w:rsidRDefault="001973E2" w:rsidP="00CF64D0">
      <w:pPr>
        <w:pStyle w:val="ListParagraph"/>
        <w:numPr>
          <w:ilvl w:val="0"/>
          <w:numId w:val="8"/>
        </w:numPr>
      </w:pPr>
      <w:r>
        <w:t>#18 added “for EEA” to the question for clarity since the responses for EOP varied from EEA.</w:t>
      </w:r>
      <w:r w:rsidR="00CF64D0">
        <w:t xml:space="preserve"> </w:t>
      </w:r>
    </w:p>
    <w:p w:rsidR="008365A4" w:rsidRDefault="008365A4" w:rsidP="00C3680C">
      <w:pPr>
        <w:pStyle w:val="ListParagraph"/>
        <w:ind w:left="0"/>
      </w:pPr>
    </w:p>
    <w:p w:rsidR="007874E6" w:rsidRDefault="001973E2" w:rsidP="00C3680C">
      <w:pPr>
        <w:pStyle w:val="ListParagraph"/>
        <w:ind w:left="0"/>
      </w:pPr>
      <w:r w:rsidRPr="001973E2">
        <w:rPr>
          <w:b/>
        </w:rPr>
        <w:t>EOP matrix</w:t>
      </w:r>
      <w:r>
        <w:t xml:space="preserve"> was then reviewed.  In general, an EOP can be deployed in TDSP specific areas or they can be widespread citing examples such as a hurricane, tornado, or other weather-related incidents.  This matrix focused more on specific business practices employed by the TDSPs</w:t>
      </w:r>
      <w:r w:rsidR="007874E6">
        <w:t xml:space="preserve">, hence the varying answers.  </w:t>
      </w:r>
    </w:p>
    <w:p w:rsidR="001973E2" w:rsidRDefault="007874E6" w:rsidP="007874E6">
      <w:pPr>
        <w:pStyle w:val="ListParagraph"/>
        <w:numPr>
          <w:ilvl w:val="0"/>
          <w:numId w:val="9"/>
        </w:numPr>
      </w:pPr>
      <w:r>
        <w:t xml:space="preserve">For #5, </w:t>
      </w:r>
      <w:r>
        <w:rPr>
          <w:i/>
        </w:rPr>
        <w:t xml:space="preserve">For Customers who have registered for TDSP-specific outage alerts, will TDSPs utilize those communication channels during an EOP event?”, </w:t>
      </w:r>
      <w:r>
        <w:t>TNMP was asked if they were considering an outage alert system and responded it was being discussed yet no timeline is available.</w:t>
      </w:r>
    </w:p>
    <w:p w:rsidR="007874E6" w:rsidRDefault="007874E6" w:rsidP="007874E6">
      <w:pPr>
        <w:pStyle w:val="ListParagraph"/>
        <w:numPr>
          <w:ilvl w:val="0"/>
          <w:numId w:val="9"/>
        </w:numPr>
      </w:pPr>
      <w:r>
        <w:t xml:space="preserve">#11 </w:t>
      </w:r>
      <w:r>
        <w:rPr>
          <w:i/>
        </w:rPr>
        <w:t xml:space="preserve">Will Critical Care/Chronic Conditions/Critical Load Customers receive special messaging?  </w:t>
      </w:r>
      <w:r>
        <w:t>Responses received clarification:</w:t>
      </w:r>
    </w:p>
    <w:p w:rsidR="007874E6" w:rsidRDefault="007874E6" w:rsidP="007874E6">
      <w:pPr>
        <w:pStyle w:val="ListParagraph"/>
        <w:numPr>
          <w:ilvl w:val="1"/>
          <w:numId w:val="9"/>
        </w:numPr>
      </w:pPr>
      <w:r>
        <w:t>Oncor</w:t>
      </w:r>
      <w:proofErr w:type="gramStart"/>
      <w:r>
        <w:t>:  “</w:t>
      </w:r>
      <w:proofErr w:type="gramEnd"/>
      <w:r>
        <w:t>making outbound calls” indicated a recorded message would be sent</w:t>
      </w:r>
    </w:p>
    <w:p w:rsidR="007874E6" w:rsidRDefault="007874E6" w:rsidP="007874E6">
      <w:pPr>
        <w:pStyle w:val="ListParagraph"/>
        <w:numPr>
          <w:ilvl w:val="1"/>
          <w:numId w:val="9"/>
        </w:numPr>
      </w:pPr>
      <w:r>
        <w:t>CNP</w:t>
      </w:r>
      <w:proofErr w:type="gramStart"/>
      <w:r>
        <w:t>:  “</w:t>
      </w:r>
      <w:proofErr w:type="gramEnd"/>
      <w:r>
        <w:t xml:space="preserve">blasting messages” indicated communication would be made via email/text/phone calls (robocalls) </w:t>
      </w:r>
    </w:p>
    <w:p w:rsidR="007874E6" w:rsidRDefault="007874E6" w:rsidP="007874E6">
      <w:pPr>
        <w:pStyle w:val="ListParagraph"/>
        <w:numPr>
          <w:ilvl w:val="0"/>
          <w:numId w:val="9"/>
        </w:numPr>
      </w:pPr>
      <w:r>
        <w:t>TDSPs explained typically during an EOP event, TDSPs have additional time and bandwidth for outreach as opposed to an EEA event when changes can happen very quickly.</w:t>
      </w:r>
    </w:p>
    <w:p w:rsidR="007874E6" w:rsidRDefault="007874E6" w:rsidP="007874E6">
      <w:pPr>
        <w:pStyle w:val="ListParagraph"/>
        <w:numPr>
          <w:ilvl w:val="0"/>
          <w:numId w:val="9"/>
        </w:numPr>
      </w:pPr>
      <w:r>
        <w:t>The question was asked “What happens if we have both an EEA and an EOP event, which responses can be used to set expectations?  Initial response was always echo out EEA responses with possible secondary market notices indicating an EOP response.  TDSPs will review and provide clarity in the “definitions” of an EEA vs EOP.</w:t>
      </w:r>
    </w:p>
    <w:p w:rsidR="007874E6" w:rsidRPr="007874E6" w:rsidRDefault="007874E6" w:rsidP="007874E6">
      <w:pPr>
        <w:rPr>
          <w:b/>
          <w:u w:val="single"/>
        </w:rPr>
      </w:pPr>
    </w:p>
    <w:p w:rsidR="00BE7A1E" w:rsidRDefault="00BE7A1E" w:rsidP="007874E6">
      <w:pPr>
        <w:rPr>
          <w:b/>
          <w:u w:val="single"/>
        </w:rPr>
      </w:pPr>
      <w:r>
        <w:rPr>
          <w:b/>
          <w:u w:val="single"/>
        </w:rPr>
        <w:t>Agenda Planning for Nov 2</w:t>
      </w:r>
      <w:r w:rsidRPr="00BE7A1E">
        <w:rPr>
          <w:b/>
          <w:u w:val="single"/>
          <w:vertAlign w:val="superscript"/>
        </w:rPr>
        <w:t>nd</w:t>
      </w:r>
      <w:r>
        <w:rPr>
          <w:b/>
          <w:u w:val="single"/>
        </w:rPr>
        <w:t xml:space="preserve"> Winter Preparedness Workshop</w:t>
      </w:r>
    </w:p>
    <w:p w:rsidR="00BE7A1E" w:rsidRDefault="00BE7A1E" w:rsidP="007874E6">
      <w:r>
        <w:t xml:space="preserve">Jim presented the agenda from last year’s workshop seeking feedback on topics.  Initial plan is to follow the same basic agenda only discussing the EEA and EOP matrices FAQs.  It was also suggested to add Mass Transition Process as an agenda item.  The agenda will be finalized at the next RECTF meeting.  </w:t>
      </w:r>
    </w:p>
    <w:p w:rsidR="00BE7A1E" w:rsidRPr="00BE7A1E" w:rsidRDefault="00BE7A1E" w:rsidP="007874E6"/>
    <w:p w:rsidR="00BE6978" w:rsidRPr="007874E6" w:rsidRDefault="00BE6978" w:rsidP="007874E6">
      <w:pPr>
        <w:rPr>
          <w:b/>
          <w:u w:val="single"/>
        </w:rPr>
      </w:pPr>
      <w:r w:rsidRPr="007874E6">
        <w:rPr>
          <w:b/>
          <w:u w:val="single"/>
        </w:rPr>
        <w:t>Next Steps/Next Meeting</w:t>
      </w:r>
    </w:p>
    <w:p w:rsidR="00BE6978" w:rsidRDefault="00BE6978" w:rsidP="007B1E7F">
      <w:pPr>
        <w:pStyle w:val="ListParagraph"/>
        <w:ind w:left="360"/>
      </w:pPr>
      <w:r>
        <w:t xml:space="preserve">Next meeting is scheduled for </w:t>
      </w:r>
      <w:r w:rsidR="005A351E">
        <w:rPr>
          <w:b/>
        </w:rPr>
        <w:t>September 28th</w:t>
      </w:r>
      <w:r w:rsidR="008649B2">
        <w:rPr>
          <w:b/>
        </w:rPr>
        <w:t>.</w:t>
      </w:r>
      <w:r>
        <w:t xml:space="preserve"> </w:t>
      </w:r>
    </w:p>
    <w:p w:rsidR="005D077A" w:rsidRDefault="005D077A" w:rsidP="007B1E7F">
      <w:pPr>
        <w:pStyle w:val="ListParagraph"/>
        <w:ind w:left="360"/>
      </w:pPr>
    </w:p>
    <w:p w:rsidR="005D077A" w:rsidRDefault="005D077A" w:rsidP="007B1E7F">
      <w:pPr>
        <w:pStyle w:val="ListParagraph"/>
        <w:ind w:left="360"/>
      </w:pPr>
      <w:r>
        <w:t>Proposed Agenda topics:</w:t>
      </w:r>
    </w:p>
    <w:p w:rsidR="005D077A" w:rsidRDefault="008649B2" w:rsidP="005D077A">
      <w:pPr>
        <w:pStyle w:val="ListParagraph"/>
        <w:numPr>
          <w:ilvl w:val="0"/>
          <w:numId w:val="5"/>
        </w:numPr>
      </w:pPr>
      <w:r>
        <w:t>Update on ECL items</w:t>
      </w:r>
    </w:p>
    <w:p w:rsidR="005D077A" w:rsidRDefault="008649B2" w:rsidP="005D077A">
      <w:pPr>
        <w:pStyle w:val="ListParagraph"/>
        <w:numPr>
          <w:ilvl w:val="0"/>
          <w:numId w:val="5"/>
        </w:numPr>
      </w:pPr>
      <w:r>
        <w:t>Final</w:t>
      </w:r>
      <w:r w:rsidR="005A351E">
        <w:t xml:space="preserve"> Review</w:t>
      </w:r>
      <w:r>
        <w:t xml:space="preserve"> </w:t>
      </w:r>
      <w:r w:rsidR="005D077A">
        <w:t>TDSP AMS Data Practices matrix</w:t>
      </w:r>
      <w:r>
        <w:t xml:space="preserve"> </w:t>
      </w:r>
      <w:r w:rsidR="005A351E">
        <w:t>w/</w:t>
      </w:r>
      <w:r>
        <w:t>Addendum for prolonged widespread outages</w:t>
      </w:r>
    </w:p>
    <w:p w:rsidR="005D077A" w:rsidRDefault="008649B2" w:rsidP="005D077A">
      <w:pPr>
        <w:pStyle w:val="ListParagraph"/>
        <w:numPr>
          <w:ilvl w:val="0"/>
          <w:numId w:val="5"/>
        </w:numPr>
      </w:pPr>
      <w:r>
        <w:t>Review of Summer/Winter Preparedness FAQ matr</w:t>
      </w:r>
      <w:r w:rsidR="005A351E">
        <w:t>ices – EEA and EOP</w:t>
      </w:r>
    </w:p>
    <w:p w:rsidR="005A351E" w:rsidRDefault="005A351E" w:rsidP="005D077A">
      <w:pPr>
        <w:pStyle w:val="ListParagraph"/>
        <w:numPr>
          <w:ilvl w:val="0"/>
          <w:numId w:val="5"/>
        </w:numPr>
      </w:pPr>
      <w:r>
        <w:t>Finalize Agenda for Weather Prep</w:t>
      </w:r>
      <w:r w:rsidR="008365A4">
        <w:t xml:space="preserve"> meeting on November 2nd</w:t>
      </w:r>
    </w:p>
    <w:p w:rsidR="005D077A" w:rsidRDefault="005D077A" w:rsidP="007B1E7F">
      <w:pPr>
        <w:pStyle w:val="ListParagraph"/>
        <w:ind w:left="360"/>
      </w:pPr>
    </w:p>
    <w:p w:rsidR="001C3C84" w:rsidRDefault="00BE6978" w:rsidP="00A22ED3">
      <w:pPr>
        <w:pStyle w:val="ListParagraph"/>
        <w:ind w:left="360"/>
      </w:pPr>
      <w:r>
        <w:t xml:space="preserve">Meeting adjourned ~ </w:t>
      </w:r>
      <w:r w:rsidR="00BE7A1E">
        <w:t>12</w:t>
      </w:r>
      <w:bookmarkStart w:id="0" w:name="_GoBack"/>
      <w:bookmarkEnd w:id="0"/>
      <w:r>
        <w:t>:</w:t>
      </w:r>
      <w:r w:rsidR="008649B2">
        <w:t>30</w:t>
      </w:r>
      <w:r>
        <w:t xml:space="preserve"> PM</w:t>
      </w:r>
    </w:p>
    <w:p w:rsidR="001C3C84" w:rsidRPr="001C3C84" w:rsidRDefault="001C3C84"/>
    <w:sectPr w:rsidR="001C3C84" w:rsidRPr="001C3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92558"/>
    <w:multiLevelType w:val="hybridMultilevel"/>
    <w:tmpl w:val="3C66A1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02F4F"/>
    <w:multiLevelType w:val="hybridMultilevel"/>
    <w:tmpl w:val="2B6C17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1B1A12"/>
    <w:multiLevelType w:val="hybridMultilevel"/>
    <w:tmpl w:val="CE12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13990"/>
    <w:multiLevelType w:val="hybridMultilevel"/>
    <w:tmpl w:val="85626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6741BD"/>
    <w:multiLevelType w:val="hybridMultilevel"/>
    <w:tmpl w:val="462A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42808"/>
    <w:multiLevelType w:val="hybridMultilevel"/>
    <w:tmpl w:val="0BF8AE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C63BE7"/>
    <w:multiLevelType w:val="hybridMultilevel"/>
    <w:tmpl w:val="877E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46536"/>
    <w:multiLevelType w:val="hybridMultilevel"/>
    <w:tmpl w:val="96E411F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725B6DFF"/>
    <w:multiLevelType w:val="hybridMultilevel"/>
    <w:tmpl w:val="5CF48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8"/>
  </w:num>
  <w:num w:numId="5">
    <w:abstractNumId w:val="1"/>
  </w:num>
  <w:num w:numId="6">
    <w:abstractNumId w:val="2"/>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4FC"/>
    <w:rsid w:val="0002341D"/>
    <w:rsid w:val="00082BA4"/>
    <w:rsid w:val="00093FCD"/>
    <w:rsid w:val="000B7987"/>
    <w:rsid w:val="000C4DA2"/>
    <w:rsid w:val="000E0E02"/>
    <w:rsid w:val="000E31F4"/>
    <w:rsid w:val="000E35BD"/>
    <w:rsid w:val="00181749"/>
    <w:rsid w:val="001973E2"/>
    <w:rsid w:val="001B579C"/>
    <w:rsid w:val="001C0126"/>
    <w:rsid w:val="001C3C84"/>
    <w:rsid w:val="002A1EC2"/>
    <w:rsid w:val="002C03A4"/>
    <w:rsid w:val="002C43FA"/>
    <w:rsid w:val="00317103"/>
    <w:rsid w:val="003651AD"/>
    <w:rsid w:val="003B1591"/>
    <w:rsid w:val="003F7D20"/>
    <w:rsid w:val="00414718"/>
    <w:rsid w:val="004B083E"/>
    <w:rsid w:val="004E4A9A"/>
    <w:rsid w:val="00585222"/>
    <w:rsid w:val="005A351E"/>
    <w:rsid w:val="005D077A"/>
    <w:rsid w:val="00655099"/>
    <w:rsid w:val="006A59C8"/>
    <w:rsid w:val="006B528F"/>
    <w:rsid w:val="006C60DE"/>
    <w:rsid w:val="007512A6"/>
    <w:rsid w:val="007534B4"/>
    <w:rsid w:val="00771266"/>
    <w:rsid w:val="00775EB0"/>
    <w:rsid w:val="007874E6"/>
    <w:rsid w:val="007B1E7F"/>
    <w:rsid w:val="007F5DCE"/>
    <w:rsid w:val="008365A4"/>
    <w:rsid w:val="008367E2"/>
    <w:rsid w:val="008649B2"/>
    <w:rsid w:val="008A390F"/>
    <w:rsid w:val="008B0979"/>
    <w:rsid w:val="008B2D37"/>
    <w:rsid w:val="009133A5"/>
    <w:rsid w:val="00984D81"/>
    <w:rsid w:val="009A3D65"/>
    <w:rsid w:val="00A00209"/>
    <w:rsid w:val="00A22ED3"/>
    <w:rsid w:val="00A45165"/>
    <w:rsid w:val="00A50CFC"/>
    <w:rsid w:val="00A57B04"/>
    <w:rsid w:val="00A74D4D"/>
    <w:rsid w:val="00AD1CC5"/>
    <w:rsid w:val="00AE4688"/>
    <w:rsid w:val="00AF5297"/>
    <w:rsid w:val="00B3345E"/>
    <w:rsid w:val="00B42D35"/>
    <w:rsid w:val="00BC30FA"/>
    <w:rsid w:val="00BD3F24"/>
    <w:rsid w:val="00BE6978"/>
    <w:rsid w:val="00BE7A1E"/>
    <w:rsid w:val="00BF6A9F"/>
    <w:rsid w:val="00C3680C"/>
    <w:rsid w:val="00C754FC"/>
    <w:rsid w:val="00C81373"/>
    <w:rsid w:val="00C95221"/>
    <w:rsid w:val="00CE3922"/>
    <w:rsid w:val="00CF64D0"/>
    <w:rsid w:val="00D30A52"/>
    <w:rsid w:val="00DA7850"/>
    <w:rsid w:val="00DC2D01"/>
    <w:rsid w:val="00E013EA"/>
    <w:rsid w:val="00E7517B"/>
    <w:rsid w:val="00F25C5F"/>
    <w:rsid w:val="00F27FD3"/>
    <w:rsid w:val="00F86F7C"/>
    <w:rsid w:val="00FC5864"/>
    <w:rsid w:val="00FF31A5"/>
    <w:rsid w:val="00FF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44515"/>
  <w15:chartTrackingRefBased/>
  <w15:docId w15:val="{823114F5-E7BE-4B4A-9222-5043ABA5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4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C754FC"/>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Paragraph">
    <w:name w:val="List Paragraph"/>
    <w:basedOn w:val="Normal"/>
    <w:uiPriority w:val="34"/>
    <w:qFormat/>
    <w:rsid w:val="001C3C84"/>
    <w:pPr>
      <w:ind w:left="720"/>
      <w:contextualSpacing/>
    </w:pPr>
  </w:style>
  <w:style w:type="character" w:styleId="Hyperlink">
    <w:name w:val="Hyperlink"/>
    <w:basedOn w:val="DefaultParagraphFont"/>
    <w:uiPriority w:val="99"/>
    <w:unhideWhenUsed/>
    <w:rsid w:val="000E31F4"/>
    <w:rPr>
      <w:color w:val="0000FF" w:themeColor="hyperlink"/>
      <w:u w:val="single"/>
    </w:rPr>
  </w:style>
  <w:style w:type="character" w:styleId="UnresolvedMention">
    <w:name w:val="Unresolved Mention"/>
    <w:basedOn w:val="DefaultParagraphFont"/>
    <w:uiPriority w:val="99"/>
    <w:semiHidden/>
    <w:unhideWhenUsed/>
    <w:rsid w:val="000E31F4"/>
    <w:rPr>
      <w:color w:val="808080"/>
      <w:shd w:val="clear" w:color="auto" w:fill="E6E6E6"/>
    </w:rPr>
  </w:style>
  <w:style w:type="paragraph" w:styleId="BalloonText">
    <w:name w:val="Balloon Text"/>
    <w:basedOn w:val="Normal"/>
    <w:link w:val="BalloonTextChar"/>
    <w:uiPriority w:val="99"/>
    <w:semiHidden/>
    <w:unhideWhenUsed/>
    <w:rsid w:val="006550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0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62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3026</TotalTime>
  <Pages>3</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4</cp:revision>
  <cp:lastPrinted>2021-07-29T14:25:00Z</cp:lastPrinted>
  <dcterms:created xsi:type="dcterms:W3CDTF">2021-08-31T21:08:00Z</dcterms:created>
  <dcterms:modified xsi:type="dcterms:W3CDTF">2021-09-08T22:23:00Z</dcterms:modified>
</cp:coreProperties>
</file>