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C964F6" w:rsidP="00123FEE">
      <w:pPr>
        <w:pStyle w:val="NoSpacing"/>
        <w:rPr>
          <w:b/>
          <w:sz w:val="28"/>
          <w:szCs w:val="24"/>
        </w:rPr>
      </w:pPr>
      <w:r>
        <w:rPr>
          <w:b/>
          <w:sz w:val="28"/>
          <w:szCs w:val="24"/>
        </w:rPr>
        <w:t>August 19th</w:t>
      </w:r>
      <w:r w:rsidR="002F5B65">
        <w:rPr>
          <w:b/>
          <w:sz w:val="28"/>
          <w:szCs w:val="24"/>
        </w:rPr>
        <w:t>,</w:t>
      </w:r>
      <w:r w:rsidR="005645B7">
        <w:rPr>
          <w:b/>
          <w:sz w:val="28"/>
          <w:szCs w:val="24"/>
        </w:rPr>
        <w:t xml:space="preserve"> 202</w:t>
      </w:r>
      <w:r w:rsidR="00AA3CAF">
        <w:rPr>
          <w:b/>
          <w:sz w:val="28"/>
          <w:szCs w:val="24"/>
        </w:rPr>
        <w:t>1</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350"/>
        <w:gridCol w:w="2340"/>
        <w:gridCol w:w="1710"/>
      </w:tblGrid>
      <w:tr w:rsidR="00EA742D" w:rsidRPr="00020312" w:rsidTr="000F4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5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4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31702C" w:rsidP="000F415E">
            <w:pPr>
              <w:rPr>
                <w:b w:val="0"/>
              </w:rPr>
            </w:pPr>
            <w:r>
              <w:rPr>
                <w:b w:val="0"/>
              </w:rPr>
              <w:t>Jim Lee</w:t>
            </w:r>
          </w:p>
        </w:tc>
        <w:tc>
          <w:tcPr>
            <w:tcW w:w="1411"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AEP</w:t>
            </w:r>
          </w:p>
        </w:tc>
        <w:tc>
          <w:tcPr>
            <w:tcW w:w="2099"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Dave Michelson</w:t>
            </w:r>
          </w:p>
        </w:tc>
        <w:tc>
          <w:tcPr>
            <w:tcW w:w="135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ERCOT</w:t>
            </w:r>
          </w:p>
        </w:tc>
        <w:tc>
          <w:tcPr>
            <w:tcW w:w="2340"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rPr>
                <w:b/>
              </w:rPr>
            </w:pPr>
            <w:r>
              <w:t>Mick Hanna</w:t>
            </w:r>
          </w:p>
        </w:tc>
        <w:tc>
          <w:tcPr>
            <w:tcW w:w="1710"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ERCOT</w:t>
            </w:r>
          </w:p>
        </w:tc>
      </w:tr>
      <w:tr w:rsidR="000F415E"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0F415E" w:rsidP="000F415E">
            <w:pPr>
              <w:rPr>
                <w:b w:val="0"/>
              </w:rPr>
            </w:pPr>
            <w:r w:rsidRPr="00020312">
              <w:rPr>
                <w:b w:val="0"/>
              </w:rPr>
              <w:t>Sam Pak</w:t>
            </w:r>
          </w:p>
        </w:tc>
        <w:tc>
          <w:tcPr>
            <w:tcW w:w="1411"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Steven Pliler</w:t>
            </w:r>
          </w:p>
        </w:tc>
        <w:tc>
          <w:tcPr>
            <w:tcW w:w="135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TXU</w:t>
            </w:r>
          </w:p>
        </w:tc>
        <w:tc>
          <w:tcPr>
            <w:tcW w:w="2340" w:type="dxa"/>
          </w:tcPr>
          <w:p w:rsidR="000F415E" w:rsidRPr="00D17CF3" w:rsidRDefault="000F415E" w:rsidP="000F415E">
            <w:pPr>
              <w:cnfStyle w:val="000000000000" w:firstRow="0" w:lastRow="0" w:firstColumn="0" w:lastColumn="0" w:oddVBand="0" w:evenVBand="0" w:oddHBand="0" w:evenHBand="0" w:firstRowFirstColumn="0" w:firstRowLastColumn="0" w:lastRowFirstColumn="0" w:lastRowLastColumn="0"/>
              <w:rPr>
                <w:b/>
              </w:rPr>
            </w:pPr>
            <w:r>
              <w:t>Jordan Troublefield</w:t>
            </w:r>
          </w:p>
        </w:tc>
        <w:tc>
          <w:tcPr>
            <w:tcW w:w="171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ERCOT</w:t>
            </w:r>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020312" w:rsidRDefault="000F415E" w:rsidP="000F415E">
            <w:pPr>
              <w:rPr>
                <w:b w:val="0"/>
              </w:rPr>
            </w:pPr>
            <w:r>
              <w:rPr>
                <w:b w:val="0"/>
              </w:rPr>
              <w:t>Kathy Scott</w:t>
            </w:r>
          </w:p>
        </w:tc>
        <w:tc>
          <w:tcPr>
            <w:tcW w:w="1411"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t>C</w:t>
            </w:r>
            <w:r w:rsidR="00083BA8">
              <w:t>NP</w:t>
            </w:r>
          </w:p>
        </w:tc>
        <w:tc>
          <w:tcPr>
            <w:tcW w:w="2099"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r>
              <w:t xml:space="preserve">Eric </w:t>
            </w:r>
            <w:r w:rsidR="00C964F6">
              <w:t>Lotter</w:t>
            </w:r>
          </w:p>
        </w:tc>
        <w:tc>
          <w:tcPr>
            <w:tcW w:w="1350" w:type="dxa"/>
          </w:tcPr>
          <w:p w:rsidR="000F415E" w:rsidRPr="00020312" w:rsidRDefault="0031702C" w:rsidP="000F415E">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c>
          <w:tcPr>
            <w:tcW w:w="2340"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r>
              <w:t>Angela Ghormley</w:t>
            </w:r>
          </w:p>
        </w:tc>
        <w:tc>
          <w:tcPr>
            <w:tcW w:w="1710"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r>
              <w:t>Calpine</w:t>
            </w:r>
          </w:p>
        </w:tc>
      </w:tr>
      <w:tr w:rsidR="000F415E"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0F415E" w:rsidRPr="003D3023" w:rsidRDefault="000F415E" w:rsidP="000F415E">
            <w:pPr>
              <w:rPr>
                <w:b w:val="0"/>
              </w:rPr>
            </w:pPr>
            <w:r w:rsidRPr="003D3023">
              <w:rPr>
                <w:b w:val="0"/>
              </w:rPr>
              <w:t>Sheri W</w:t>
            </w:r>
            <w:r>
              <w:rPr>
                <w:b w:val="0"/>
              </w:rPr>
              <w:t>ie</w:t>
            </w:r>
            <w:r w:rsidRPr="003D3023">
              <w:rPr>
                <w:b w:val="0"/>
              </w:rPr>
              <w:t>gand</w:t>
            </w:r>
          </w:p>
        </w:tc>
        <w:tc>
          <w:tcPr>
            <w:tcW w:w="1411"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Carolyn Reed</w:t>
            </w:r>
          </w:p>
        </w:tc>
        <w:tc>
          <w:tcPr>
            <w:tcW w:w="1350" w:type="dxa"/>
          </w:tcPr>
          <w:p w:rsidR="000F415E" w:rsidRPr="00020312" w:rsidRDefault="000F415E" w:rsidP="000F415E">
            <w:pPr>
              <w:cnfStyle w:val="000000000000" w:firstRow="0" w:lastRow="0" w:firstColumn="0" w:lastColumn="0" w:oddVBand="0" w:evenVBand="0" w:oddHBand="0" w:evenHBand="0" w:firstRowFirstColumn="0" w:firstRowLastColumn="0" w:lastRowFirstColumn="0" w:lastRowLastColumn="0"/>
            </w:pPr>
            <w:r>
              <w:t>CNP</w:t>
            </w:r>
          </w:p>
        </w:tc>
        <w:tc>
          <w:tcPr>
            <w:tcW w:w="2340" w:type="dxa"/>
          </w:tcPr>
          <w:p w:rsidR="000F415E" w:rsidRPr="00020312" w:rsidRDefault="00C964F6" w:rsidP="000F415E">
            <w:pPr>
              <w:cnfStyle w:val="000000000000" w:firstRow="0" w:lastRow="0" w:firstColumn="0" w:lastColumn="0" w:oddVBand="0" w:evenVBand="0" w:oddHBand="0" w:evenHBand="0" w:firstRowFirstColumn="0" w:firstRowLastColumn="0" w:lastRowFirstColumn="0" w:lastRowLastColumn="0"/>
            </w:pPr>
            <w:r>
              <w:t>Charles McLemore</w:t>
            </w:r>
          </w:p>
        </w:tc>
        <w:tc>
          <w:tcPr>
            <w:tcW w:w="1710" w:type="dxa"/>
          </w:tcPr>
          <w:p w:rsidR="000F415E" w:rsidRPr="00020312" w:rsidRDefault="00C964F6" w:rsidP="000F415E">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r>
      <w:tr w:rsidR="000F415E" w:rsidRPr="00020312" w:rsidTr="000F41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F415E" w:rsidRPr="003D3023" w:rsidRDefault="000F415E" w:rsidP="000F415E">
            <w:pPr>
              <w:rPr>
                <w:b w:val="0"/>
              </w:rPr>
            </w:pPr>
            <w:r w:rsidRPr="00020312">
              <w:rPr>
                <w:b w:val="0"/>
              </w:rPr>
              <w:t>Kyle Patrick</w:t>
            </w:r>
          </w:p>
        </w:tc>
        <w:tc>
          <w:tcPr>
            <w:tcW w:w="1411" w:type="dxa"/>
          </w:tcPr>
          <w:p w:rsidR="000F415E" w:rsidRPr="00020312" w:rsidRDefault="000F415E" w:rsidP="000F415E">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r>
              <w:t>Cynthia Morrow</w:t>
            </w:r>
          </w:p>
        </w:tc>
        <w:tc>
          <w:tcPr>
            <w:tcW w:w="1350"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proofErr w:type="spellStart"/>
            <w:r>
              <w:t>Gexa</w:t>
            </w:r>
            <w:proofErr w:type="spellEnd"/>
          </w:p>
        </w:tc>
        <w:tc>
          <w:tcPr>
            <w:tcW w:w="2340"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r>
              <w:t>Diana Rehfeldt</w:t>
            </w:r>
          </w:p>
        </w:tc>
        <w:tc>
          <w:tcPr>
            <w:tcW w:w="1710" w:type="dxa"/>
          </w:tcPr>
          <w:p w:rsidR="000F415E" w:rsidRPr="00020312" w:rsidRDefault="00C964F6" w:rsidP="000F415E">
            <w:pPr>
              <w:cnfStyle w:val="000000100000" w:firstRow="0" w:lastRow="0" w:firstColumn="0" w:lastColumn="0" w:oddVBand="0" w:evenVBand="0" w:oddHBand="1" w:evenHBand="0" w:firstRowFirstColumn="0" w:firstRowLastColumn="0" w:lastRowFirstColumn="0" w:lastRowLastColumn="0"/>
            </w:pPr>
            <w:r>
              <w:t>TNMP</w:t>
            </w:r>
          </w:p>
        </w:tc>
      </w:tr>
      <w:tr w:rsidR="0031702C" w:rsidRPr="00020312" w:rsidTr="000F415E">
        <w:tc>
          <w:tcPr>
            <w:cnfStyle w:val="001000000000" w:firstRow="0" w:lastRow="0" w:firstColumn="1" w:lastColumn="0" w:oddVBand="0" w:evenVBand="0" w:oddHBand="0" w:evenHBand="0" w:firstRowFirstColumn="0" w:firstRowLastColumn="0" w:lastRowFirstColumn="0" w:lastRowLastColumn="0"/>
            <w:tcW w:w="2155" w:type="dxa"/>
          </w:tcPr>
          <w:p w:rsidR="0031702C" w:rsidRPr="0031702C" w:rsidRDefault="0031702C" w:rsidP="000F415E">
            <w:pPr>
              <w:rPr>
                <w:b w:val="0"/>
              </w:rPr>
            </w:pPr>
            <w:r>
              <w:rPr>
                <w:b w:val="0"/>
              </w:rPr>
              <w:t>Eric Blakey</w:t>
            </w:r>
          </w:p>
        </w:tc>
        <w:tc>
          <w:tcPr>
            <w:tcW w:w="1411" w:type="dxa"/>
          </w:tcPr>
          <w:p w:rsidR="0031702C" w:rsidRPr="00020312" w:rsidRDefault="0031702C" w:rsidP="000F415E">
            <w:pPr>
              <w:cnfStyle w:val="000000000000" w:firstRow="0" w:lastRow="0" w:firstColumn="0" w:lastColumn="0" w:oddVBand="0" w:evenVBand="0" w:oddHBand="0" w:evenHBand="0" w:firstRowFirstColumn="0" w:firstRowLastColumn="0" w:lastRowFirstColumn="0" w:lastRowLastColumn="0"/>
            </w:pPr>
            <w:r>
              <w:t>Just Energy</w:t>
            </w:r>
          </w:p>
        </w:tc>
        <w:tc>
          <w:tcPr>
            <w:tcW w:w="2099"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
        </w:tc>
        <w:tc>
          <w:tcPr>
            <w:tcW w:w="135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
        </w:tc>
        <w:tc>
          <w:tcPr>
            <w:tcW w:w="234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
        </w:tc>
        <w:tc>
          <w:tcPr>
            <w:tcW w:w="1710" w:type="dxa"/>
          </w:tcPr>
          <w:p w:rsidR="0031702C" w:rsidRDefault="0031702C" w:rsidP="000F415E">
            <w:pPr>
              <w:cnfStyle w:val="000000000000" w:firstRow="0" w:lastRow="0" w:firstColumn="0" w:lastColumn="0" w:oddVBand="0" w:evenVBand="0" w:oddHBand="0" w:evenHBand="0" w:firstRowFirstColumn="0" w:firstRowLastColumn="0" w:lastRowFirstColumn="0" w:lastRowLastColumn="0"/>
            </w:pPr>
          </w:p>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rsidR="00CE3D30" w:rsidRPr="00CE3D30" w:rsidRDefault="00CE3D30" w:rsidP="00245452">
      <w:pPr>
        <w:pStyle w:val="NoSpacing"/>
        <w:numPr>
          <w:ilvl w:val="0"/>
          <w:numId w:val="1"/>
        </w:numPr>
        <w:rPr>
          <w:u w:val="single"/>
        </w:rPr>
      </w:pPr>
      <w:r>
        <w:t xml:space="preserve">Antitrust Admonition was read by Sheri </w:t>
      </w:r>
    </w:p>
    <w:p w:rsidR="0031702C" w:rsidRPr="0031702C" w:rsidRDefault="002F5B65" w:rsidP="0031702C">
      <w:pPr>
        <w:pStyle w:val="NoSpacing"/>
        <w:numPr>
          <w:ilvl w:val="0"/>
          <w:numId w:val="1"/>
        </w:numPr>
        <w:rPr>
          <w:b/>
          <w:u w:val="single"/>
        </w:rPr>
      </w:pPr>
      <w:r>
        <w:t>M</w:t>
      </w:r>
      <w:r w:rsidR="00326666">
        <w:t xml:space="preserve">inutes </w:t>
      </w:r>
      <w:r w:rsidR="001D16C1">
        <w:t xml:space="preserve">from </w:t>
      </w:r>
      <w:r w:rsidR="00C964F6">
        <w:t>7/22</w:t>
      </w:r>
      <w:r>
        <w:t>/</w:t>
      </w:r>
      <w:r w:rsidR="00766E5D">
        <w:t>2</w:t>
      </w:r>
      <w:r w:rsidR="001313EA">
        <w:t>1</w:t>
      </w:r>
      <w:r w:rsidR="001D16C1">
        <w:t xml:space="preserve"> </w:t>
      </w:r>
      <w:r w:rsidR="00326666">
        <w:t xml:space="preserve">were </w:t>
      </w:r>
      <w:r w:rsidR="008451D6">
        <w:t xml:space="preserve">reviewed and </w:t>
      </w:r>
      <w:r w:rsidR="00326666">
        <w:t>approved</w:t>
      </w:r>
      <w:r w:rsidR="009D7657">
        <w:t xml:space="preserve"> </w:t>
      </w:r>
    </w:p>
    <w:p w:rsidR="0031702C" w:rsidRDefault="0031702C" w:rsidP="0031702C">
      <w:pPr>
        <w:pStyle w:val="NoSpacing"/>
        <w:rPr>
          <w:b/>
          <w:u w:val="single"/>
        </w:rPr>
      </w:pPr>
    </w:p>
    <w:p w:rsidR="003C2B32" w:rsidRDefault="00351211" w:rsidP="0031702C">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rsidR="00C33E4E" w:rsidRDefault="000C319D" w:rsidP="00A241ED">
      <w:pPr>
        <w:pStyle w:val="NoSpacing"/>
        <w:numPr>
          <w:ilvl w:val="0"/>
          <w:numId w:val="1"/>
        </w:numPr>
      </w:pPr>
      <w:r>
        <w:t xml:space="preserve">All </w:t>
      </w:r>
      <w:r w:rsidR="008A3554">
        <w:t xml:space="preserve">Retail Market IT </w:t>
      </w:r>
      <w:r w:rsidR="00F621D1">
        <w:t xml:space="preserve">SLAs for </w:t>
      </w:r>
      <w:r w:rsidR="007E52DF">
        <w:t>Ju</w:t>
      </w:r>
      <w:r w:rsidR="00C964F6">
        <w:t>ly</w:t>
      </w:r>
      <w:r w:rsidR="000F415E">
        <w:t xml:space="preserve"> </w:t>
      </w:r>
      <w:r w:rsidR="00F621D1">
        <w:t xml:space="preserve">were </w:t>
      </w:r>
      <w:r>
        <w:t>met</w:t>
      </w:r>
    </w:p>
    <w:p w:rsidR="00C964F6" w:rsidRDefault="00C964F6" w:rsidP="00C964F6">
      <w:pPr>
        <w:pStyle w:val="NoSpacing"/>
        <w:numPr>
          <w:ilvl w:val="1"/>
          <w:numId w:val="1"/>
        </w:numPr>
      </w:pPr>
      <w:r>
        <w:t>7/7 – 7/8 system reprocessing issue led to duplicate transactions</w:t>
      </w:r>
    </w:p>
    <w:p w:rsidR="00C964F6" w:rsidRDefault="00C964F6" w:rsidP="00C964F6">
      <w:pPr>
        <w:pStyle w:val="NoSpacing"/>
        <w:numPr>
          <w:ilvl w:val="1"/>
          <w:numId w:val="1"/>
        </w:numPr>
      </w:pPr>
      <w:r>
        <w:t xml:space="preserve">7/26 outbound transactions </w:t>
      </w:r>
      <w:r w:rsidR="00F27072">
        <w:t xml:space="preserve">were not processing </w:t>
      </w:r>
      <w:r w:rsidR="004A002B">
        <w:t>which was a result of data maintenance as part of the EDI upgrade from last October -  the system attempts deletions and archives data (keeping the data “tight”) to maintain system performance – expect this should not occur</w:t>
      </w:r>
    </w:p>
    <w:p w:rsidR="004A002B" w:rsidRDefault="004A002B" w:rsidP="00C964F6">
      <w:pPr>
        <w:pStyle w:val="NoSpacing"/>
        <w:numPr>
          <w:ilvl w:val="1"/>
          <w:numId w:val="1"/>
        </w:numPr>
      </w:pPr>
      <w:r>
        <w:t>7/29 listserv cutover</w:t>
      </w:r>
    </w:p>
    <w:p w:rsidR="005B05BD" w:rsidRDefault="002A0074" w:rsidP="001F585E">
      <w:pPr>
        <w:pStyle w:val="NoSpacing"/>
        <w:numPr>
          <w:ilvl w:val="0"/>
          <w:numId w:val="1"/>
        </w:numPr>
      </w:pPr>
      <w:r>
        <w:t xml:space="preserve">MarkeTrak performance remains positive on SLOs </w:t>
      </w:r>
      <w:r w:rsidR="007E52DF">
        <w:t>and “back to normal” levels with slight improvement</w:t>
      </w:r>
    </w:p>
    <w:p w:rsidR="002D0238" w:rsidRDefault="002D0238" w:rsidP="001F585E">
      <w:pPr>
        <w:pStyle w:val="NoSpacing"/>
        <w:numPr>
          <w:ilvl w:val="0"/>
          <w:numId w:val="1"/>
        </w:numPr>
      </w:pPr>
      <w:r>
        <w:t xml:space="preserve">Retail SLOs (including new listserv SLO) will be presented next month which will also detail the Retail Release calendar for 2022.  Mick explained ERCOT would seek approval for an extended outage, </w:t>
      </w:r>
      <w:proofErr w:type="gramStart"/>
      <w:r>
        <w:t>similar to</w:t>
      </w:r>
      <w:proofErr w:type="gramEnd"/>
      <w:r>
        <w:t xml:space="preserve"> the outage last October that started @2PM on a Saturday.  This would require collaboration of TSDPs and REPs to manage transactions during that window. </w:t>
      </w:r>
    </w:p>
    <w:p w:rsidR="000F415E" w:rsidRDefault="000F415E" w:rsidP="000F415E">
      <w:pPr>
        <w:pStyle w:val="NoSpacing"/>
        <w:ind w:left="720"/>
      </w:pPr>
    </w:p>
    <w:p w:rsidR="005B05BD" w:rsidRPr="005B05BD" w:rsidRDefault="005B05BD" w:rsidP="005B05BD">
      <w:pPr>
        <w:pStyle w:val="NoSpacing"/>
        <w:rPr>
          <w:b/>
          <w:u w:val="single"/>
        </w:rPr>
      </w:pPr>
      <w:r>
        <w:rPr>
          <w:b/>
          <w:u w:val="single"/>
        </w:rPr>
        <w:t xml:space="preserve">ERCOT </w:t>
      </w:r>
      <w:r w:rsidR="004F3A5D">
        <w:rPr>
          <w:b/>
          <w:u w:val="single"/>
        </w:rPr>
        <w:t xml:space="preserve">Communications - </w:t>
      </w:r>
      <w:proofErr w:type="spellStart"/>
      <w:r w:rsidR="004F3A5D">
        <w:rPr>
          <w:b/>
          <w:u w:val="single"/>
        </w:rPr>
        <w:t>Listserves</w:t>
      </w:r>
      <w:proofErr w:type="spellEnd"/>
    </w:p>
    <w:p w:rsidR="007F0580" w:rsidRDefault="004F3A5D" w:rsidP="004A002B">
      <w:pPr>
        <w:pStyle w:val="NoSpacing"/>
        <w:numPr>
          <w:ilvl w:val="0"/>
          <w:numId w:val="12"/>
        </w:numPr>
      </w:pPr>
      <w:r>
        <w:t xml:space="preserve">Mick Hanna reported </w:t>
      </w:r>
      <w:r w:rsidR="004A002B">
        <w:t>listserv cutover to ERCOT systems was successful with minor issues reported:</w:t>
      </w:r>
    </w:p>
    <w:p w:rsidR="004A002B" w:rsidRDefault="004A002B" w:rsidP="004A002B">
      <w:pPr>
        <w:pStyle w:val="NoSpacing"/>
        <w:numPr>
          <w:ilvl w:val="1"/>
          <w:numId w:val="12"/>
        </w:numPr>
      </w:pPr>
      <w:r>
        <w:t>For new subscriptions, email URL was incorrect</w:t>
      </w:r>
    </w:p>
    <w:p w:rsidR="004A002B" w:rsidRDefault="004A002B" w:rsidP="004A002B">
      <w:pPr>
        <w:pStyle w:val="NoSpacing"/>
        <w:numPr>
          <w:ilvl w:val="1"/>
          <w:numId w:val="12"/>
        </w:numPr>
      </w:pPr>
      <w:r>
        <w:t>Email was taking longer than expected to be received due to processing</w:t>
      </w:r>
    </w:p>
    <w:p w:rsidR="004A002B" w:rsidRDefault="004A002B" w:rsidP="004A002B">
      <w:pPr>
        <w:pStyle w:val="NoSpacing"/>
        <w:numPr>
          <w:ilvl w:val="1"/>
          <w:numId w:val="12"/>
        </w:numPr>
      </w:pPr>
      <w:r>
        <w:t>Upcoming training support for ERCOT</w:t>
      </w:r>
    </w:p>
    <w:p w:rsidR="004A002B" w:rsidRDefault="004A002B" w:rsidP="004A002B">
      <w:pPr>
        <w:pStyle w:val="NoSpacing"/>
        <w:numPr>
          <w:ilvl w:val="1"/>
          <w:numId w:val="12"/>
        </w:numPr>
      </w:pPr>
      <w:r>
        <w:t>Within last 7 days, 44,000 emails have processed via listserv</w:t>
      </w:r>
    </w:p>
    <w:p w:rsidR="004A002B" w:rsidRDefault="004A002B" w:rsidP="004A002B">
      <w:pPr>
        <w:pStyle w:val="NoSpacing"/>
        <w:numPr>
          <w:ilvl w:val="1"/>
          <w:numId w:val="12"/>
        </w:numPr>
      </w:pPr>
      <w:r>
        <w:t>ERCOT looking for better GUI and mail exploder metrics</w:t>
      </w:r>
    </w:p>
    <w:p w:rsidR="00C87C6C" w:rsidRPr="00C87C6C" w:rsidRDefault="007E52DF" w:rsidP="00C87C6C">
      <w:pPr>
        <w:pStyle w:val="NoSpacing"/>
        <w:numPr>
          <w:ilvl w:val="0"/>
          <w:numId w:val="12"/>
        </w:numPr>
        <w:rPr>
          <w:b/>
          <w:u w:val="single"/>
        </w:rPr>
      </w:pPr>
      <w:r>
        <w:t xml:space="preserve">Mick </w:t>
      </w:r>
      <w:r w:rsidR="00C87C6C">
        <w:t xml:space="preserve">explained the back-up plan will involve Client Services.  His understanding is Client Services downloads and refreshes the listserv emails monthly.  </w:t>
      </w:r>
      <w:r w:rsidR="00C87C6C" w:rsidRPr="00C87C6C">
        <w:rPr>
          <w:highlight w:val="yellow"/>
        </w:rPr>
        <w:t>ACTION</w:t>
      </w:r>
      <w:r w:rsidR="00C87C6C">
        <w:t>:  Mick will send an email to Ted Hailu and copy Sheri on codifying that “break glass” process.</w:t>
      </w:r>
    </w:p>
    <w:p w:rsidR="00C87C6C" w:rsidRDefault="00C87C6C" w:rsidP="00C87C6C">
      <w:pPr>
        <w:pStyle w:val="NoSpacing"/>
        <w:rPr>
          <w:b/>
          <w:u w:val="single"/>
        </w:rPr>
      </w:pPr>
    </w:p>
    <w:p w:rsidR="00D9194D" w:rsidRDefault="00D9194D" w:rsidP="00C87C6C">
      <w:pPr>
        <w:pStyle w:val="NoSpacing"/>
        <w:rPr>
          <w:b/>
          <w:u w:val="single"/>
        </w:rPr>
      </w:pPr>
      <w:r w:rsidRPr="008C13D1">
        <w:rPr>
          <w:b/>
          <w:u w:val="single"/>
        </w:rPr>
        <w:t xml:space="preserve">ERCOT MIS API </w:t>
      </w:r>
      <w:r>
        <w:rPr>
          <w:b/>
          <w:u w:val="single"/>
        </w:rPr>
        <w:t>Workshop</w:t>
      </w:r>
    </w:p>
    <w:p w:rsidR="002D0238" w:rsidRDefault="00D9194D" w:rsidP="002A0074">
      <w:pPr>
        <w:pStyle w:val="NoSpacing"/>
      </w:pPr>
      <w:r>
        <w:t xml:space="preserve">Mick </w:t>
      </w:r>
      <w:r w:rsidR="00C87C6C">
        <w:t xml:space="preserve">and Dave indicated several ERCOT teams discussed the performance of the current API.  The code is 15 years old and would apparently require a rewrite of code and likely a project from market participants to “move it along”. </w:t>
      </w:r>
    </w:p>
    <w:p w:rsidR="002D0238" w:rsidRDefault="002D0238" w:rsidP="002A0074">
      <w:pPr>
        <w:pStyle w:val="NoSpacing"/>
      </w:pPr>
    </w:p>
    <w:p w:rsidR="002D0238" w:rsidRDefault="00C87C6C" w:rsidP="002A0074">
      <w:pPr>
        <w:pStyle w:val="NoSpacing"/>
      </w:pPr>
      <w:r>
        <w:t>ERCOT recognizes the need for a rewrite requesting market participants provide the requirements.  Kyle explained if the API could be updated, that would solve the switch hold file issue.  It was also discussed if TXSET/TDTMS can leverage the TXSET v5.0 project to assist in pushing the API project.  Kyle offered to revisit the associated TXSET NPRR/RMGRR to include API requirements.  This will be discussed further at the upcoming joint TXSET/TDTMS</w:t>
      </w:r>
      <w:r w:rsidR="002D0238">
        <w:t xml:space="preserve"> meeting on 9/1/2021.  </w:t>
      </w:r>
    </w:p>
    <w:p w:rsidR="002D0238" w:rsidRDefault="002D0238" w:rsidP="002A0074">
      <w:pPr>
        <w:pStyle w:val="NoSpacing"/>
      </w:pPr>
    </w:p>
    <w:p w:rsidR="002A0074" w:rsidRDefault="002D0238" w:rsidP="002A0074">
      <w:pPr>
        <w:pStyle w:val="NoSpacing"/>
      </w:pPr>
      <w:r>
        <w:t>The goal is still</w:t>
      </w:r>
      <w:r w:rsidR="007E52DF">
        <w:t xml:space="preserve"> for the API view to match the GUI view</w:t>
      </w:r>
      <w:r>
        <w:t xml:space="preserve"> in terms of attributes</w:t>
      </w:r>
      <w:r w:rsidR="00B02EFA">
        <w:t>.</w:t>
      </w:r>
    </w:p>
    <w:p w:rsidR="00B02EFA" w:rsidRDefault="00B02EFA" w:rsidP="002A0074">
      <w:pPr>
        <w:pStyle w:val="NoSpacing"/>
      </w:pPr>
    </w:p>
    <w:p w:rsidR="007A37AE" w:rsidRDefault="002A0074" w:rsidP="007A37AE">
      <w:pPr>
        <w:pStyle w:val="NoSpacing"/>
        <w:rPr>
          <w:b/>
          <w:u w:val="single"/>
        </w:rPr>
      </w:pPr>
      <w:r w:rsidRPr="002A0074">
        <w:rPr>
          <w:b/>
          <w:u w:val="single"/>
        </w:rPr>
        <w:t>ERCOT MarkeTrak Upgrade</w:t>
      </w:r>
      <w:r w:rsidR="007A37AE">
        <w:rPr>
          <w:b/>
          <w:u w:val="single"/>
        </w:rPr>
        <w:t xml:space="preserve"> &amp; </w:t>
      </w:r>
      <w:r w:rsidR="007A37AE" w:rsidRPr="00323CE5">
        <w:rPr>
          <w:b/>
          <w:u w:val="single"/>
        </w:rPr>
        <w:t>SCR</w:t>
      </w:r>
      <w:r w:rsidR="007A37AE">
        <w:rPr>
          <w:b/>
          <w:u w:val="single"/>
        </w:rPr>
        <w:t>815</w:t>
      </w:r>
      <w:r w:rsidR="007A37AE" w:rsidRPr="00323CE5">
        <w:rPr>
          <w:b/>
          <w:u w:val="single"/>
        </w:rPr>
        <w:t xml:space="preserve"> M</w:t>
      </w:r>
      <w:r w:rsidR="007A37AE">
        <w:rPr>
          <w:b/>
          <w:u w:val="single"/>
        </w:rPr>
        <w:t>arke</w:t>
      </w:r>
      <w:r w:rsidR="007A37AE" w:rsidRPr="00323CE5">
        <w:rPr>
          <w:b/>
          <w:u w:val="single"/>
        </w:rPr>
        <w:t>T</w:t>
      </w:r>
      <w:r w:rsidR="007A37AE">
        <w:rPr>
          <w:b/>
          <w:u w:val="single"/>
        </w:rPr>
        <w:t xml:space="preserve">rak </w:t>
      </w:r>
      <w:proofErr w:type="spellStart"/>
      <w:r w:rsidR="007A37AE">
        <w:rPr>
          <w:b/>
          <w:u w:val="single"/>
        </w:rPr>
        <w:t>Admininstrative</w:t>
      </w:r>
      <w:proofErr w:type="spellEnd"/>
      <w:r w:rsidR="007A37AE" w:rsidRPr="00323CE5">
        <w:rPr>
          <w:b/>
          <w:u w:val="single"/>
        </w:rPr>
        <w:t xml:space="preserve"> Enhancements</w:t>
      </w:r>
      <w:r w:rsidR="007A37AE">
        <w:rPr>
          <w:b/>
          <w:u w:val="single"/>
        </w:rPr>
        <w:t xml:space="preserve"> </w:t>
      </w:r>
    </w:p>
    <w:p w:rsidR="002A0074" w:rsidRPr="00386AB4" w:rsidRDefault="00386AB4" w:rsidP="00386AB4">
      <w:pPr>
        <w:pStyle w:val="NoSpacing"/>
        <w:numPr>
          <w:ilvl w:val="0"/>
          <w:numId w:val="30"/>
        </w:numPr>
        <w:rPr>
          <w:b/>
          <w:u w:val="single"/>
        </w:rPr>
      </w:pPr>
      <w:r>
        <w:t xml:space="preserve">ERCOT continues to work </w:t>
      </w:r>
      <w:r w:rsidR="002D0238">
        <w:t>internally on</w:t>
      </w:r>
      <w:r>
        <w:t xml:space="preserve"> the technical refresh upgrade for MarkeTrak</w:t>
      </w:r>
      <w:r w:rsidR="002D0238">
        <w:t xml:space="preserve"> – scope and approvals</w:t>
      </w:r>
    </w:p>
    <w:p w:rsidR="00386AB4" w:rsidRPr="00386AB4" w:rsidRDefault="002D0238" w:rsidP="00386AB4">
      <w:pPr>
        <w:pStyle w:val="NoSpacing"/>
        <w:numPr>
          <w:ilvl w:val="0"/>
          <w:numId w:val="30"/>
        </w:numPr>
        <w:rPr>
          <w:b/>
          <w:u w:val="single"/>
        </w:rPr>
      </w:pPr>
      <w:r>
        <w:lastRenderedPageBreak/>
        <w:t>Expectations are for GO LIVE to occur in Q3 of 2022.  The tech upgrade would occur in early Q3 followed within a month or two by the administrative enhancements.  Both projects will require outages to MarkeTrak (likely the extended outage period).</w:t>
      </w:r>
    </w:p>
    <w:p w:rsidR="002D0238" w:rsidRDefault="00386AB4" w:rsidP="009B5CA6">
      <w:pPr>
        <w:pStyle w:val="NoSpacing"/>
        <w:numPr>
          <w:ilvl w:val="0"/>
          <w:numId w:val="28"/>
        </w:numPr>
      </w:pPr>
      <w:r>
        <w:t>When asked if the tech refresh would impact APIs, Dave responded no significant impacts, howev</w:t>
      </w:r>
      <w:r w:rsidR="002D0238">
        <w:t>er, WSDLs will change in the enhancements SCR. (Dave alerted TDSPs of 867 activity requests requiring WSDL updates)</w:t>
      </w:r>
    </w:p>
    <w:p w:rsidR="00D9194D" w:rsidRDefault="00386AB4" w:rsidP="009B5CA6">
      <w:pPr>
        <w:pStyle w:val="NoSpacing"/>
        <w:numPr>
          <w:ilvl w:val="0"/>
          <w:numId w:val="28"/>
        </w:numPr>
      </w:pPr>
      <w:r>
        <w:t xml:space="preserve">Dave </w:t>
      </w:r>
      <w:r w:rsidR="00F747D8">
        <w:t xml:space="preserve">explained he has already spoken with Art Deller regarding training efforts of </w:t>
      </w:r>
      <w:r w:rsidR="007945C0">
        <w:t xml:space="preserve">RMTTF </w:t>
      </w:r>
    </w:p>
    <w:p w:rsidR="00D9194D" w:rsidRDefault="00D9194D" w:rsidP="005D1EE7">
      <w:pPr>
        <w:pStyle w:val="NoSpacing"/>
      </w:pPr>
    </w:p>
    <w:p w:rsidR="00015B0C" w:rsidRDefault="00F747D8" w:rsidP="00774226">
      <w:pPr>
        <w:pStyle w:val="NoSpacing"/>
        <w:rPr>
          <w:b/>
          <w:u w:val="single"/>
        </w:rPr>
      </w:pPr>
      <w:r>
        <w:rPr>
          <w:b/>
          <w:u w:val="single"/>
        </w:rPr>
        <w:t xml:space="preserve">ERCOT MIS Secure Environment &amp; </w:t>
      </w:r>
      <w:r w:rsidR="00774226">
        <w:rPr>
          <w:b/>
          <w:u w:val="single"/>
        </w:rPr>
        <w:t xml:space="preserve">RMGRR 166 – Switch Hold Repository </w:t>
      </w:r>
    </w:p>
    <w:p w:rsidR="00F747D8" w:rsidRDefault="00F5709C" w:rsidP="00774226">
      <w:pPr>
        <w:pStyle w:val="NoSpacing"/>
      </w:pPr>
      <w:r>
        <w:t xml:space="preserve">Dave </w:t>
      </w:r>
      <w:r w:rsidR="00F747D8">
        <w:t xml:space="preserve">explained the retail ECEII effort should not impact existing processes, only future requests of which RMGRR 166 is impacted.  </w:t>
      </w:r>
    </w:p>
    <w:p w:rsidR="00F747D8" w:rsidRDefault="00F747D8" w:rsidP="00774226">
      <w:pPr>
        <w:pStyle w:val="NoSpacing"/>
      </w:pPr>
    </w:p>
    <w:p w:rsidR="00F747D8" w:rsidRDefault="00F747D8" w:rsidP="00774226">
      <w:pPr>
        <w:pStyle w:val="NoSpacing"/>
      </w:pPr>
      <w:r>
        <w:t xml:space="preserve">Dave presented the two options under the current mandate to make information more publicly available to all market participants.  </w:t>
      </w:r>
    </w:p>
    <w:p w:rsidR="00F747D8" w:rsidRDefault="00F747D8" w:rsidP="00F747D8">
      <w:pPr>
        <w:pStyle w:val="NoSpacing"/>
        <w:numPr>
          <w:ilvl w:val="0"/>
          <w:numId w:val="32"/>
        </w:numPr>
      </w:pPr>
      <w:r>
        <w:t>Make the Switch Hold file available by DUNS only -not a master list</w:t>
      </w:r>
    </w:p>
    <w:p w:rsidR="00F747D8" w:rsidRDefault="00F747D8" w:rsidP="00F747D8">
      <w:pPr>
        <w:pStyle w:val="NoSpacing"/>
        <w:numPr>
          <w:ilvl w:val="0"/>
          <w:numId w:val="32"/>
        </w:numPr>
      </w:pPr>
      <w:r>
        <w:t>Post the master Switch Hold file in the public domain on ercot.com</w:t>
      </w:r>
    </w:p>
    <w:p w:rsidR="00F747D8" w:rsidRDefault="00F747D8" w:rsidP="00F747D8">
      <w:pPr>
        <w:pStyle w:val="NoSpacing"/>
      </w:pPr>
      <w:r>
        <w:t>The issue with the second option is that the PUCT Switch Hold rule states the file will be posted in a secure manner.  Dave will pursue with ERCOT Legal once again as the rule states the TDSP will provide in a “secure fashion”.</w:t>
      </w:r>
    </w:p>
    <w:p w:rsidR="00F747D8" w:rsidRDefault="00F747D8" w:rsidP="00F747D8">
      <w:pPr>
        <w:pStyle w:val="NoSpacing"/>
      </w:pPr>
      <w:r w:rsidRPr="00F747D8">
        <w:rPr>
          <w:highlight w:val="yellow"/>
        </w:rPr>
        <w:t>ACTION</w:t>
      </w:r>
      <w:r>
        <w:t>:  look for a short</w:t>
      </w:r>
      <w:r w:rsidR="00DB5EB2">
        <w:t>-</w:t>
      </w:r>
      <w:r>
        <w:t xml:space="preserve">term solution, then look to modify NPRR 166.  </w:t>
      </w:r>
    </w:p>
    <w:p w:rsidR="002A4D17" w:rsidRDefault="002A4D17" w:rsidP="00015B0C">
      <w:pPr>
        <w:pStyle w:val="NoSpacing"/>
        <w:ind w:left="720"/>
        <w:rPr>
          <w:i/>
        </w:rPr>
      </w:pPr>
    </w:p>
    <w:p w:rsidR="002A4D17" w:rsidRDefault="00F747D8" w:rsidP="002A4D17">
      <w:pPr>
        <w:pStyle w:val="NoSpacing"/>
        <w:rPr>
          <w:b/>
          <w:u w:val="single"/>
        </w:rPr>
      </w:pPr>
      <w:r>
        <w:rPr>
          <w:b/>
          <w:u w:val="single"/>
        </w:rPr>
        <w:t>R</w:t>
      </w:r>
      <w:r w:rsidR="002A4D17">
        <w:rPr>
          <w:b/>
          <w:u w:val="single"/>
        </w:rPr>
        <w:t xml:space="preserve">MGRR </w:t>
      </w:r>
      <w:r>
        <w:rPr>
          <w:b/>
          <w:u w:val="single"/>
        </w:rPr>
        <w:t xml:space="preserve">167 - </w:t>
      </w:r>
      <w:r w:rsidR="002A4D17">
        <w:rPr>
          <w:b/>
          <w:u w:val="single"/>
        </w:rPr>
        <w:t>Switch Hold Removal Documentation</w:t>
      </w:r>
    </w:p>
    <w:p w:rsidR="00363882" w:rsidRDefault="00363882" w:rsidP="001416DA">
      <w:pPr>
        <w:pStyle w:val="NoSpacing"/>
        <w:numPr>
          <w:ilvl w:val="0"/>
          <w:numId w:val="26"/>
        </w:numPr>
        <w:rPr>
          <w:rFonts w:cstheme="minorHAnsi"/>
          <w:iCs/>
        </w:rPr>
      </w:pPr>
      <w:r>
        <w:rPr>
          <w:rFonts w:cstheme="minorHAnsi"/>
          <w:iCs/>
        </w:rPr>
        <w:t xml:space="preserve">Below ACTION ITEM was tabled from original plans pending the new governance process where all RRs must be approved by PUCT and the ERCOT Board.  Given those requirements, the plan </w:t>
      </w:r>
      <w:r w:rsidR="001416DA">
        <w:rPr>
          <w:rFonts w:cstheme="minorHAnsi"/>
          <w:iCs/>
        </w:rPr>
        <w:t xml:space="preserve">for the new form to be rolled out </w:t>
      </w:r>
      <w:r>
        <w:rPr>
          <w:rFonts w:cstheme="minorHAnsi"/>
          <w:iCs/>
        </w:rPr>
        <w:t>is expected to be:</w:t>
      </w:r>
    </w:p>
    <w:p w:rsidR="00363882" w:rsidRDefault="00363882" w:rsidP="00363882">
      <w:pPr>
        <w:pStyle w:val="NoSpacing"/>
        <w:numPr>
          <w:ilvl w:val="1"/>
          <w:numId w:val="26"/>
        </w:numPr>
        <w:rPr>
          <w:rFonts w:cstheme="minorHAnsi"/>
          <w:iCs/>
        </w:rPr>
      </w:pPr>
      <w:r>
        <w:rPr>
          <w:rFonts w:cstheme="minorHAnsi"/>
          <w:iCs/>
        </w:rPr>
        <w:t>TAC 8/25</w:t>
      </w:r>
    </w:p>
    <w:p w:rsidR="00363882" w:rsidRDefault="00363882" w:rsidP="00363882">
      <w:pPr>
        <w:pStyle w:val="NoSpacing"/>
        <w:numPr>
          <w:ilvl w:val="1"/>
          <w:numId w:val="26"/>
        </w:numPr>
        <w:rPr>
          <w:rFonts w:cstheme="minorHAnsi"/>
          <w:iCs/>
        </w:rPr>
      </w:pPr>
      <w:r>
        <w:rPr>
          <w:rFonts w:cstheme="minorHAnsi"/>
          <w:iCs/>
        </w:rPr>
        <w:t>Board 10/12</w:t>
      </w:r>
    </w:p>
    <w:p w:rsidR="00363882" w:rsidRDefault="00363882" w:rsidP="00363882">
      <w:pPr>
        <w:pStyle w:val="NoSpacing"/>
        <w:numPr>
          <w:ilvl w:val="1"/>
          <w:numId w:val="26"/>
        </w:numPr>
        <w:rPr>
          <w:rFonts w:cstheme="minorHAnsi"/>
          <w:iCs/>
        </w:rPr>
      </w:pPr>
      <w:r>
        <w:rPr>
          <w:rFonts w:cstheme="minorHAnsi"/>
          <w:iCs/>
        </w:rPr>
        <w:t>PUC 10/28</w:t>
      </w:r>
    </w:p>
    <w:p w:rsidR="00363882" w:rsidRDefault="00363882" w:rsidP="00363882">
      <w:pPr>
        <w:pStyle w:val="NoSpacing"/>
        <w:numPr>
          <w:ilvl w:val="1"/>
          <w:numId w:val="26"/>
        </w:numPr>
        <w:rPr>
          <w:rFonts w:cstheme="minorHAnsi"/>
          <w:iCs/>
        </w:rPr>
      </w:pPr>
      <w:r>
        <w:rPr>
          <w:rFonts w:cstheme="minorHAnsi"/>
          <w:iCs/>
        </w:rPr>
        <w:t>Notice to Market Participants 10/29</w:t>
      </w:r>
    </w:p>
    <w:p w:rsidR="00363882" w:rsidRDefault="00363882" w:rsidP="00363882">
      <w:pPr>
        <w:pStyle w:val="NoSpacing"/>
        <w:numPr>
          <w:ilvl w:val="1"/>
          <w:numId w:val="26"/>
        </w:numPr>
        <w:rPr>
          <w:rFonts w:cstheme="minorHAnsi"/>
          <w:iCs/>
        </w:rPr>
      </w:pPr>
      <w:r>
        <w:rPr>
          <w:rFonts w:cstheme="minorHAnsi"/>
          <w:iCs/>
        </w:rPr>
        <w:t>Enforcement of new NOS form 12/1</w:t>
      </w:r>
    </w:p>
    <w:p w:rsidR="001416DA" w:rsidRPr="00363882" w:rsidRDefault="00363882" w:rsidP="00363882">
      <w:pPr>
        <w:pStyle w:val="NoSpacing"/>
        <w:numPr>
          <w:ilvl w:val="0"/>
          <w:numId w:val="26"/>
        </w:numPr>
        <w:rPr>
          <w:rFonts w:cstheme="minorHAnsi"/>
          <w:iCs/>
        </w:rPr>
      </w:pPr>
      <w:r w:rsidRPr="00363882">
        <w:rPr>
          <w:rFonts w:cstheme="minorHAnsi"/>
          <w:iCs/>
        </w:rPr>
        <w:t>It was n</w:t>
      </w:r>
      <w:r>
        <w:rPr>
          <w:rFonts w:cstheme="minorHAnsi"/>
          <w:iCs/>
        </w:rPr>
        <w:t>oted the new governance process/expectations are still being developed.  Last RRs were filed under Project #52307 at the PUCT Open Meeting</w:t>
      </w:r>
    </w:p>
    <w:p w:rsidR="00774226" w:rsidRDefault="00774226" w:rsidP="00774226">
      <w:pPr>
        <w:pStyle w:val="NoSpacing"/>
        <w:numPr>
          <w:ilvl w:val="0"/>
          <w:numId w:val="26"/>
        </w:numPr>
        <w:rPr>
          <w:rFonts w:cstheme="minorHAnsi"/>
          <w:iCs/>
        </w:rPr>
      </w:pPr>
      <w:r w:rsidRPr="00625565">
        <w:rPr>
          <w:rFonts w:cstheme="minorHAnsi"/>
          <w:iCs/>
          <w:highlight w:val="yellow"/>
        </w:rPr>
        <w:t>ACTION ITEM</w:t>
      </w:r>
      <w:r>
        <w:rPr>
          <w:rFonts w:cstheme="minorHAnsi"/>
          <w:iCs/>
        </w:rPr>
        <w:t xml:space="preserve">:  a reminder of updated NOS forms will be sent via market notice </w:t>
      </w:r>
      <w:r w:rsidR="00363882">
        <w:rPr>
          <w:rFonts w:cstheme="minorHAnsi"/>
          <w:iCs/>
        </w:rPr>
        <w:t xml:space="preserve">upon PUCT approval </w:t>
      </w:r>
      <w:r>
        <w:rPr>
          <w:rFonts w:cstheme="minorHAnsi"/>
          <w:iCs/>
        </w:rPr>
        <w:t>to ensure market participants are utilizing the latest form</w:t>
      </w:r>
      <w:r w:rsidR="001416DA">
        <w:rPr>
          <w:rFonts w:cstheme="minorHAnsi"/>
          <w:iCs/>
        </w:rPr>
        <w:t xml:space="preserve"> with the above effective dates noted.</w:t>
      </w:r>
    </w:p>
    <w:p w:rsidR="00E445C0" w:rsidRDefault="00E445C0" w:rsidP="00E445C0">
      <w:pPr>
        <w:pStyle w:val="NoSpacing"/>
        <w:rPr>
          <w:rFonts w:cstheme="minorHAnsi"/>
          <w:iCs/>
        </w:rPr>
      </w:pPr>
    </w:p>
    <w:p w:rsidR="00363882" w:rsidRDefault="00363882" w:rsidP="00E445C0">
      <w:pPr>
        <w:pStyle w:val="NoSpacing"/>
        <w:rPr>
          <w:rFonts w:cstheme="minorHAnsi"/>
          <w:b/>
          <w:iCs/>
          <w:u w:val="single"/>
        </w:rPr>
      </w:pPr>
      <w:r>
        <w:rPr>
          <w:rFonts w:cstheme="minorHAnsi"/>
          <w:b/>
          <w:iCs/>
          <w:u w:val="single"/>
        </w:rPr>
        <w:t>SCR 815 MarkeTrak Administrative Enhancement</w:t>
      </w:r>
    </w:p>
    <w:p w:rsidR="00944599" w:rsidRDefault="00944599" w:rsidP="00E445C0">
      <w:pPr>
        <w:pStyle w:val="NoSpacing"/>
        <w:rPr>
          <w:rFonts w:cstheme="minorHAnsi"/>
          <w:iCs/>
        </w:rPr>
      </w:pPr>
      <w:r>
        <w:rPr>
          <w:rFonts w:cstheme="minorHAnsi"/>
          <w:iCs/>
        </w:rPr>
        <w:t>Has been approved by the PUCT</w:t>
      </w:r>
    </w:p>
    <w:p w:rsidR="00944599" w:rsidRPr="00944599" w:rsidRDefault="00944599" w:rsidP="00E445C0">
      <w:pPr>
        <w:pStyle w:val="NoSpacing"/>
        <w:rPr>
          <w:rFonts w:cstheme="minorHAnsi"/>
          <w:iCs/>
        </w:rPr>
      </w:pPr>
    </w:p>
    <w:p w:rsidR="00E445C0" w:rsidRDefault="00E445C0" w:rsidP="00E445C0">
      <w:pPr>
        <w:pStyle w:val="NoSpacing"/>
        <w:rPr>
          <w:rFonts w:cstheme="minorHAnsi"/>
          <w:b/>
          <w:iCs/>
          <w:u w:val="single"/>
        </w:rPr>
      </w:pPr>
      <w:r w:rsidRPr="00E445C0">
        <w:rPr>
          <w:rFonts w:cstheme="minorHAnsi"/>
          <w:b/>
          <w:iCs/>
          <w:u w:val="single"/>
        </w:rPr>
        <w:t xml:space="preserve">MT Enhancements </w:t>
      </w:r>
      <w:r>
        <w:rPr>
          <w:rFonts w:cstheme="minorHAnsi"/>
          <w:b/>
          <w:iCs/>
          <w:u w:val="single"/>
        </w:rPr>
        <w:t>–</w:t>
      </w:r>
      <w:r w:rsidRPr="00E445C0">
        <w:rPr>
          <w:rFonts w:cstheme="minorHAnsi"/>
          <w:b/>
          <w:iCs/>
          <w:u w:val="single"/>
        </w:rPr>
        <w:t xml:space="preserve"> Validations</w:t>
      </w:r>
    </w:p>
    <w:p w:rsidR="00E445C0" w:rsidRDefault="00944599" w:rsidP="00E445C0">
      <w:pPr>
        <w:pStyle w:val="NoSpacing"/>
        <w:rPr>
          <w:rFonts w:cstheme="minorHAnsi"/>
          <w:iCs/>
        </w:rPr>
      </w:pPr>
      <w:r>
        <w:rPr>
          <w:rFonts w:cstheme="minorHAnsi"/>
          <w:iCs/>
        </w:rPr>
        <w:t>The attached SCR (Kathy’s edited version) was reviewed and a few minor modifications were presented:</w:t>
      </w:r>
    </w:p>
    <w:p w:rsidR="00944599" w:rsidRDefault="00944599" w:rsidP="00944599">
      <w:pPr>
        <w:pStyle w:val="NoSpacing"/>
        <w:numPr>
          <w:ilvl w:val="0"/>
          <w:numId w:val="33"/>
        </w:numPr>
        <w:rPr>
          <w:rFonts w:cstheme="minorHAnsi"/>
          <w:iCs/>
        </w:rPr>
      </w:pPr>
      <w:r>
        <w:rPr>
          <w:rFonts w:cstheme="minorHAnsi"/>
          <w:iCs/>
        </w:rPr>
        <w:t xml:space="preserve">Addition of a new #1 to outline the revised Inadvertent Gain workflow removing the TDSP from the process including the preparation of the BDMVI </w:t>
      </w:r>
    </w:p>
    <w:p w:rsidR="00944599" w:rsidRDefault="00DB5EB2" w:rsidP="00944599">
      <w:pPr>
        <w:pStyle w:val="NoSpacing"/>
        <w:numPr>
          <w:ilvl w:val="0"/>
          <w:numId w:val="33"/>
        </w:numPr>
        <w:rPr>
          <w:rFonts w:cstheme="minorHAnsi"/>
          <w:iCs/>
        </w:rPr>
      </w:pPr>
      <w:r>
        <w:rPr>
          <w:rFonts w:cstheme="minorHAnsi"/>
          <w:iCs/>
        </w:rPr>
        <w:t xml:space="preserve">Original #1 requesting common </w:t>
      </w:r>
      <w:proofErr w:type="spellStart"/>
      <w:r>
        <w:rPr>
          <w:rFonts w:cstheme="minorHAnsi"/>
          <w:iCs/>
        </w:rPr>
        <w:t>Unexecutable</w:t>
      </w:r>
      <w:proofErr w:type="spellEnd"/>
      <w:r>
        <w:rPr>
          <w:rFonts w:cstheme="minorHAnsi"/>
          <w:iCs/>
        </w:rPr>
        <w:t xml:space="preserve"> reasons will be clarified further </w:t>
      </w:r>
      <w:proofErr w:type="gramStart"/>
      <w:r>
        <w:rPr>
          <w:rFonts w:cstheme="minorHAnsi"/>
          <w:iCs/>
        </w:rPr>
        <w:t>at a later date</w:t>
      </w:r>
      <w:proofErr w:type="gramEnd"/>
      <w:r>
        <w:rPr>
          <w:rFonts w:cstheme="minorHAnsi"/>
          <w:iCs/>
        </w:rPr>
        <w:t xml:space="preserve">.  Dave advised TDTMS be specific in </w:t>
      </w:r>
      <w:r w:rsidR="008B2CB8">
        <w:rPr>
          <w:rFonts w:cstheme="minorHAnsi"/>
          <w:iCs/>
        </w:rPr>
        <w:t>the</w:t>
      </w:r>
      <w:r>
        <w:rPr>
          <w:rFonts w:cstheme="minorHAnsi"/>
          <w:iCs/>
        </w:rPr>
        <w:t xml:space="preserve"> request for developers.  </w:t>
      </w:r>
    </w:p>
    <w:p w:rsidR="00DB5EB2" w:rsidRDefault="00DB5EB2" w:rsidP="00944599">
      <w:pPr>
        <w:pStyle w:val="NoSpacing"/>
        <w:numPr>
          <w:ilvl w:val="0"/>
          <w:numId w:val="33"/>
        </w:numPr>
        <w:rPr>
          <w:rFonts w:cstheme="minorHAnsi"/>
          <w:iCs/>
        </w:rPr>
      </w:pPr>
      <w:r>
        <w:rPr>
          <w:rFonts w:cstheme="minorHAnsi"/>
          <w:iCs/>
        </w:rPr>
        <w:t>#</w:t>
      </w:r>
      <w:proofErr w:type="gramStart"/>
      <w:r>
        <w:rPr>
          <w:rFonts w:cstheme="minorHAnsi"/>
          <w:iCs/>
        </w:rPr>
        <w:t>3  -</w:t>
      </w:r>
      <w:proofErr w:type="gramEnd"/>
      <w:r>
        <w:rPr>
          <w:rFonts w:cstheme="minorHAnsi"/>
          <w:iCs/>
        </w:rPr>
        <w:t xml:space="preserve"> add a supporting comment based on the earlier research performed by TDTMS – </w:t>
      </w:r>
      <w:r w:rsidR="00855FFB" w:rsidRPr="00855FFB">
        <w:rPr>
          <w:rFonts w:cstheme="minorHAnsi"/>
          <w:iCs/>
          <w:highlight w:val="yellow"/>
        </w:rPr>
        <w:t>ACTION:</w:t>
      </w:r>
      <w:r w:rsidR="00855FFB">
        <w:rPr>
          <w:rFonts w:cstheme="minorHAnsi"/>
          <w:iCs/>
        </w:rPr>
        <w:t xml:space="preserve">  </w:t>
      </w:r>
      <w:r>
        <w:rPr>
          <w:rFonts w:cstheme="minorHAnsi"/>
          <w:iCs/>
        </w:rPr>
        <w:t>Sam Pak will provide statistic to complete “Based on the 2020 review of X Rescissions, X% of Rescissions were submitted within 15 days of originating switch transaction”</w:t>
      </w:r>
    </w:p>
    <w:p w:rsidR="00DB5EB2" w:rsidRDefault="00DB5EB2" w:rsidP="00944599">
      <w:pPr>
        <w:pStyle w:val="NoSpacing"/>
        <w:numPr>
          <w:ilvl w:val="0"/>
          <w:numId w:val="33"/>
        </w:numPr>
        <w:rPr>
          <w:rFonts w:cstheme="minorHAnsi"/>
          <w:iCs/>
        </w:rPr>
      </w:pPr>
      <w:r>
        <w:rPr>
          <w:rFonts w:cstheme="minorHAnsi"/>
          <w:iCs/>
        </w:rPr>
        <w:t>#5 – add comments as a required field for submission of new “867 vs Sum of LSE Intervals – Dispute” subtype</w:t>
      </w:r>
    </w:p>
    <w:p w:rsidR="00DB5EB2" w:rsidRDefault="00DB5EB2" w:rsidP="00944599">
      <w:pPr>
        <w:pStyle w:val="NoSpacing"/>
        <w:numPr>
          <w:ilvl w:val="0"/>
          <w:numId w:val="33"/>
        </w:numPr>
        <w:rPr>
          <w:rFonts w:cstheme="minorHAnsi"/>
          <w:iCs/>
        </w:rPr>
      </w:pPr>
      <w:r>
        <w:rPr>
          <w:rFonts w:cstheme="minorHAnsi"/>
          <w:iCs/>
        </w:rPr>
        <w:t xml:space="preserve">#10 – Unnecessary Switch Hold Removal submittals – first option of “no switch hold pending on the ESI ID” may get complicated, per Dave, as this is currently not a stored value </w:t>
      </w:r>
      <w:r w:rsidR="008B2CB8">
        <w:rPr>
          <w:rFonts w:cstheme="minorHAnsi"/>
          <w:iCs/>
        </w:rPr>
        <w:t>since</w:t>
      </w:r>
      <w:r>
        <w:rPr>
          <w:rFonts w:cstheme="minorHAnsi"/>
          <w:iCs/>
        </w:rPr>
        <w:t xml:space="preserve"> the TDSPs </w:t>
      </w:r>
      <w:r w:rsidR="008B2CB8">
        <w:rPr>
          <w:rFonts w:cstheme="minorHAnsi"/>
          <w:iCs/>
        </w:rPr>
        <w:t>maintain</w:t>
      </w:r>
      <w:r>
        <w:rPr>
          <w:rFonts w:cstheme="minorHAnsi"/>
          <w:iCs/>
        </w:rPr>
        <w:t xml:space="preserve"> the status of SH indicator</w:t>
      </w:r>
    </w:p>
    <w:p w:rsidR="00DB5EB2" w:rsidRDefault="00DB5EB2" w:rsidP="00944599">
      <w:pPr>
        <w:pStyle w:val="NoSpacing"/>
        <w:numPr>
          <w:ilvl w:val="0"/>
          <w:numId w:val="33"/>
        </w:numPr>
        <w:rPr>
          <w:rFonts w:cstheme="minorHAnsi"/>
          <w:iCs/>
        </w:rPr>
      </w:pPr>
      <w:r>
        <w:rPr>
          <w:rFonts w:cstheme="minorHAnsi"/>
          <w:iCs/>
        </w:rPr>
        <w:t xml:space="preserve">#11 – request for ERCOT to populate the Holding CR prior to transitioning MT to </w:t>
      </w:r>
      <w:r w:rsidR="00855FFB">
        <w:rPr>
          <w:rFonts w:cstheme="minorHAnsi"/>
          <w:iCs/>
        </w:rPr>
        <w:t>TDSP for initial review – is “good to go” from an ERCOT Legal perspective</w:t>
      </w:r>
    </w:p>
    <w:p w:rsidR="00855FFB" w:rsidRDefault="00855FFB" w:rsidP="00944599">
      <w:pPr>
        <w:pStyle w:val="NoSpacing"/>
        <w:numPr>
          <w:ilvl w:val="0"/>
          <w:numId w:val="33"/>
        </w:numPr>
        <w:rPr>
          <w:rFonts w:cstheme="minorHAnsi"/>
          <w:iCs/>
        </w:rPr>
      </w:pPr>
      <w:r>
        <w:rPr>
          <w:rFonts w:cstheme="minorHAnsi"/>
          <w:iCs/>
        </w:rPr>
        <w:t xml:space="preserve">New #12 – clarity on Siebel Change transition to read “Agree/Complete” vs “Complete” </w:t>
      </w:r>
    </w:p>
    <w:p w:rsidR="00855FFB" w:rsidRDefault="00855FFB" w:rsidP="00944599">
      <w:pPr>
        <w:pStyle w:val="NoSpacing"/>
        <w:numPr>
          <w:ilvl w:val="0"/>
          <w:numId w:val="33"/>
        </w:numPr>
        <w:rPr>
          <w:rFonts w:cstheme="minorHAnsi"/>
          <w:iCs/>
        </w:rPr>
      </w:pPr>
      <w:r>
        <w:rPr>
          <w:rFonts w:cstheme="minorHAnsi"/>
          <w:iCs/>
        </w:rPr>
        <w:lastRenderedPageBreak/>
        <w:t>New #13 – for IAG leap frog situations, add a pop</w:t>
      </w:r>
      <w:r w:rsidR="008B2CB8">
        <w:rPr>
          <w:rFonts w:cstheme="minorHAnsi"/>
          <w:iCs/>
        </w:rPr>
        <w:t>-</w:t>
      </w:r>
      <w:r>
        <w:rPr>
          <w:rFonts w:cstheme="minorHAnsi"/>
          <w:iCs/>
        </w:rPr>
        <w:t xml:space="preserve">up warning for submitting CR if a </w:t>
      </w:r>
      <w:r w:rsidRPr="008B2CB8">
        <w:rPr>
          <w:rFonts w:cstheme="minorHAnsi"/>
          <w:i/>
          <w:iCs/>
        </w:rPr>
        <w:t>schedule</w:t>
      </w:r>
      <w:r w:rsidR="008B2CB8">
        <w:rPr>
          <w:rFonts w:cstheme="minorHAnsi"/>
          <w:iCs/>
        </w:rPr>
        <w:t>d</w:t>
      </w:r>
      <w:r>
        <w:rPr>
          <w:rFonts w:cstheme="minorHAnsi"/>
          <w:iCs/>
        </w:rPr>
        <w:t xml:space="preserve"> third</w:t>
      </w:r>
      <w:r w:rsidR="008B2CB8">
        <w:rPr>
          <w:rFonts w:cstheme="minorHAnsi"/>
          <w:iCs/>
        </w:rPr>
        <w:t>-</w:t>
      </w:r>
      <w:bookmarkStart w:id="0" w:name="_GoBack"/>
      <w:bookmarkEnd w:id="0"/>
      <w:r>
        <w:rPr>
          <w:rFonts w:cstheme="minorHAnsi"/>
          <w:iCs/>
        </w:rPr>
        <w:t xml:space="preserve">party transaction is in </w:t>
      </w:r>
      <w:r w:rsidRPr="00855FFB">
        <w:rPr>
          <w:rFonts w:cstheme="minorHAnsi"/>
          <w:i/>
          <w:iCs/>
        </w:rPr>
        <w:t>pending</w:t>
      </w:r>
      <w:r>
        <w:rPr>
          <w:rFonts w:cstheme="minorHAnsi"/>
          <w:iCs/>
        </w:rPr>
        <w:t xml:space="preserve"> status.  Currently, MT will provide a hard stop if a third</w:t>
      </w:r>
      <w:r w:rsidR="008B2CB8">
        <w:rPr>
          <w:rFonts w:cstheme="minorHAnsi"/>
          <w:iCs/>
        </w:rPr>
        <w:t>-</w:t>
      </w:r>
      <w:r>
        <w:rPr>
          <w:rFonts w:cstheme="minorHAnsi"/>
          <w:iCs/>
        </w:rPr>
        <w:t xml:space="preserve">party transaction has already </w:t>
      </w:r>
      <w:r w:rsidRPr="00855FFB">
        <w:rPr>
          <w:rFonts w:cstheme="minorHAnsi"/>
          <w:i/>
          <w:iCs/>
        </w:rPr>
        <w:t>completed</w:t>
      </w:r>
      <w:r>
        <w:rPr>
          <w:rFonts w:cstheme="minorHAnsi"/>
          <w:i/>
          <w:iCs/>
        </w:rPr>
        <w:t xml:space="preserve">.  </w:t>
      </w:r>
      <w:r>
        <w:rPr>
          <w:rFonts w:cstheme="minorHAnsi"/>
          <w:iCs/>
        </w:rPr>
        <w:t xml:space="preserve">Per Dave, ~20% of IAGs are rejected for not ROR.  Additional validation could reduce # of MTs submitted </w:t>
      </w:r>
    </w:p>
    <w:p w:rsidR="00CB5E0C" w:rsidRDefault="00CB5E0C" w:rsidP="00E445C0">
      <w:pPr>
        <w:pStyle w:val="NoSpacing"/>
        <w:rPr>
          <w:rFonts w:cstheme="minorHAnsi"/>
          <w:iCs/>
        </w:rPr>
      </w:pPr>
    </w:p>
    <w:p w:rsidR="006A18CD" w:rsidRDefault="00855FFB" w:rsidP="00E445C0">
      <w:pPr>
        <w:pStyle w:val="NoSpacing"/>
        <w:rPr>
          <w:rFonts w:cstheme="minorHAnsi"/>
          <w:iCs/>
        </w:rPr>
      </w:pPr>
      <w:r w:rsidRPr="00855FFB">
        <w:rPr>
          <w:rFonts w:cstheme="minorHAnsi"/>
          <w:iCs/>
          <w:highlight w:val="yellow"/>
        </w:rPr>
        <w:t>ACTION</w:t>
      </w:r>
      <w:r>
        <w:rPr>
          <w:rFonts w:cstheme="minorHAnsi"/>
          <w:iCs/>
        </w:rPr>
        <w:t>:  Sheri will update SCR with above revisions and circulate to the list serve prior to the next special joint TXSET/TDTMS meeting 9/1/21 @ 9 am.</w:t>
      </w:r>
    </w:p>
    <w:p w:rsidR="00625565" w:rsidRDefault="00625565" w:rsidP="00625565">
      <w:pPr>
        <w:pStyle w:val="NoSpacing"/>
        <w:rPr>
          <w:rFonts w:cstheme="minorHAnsi"/>
          <w:iCs/>
        </w:rPr>
      </w:pPr>
    </w:p>
    <w:p w:rsidR="007660CA" w:rsidRPr="007660CA" w:rsidRDefault="007660CA" w:rsidP="00F145EE">
      <w:pPr>
        <w:pStyle w:val="NoSpacing"/>
        <w:rPr>
          <w:b/>
          <w:u w:val="single"/>
        </w:rPr>
      </w:pPr>
      <w:r w:rsidRPr="007660CA">
        <w:rPr>
          <w:b/>
          <w:u w:val="single"/>
        </w:rPr>
        <w:t xml:space="preserve">AGENDA for </w:t>
      </w:r>
      <w:r w:rsidR="00855FFB">
        <w:rPr>
          <w:b/>
          <w:u w:val="single"/>
        </w:rPr>
        <w:t>9</w:t>
      </w:r>
      <w:r w:rsidR="005719FD">
        <w:rPr>
          <w:b/>
          <w:u w:val="single"/>
        </w:rPr>
        <w:t>/</w:t>
      </w:r>
      <w:r w:rsidR="00855FFB">
        <w:rPr>
          <w:b/>
          <w:u w:val="single"/>
        </w:rPr>
        <w:t>24</w:t>
      </w:r>
      <w:r w:rsidR="005719FD">
        <w:rPr>
          <w:b/>
          <w:u w:val="single"/>
        </w:rPr>
        <w:t>/2</w:t>
      </w:r>
      <w:r w:rsidR="00323CE5">
        <w:rPr>
          <w:b/>
          <w:u w:val="single"/>
        </w:rPr>
        <w:t>1</w:t>
      </w:r>
      <w:r w:rsidRPr="007660CA">
        <w:rPr>
          <w:b/>
          <w:u w:val="single"/>
        </w:rPr>
        <w:t xml:space="preserve"> Meeting</w:t>
      </w:r>
    </w:p>
    <w:p w:rsidR="00257783" w:rsidRPr="00257783" w:rsidRDefault="00257783" w:rsidP="00245452">
      <w:pPr>
        <w:pStyle w:val="NoSpacing"/>
        <w:numPr>
          <w:ilvl w:val="0"/>
          <w:numId w:val="5"/>
        </w:numPr>
        <w:rPr>
          <w:b/>
          <w:u w:val="single"/>
        </w:rPr>
      </w:pPr>
      <w:r>
        <w:t>ERCOT Update</w:t>
      </w:r>
    </w:p>
    <w:p w:rsidR="00257783" w:rsidRPr="00304812" w:rsidRDefault="00257783" w:rsidP="00245452">
      <w:pPr>
        <w:pStyle w:val="NoSpacing"/>
        <w:numPr>
          <w:ilvl w:val="1"/>
          <w:numId w:val="5"/>
        </w:numPr>
        <w:rPr>
          <w:b/>
          <w:u w:val="single"/>
        </w:rPr>
      </w:pPr>
      <w:r>
        <w:t>System Instances and MarkeTrak Monthly Performance Review</w:t>
      </w:r>
    </w:p>
    <w:p w:rsidR="00304812" w:rsidRPr="00304812" w:rsidRDefault="00304812" w:rsidP="00245452">
      <w:pPr>
        <w:pStyle w:val="NoSpacing"/>
        <w:numPr>
          <w:ilvl w:val="1"/>
          <w:numId w:val="5"/>
        </w:numPr>
        <w:rPr>
          <w:b/>
          <w:u w:val="single"/>
        </w:rPr>
      </w:pPr>
      <w:r>
        <w:t>Market Data Transparency SLOs</w:t>
      </w:r>
      <w:r w:rsidR="00855FFB">
        <w:t xml:space="preserve"> for 2022</w:t>
      </w:r>
    </w:p>
    <w:p w:rsidR="00304812" w:rsidRPr="006A18CD" w:rsidRDefault="00304812" w:rsidP="00245452">
      <w:pPr>
        <w:pStyle w:val="NoSpacing"/>
        <w:numPr>
          <w:ilvl w:val="1"/>
          <w:numId w:val="5"/>
        </w:numPr>
        <w:rPr>
          <w:b/>
          <w:u w:val="single"/>
        </w:rPr>
      </w:pPr>
      <w:r>
        <w:t xml:space="preserve">ERCOT </w:t>
      </w:r>
      <w:proofErr w:type="spellStart"/>
      <w:r w:rsidR="008D135C">
        <w:t>ListServ</w:t>
      </w:r>
      <w:proofErr w:type="spellEnd"/>
      <w:r>
        <w:t xml:space="preserve"> </w:t>
      </w:r>
      <w:r w:rsidR="006A18CD">
        <w:t>Performance</w:t>
      </w:r>
    </w:p>
    <w:p w:rsidR="006A18CD" w:rsidRPr="00304812" w:rsidRDefault="006A18CD" w:rsidP="006A18CD">
      <w:pPr>
        <w:pStyle w:val="NoSpacing"/>
        <w:numPr>
          <w:ilvl w:val="2"/>
          <w:numId w:val="5"/>
        </w:numPr>
        <w:rPr>
          <w:b/>
          <w:u w:val="single"/>
        </w:rPr>
      </w:pPr>
      <w:r>
        <w:t xml:space="preserve">Memorializing Back-Up Plan </w:t>
      </w:r>
    </w:p>
    <w:p w:rsidR="00304812" w:rsidRPr="008D135C" w:rsidRDefault="00304812" w:rsidP="00245452">
      <w:pPr>
        <w:pStyle w:val="NoSpacing"/>
        <w:numPr>
          <w:ilvl w:val="1"/>
          <w:numId w:val="5"/>
        </w:numPr>
        <w:rPr>
          <w:b/>
          <w:u w:val="single"/>
        </w:rPr>
      </w:pPr>
      <w:r>
        <w:t xml:space="preserve">ERCOT MIS API </w:t>
      </w:r>
      <w:r w:rsidR="00855FFB">
        <w:t>Update</w:t>
      </w:r>
    </w:p>
    <w:p w:rsidR="008D135C" w:rsidRPr="00083BA8" w:rsidRDefault="008D135C" w:rsidP="00A54132">
      <w:pPr>
        <w:pStyle w:val="NoSpacing"/>
        <w:numPr>
          <w:ilvl w:val="1"/>
          <w:numId w:val="5"/>
        </w:numPr>
        <w:rPr>
          <w:b/>
          <w:u w:val="single"/>
        </w:rPr>
      </w:pPr>
      <w:r>
        <w:t>MarkeTrak Upgrade</w:t>
      </w:r>
      <w:r w:rsidR="00083BA8">
        <w:t>/</w:t>
      </w:r>
      <w:r w:rsidR="00083BA8" w:rsidRPr="00083BA8">
        <w:t xml:space="preserve"> </w:t>
      </w:r>
      <w:r w:rsidR="00083BA8">
        <w:t>SCR</w:t>
      </w:r>
      <w:r w:rsidR="00083BA8">
        <w:t>815</w:t>
      </w:r>
      <w:r w:rsidR="00083BA8">
        <w:t xml:space="preserve"> MarkeTrak Administrative Enhancements</w:t>
      </w:r>
      <w:r w:rsidR="00083BA8">
        <w:t xml:space="preserve"> </w:t>
      </w:r>
      <w:r w:rsidR="00855FFB">
        <w:t>Update</w:t>
      </w:r>
    </w:p>
    <w:p w:rsidR="008D135C" w:rsidRPr="008D135C" w:rsidRDefault="008D135C" w:rsidP="00304812">
      <w:pPr>
        <w:pStyle w:val="NoSpacing"/>
        <w:numPr>
          <w:ilvl w:val="0"/>
          <w:numId w:val="5"/>
        </w:numPr>
        <w:rPr>
          <w:b/>
          <w:u w:val="single"/>
        </w:rPr>
      </w:pPr>
      <w:r>
        <w:t xml:space="preserve">Follow up </w:t>
      </w:r>
      <w:r w:rsidR="006A18CD">
        <w:t>on status:</w:t>
      </w:r>
    </w:p>
    <w:p w:rsidR="00304812" w:rsidRPr="008D135C" w:rsidRDefault="00304812" w:rsidP="008D135C">
      <w:pPr>
        <w:pStyle w:val="NoSpacing"/>
        <w:numPr>
          <w:ilvl w:val="1"/>
          <w:numId w:val="5"/>
        </w:numPr>
        <w:rPr>
          <w:b/>
          <w:u w:val="single"/>
        </w:rPr>
      </w:pPr>
      <w:r>
        <w:t xml:space="preserve">RMGRR Switch Hold Removal Documentation </w:t>
      </w:r>
      <w:r w:rsidR="008D135C">
        <w:t>Clarification</w:t>
      </w:r>
      <w:r w:rsidR="00083BA8">
        <w:t xml:space="preserve"> - TAC</w:t>
      </w:r>
    </w:p>
    <w:p w:rsidR="008D135C" w:rsidRPr="008D135C" w:rsidRDefault="008D135C" w:rsidP="008D135C">
      <w:pPr>
        <w:pStyle w:val="NoSpacing"/>
        <w:numPr>
          <w:ilvl w:val="1"/>
          <w:numId w:val="5"/>
        </w:numPr>
        <w:rPr>
          <w:b/>
          <w:u w:val="single"/>
        </w:rPr>
      </w:pPr>
      <w:r>
        <w:t>RMGRR Create Switch Hold Repository</w:t>
      </w:r>
      <w:r w:rsidR="00083BA8">
        <w:t xml:space="preserve"> – revisit language </w:t>
      </w:r>
    </w:p>
    <w:p w:rsidR="00FF3C68" w:rsidRPr="00083BA8" w:rsidRDefault="00FF3C68" w:rsidP="00081BBF">
      <w:pPr>
        <w:pStyle w:val="NoSpacing"/>
        <w:numPr>
          <w:ilvl w:val="0"/>
          <w:numId w:val="5"/>
        </w:numPr>
        <w:rPr>
          <w:b/>
          <w:u w:val="single"/>
        </w:rPr>
      </w:pPr>
      <w:r>
        <w:t>Semi-annual review of overall MT subtype volumes – January 2021 through July 2021</w:t>
      </w:r>
    </w:p>
    <w:p w:rsidR="008D135C" w:rsidRPr="00304812" w:rsidRDefault="00083BA8" w:rsidP="00083BA8">
      <w:pPr>
        <w:pStyle w:val="NoSpacing"/>
        <w:numPr>
          <w:ilvl w:val="0"/>
          <w:numId w:val="5"/>
        </w:numPr>
        <w:rPr>
          <w:b/>
          <w:u w:val="single"/>
        </w:rPr>
      </w:pPr>
      <w:r>
        <w:t xml:space="preserve">SCRXXX - </w:t>
      </w:r>
      <w:r w:rsidR="008D135C">
        <w:t>MarkeTrak Validation Enhancements – TXSET 5.0</w:t>
      </w:r>
      <w:r>
        <w:t xml:space="preserve"> – discussion of common </w:t>
      </w:r>
      <w:proofErr w:type="spellStart"/>
      <w:r>
        <w:t>Unexecutable</w:t>
      </w:r>
      <w:proofErr w:type="spellEnd"/>
      <w:r>
        <w:t xml:space="preserve"> Reasons</w:t>
      </w:r>
    </w:p>
    <w:sectPr w:rsidR="008D135C" w:rsidRPr="00304812" w:rsidSect="008C1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283E"/>
    <w:multiLevelType w:val="hybridMultilevel"/>
    <w:tmpl w:val="090C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66F6A"/>
    <w:multiLevelType w:val="hybridMultilevel"/>
    <w:tmpl w:val="F97A49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10681D05"/>
    <w:multiLevelType w:val="hybridMultilevel"/>
    <w:tmpl w:val="F1D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34D3F"/>
    <w:multiLevelType w:val="hybridMultilevel"/>
    <w:tmpl w:val="8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7502"/>
    <w:multiLevelType w:val="hybridMultilevel"/>
    <w:tmpl w:val="7258F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5626A"/>
    <w:multiLevelType w:val="hybridMultilevel"/>
    <w:tmpl w:val="94AE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F70DC"/>
    <w:multiLevelType w:val="hybridMultilevel"/>
    <w:tmpl w:val="CA8C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21146"/>
    <w:multiLevelType w:val="hybridMultilevel"/>
    <w:tmpl w:val="D08A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B546F"/>
    <w:multiLevelType w:val="hybridMultilevel"/>
    <w:tmpl w:val="B768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77480E"/>
    <w:multiLevelType w:val="hybridMultilevel"/>
    <w:tmpl w:val="2AF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A3F14"/>
    <w:multiLevelType w:val="hybridMultilevel"/>
    <w:tmpl w:val="66CE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378D8"/>
    <w:multiLevelType w:val="hybridMultilevel"/>
    <w:tmpl w:val="7FA8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132D9A"/>
    <w:multiLevelType w:val="hybridMultilevel"/>
    <w:tmpl w:val="0AFCA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942925"/>
    <w:multiLevelType w:val="hybridMultilevel"/>
    <w:tmpl w:val="6B16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BC57F7"/>
    <w:multiLevelType w:val="hybridMultilevel"/>
    <w:tmpl w:val="C1A2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8"/>
  </w:num>
  <w:num w:numId="4">
    <w:abstractNumId w:val="12"/>
  </w:num>
  <w:num w:numId="5">
    <w:abstractNumId w:val="23"/>
  </w:num>
  <w:num w:numId="6">
    <w:abstractNumId w:val="28"/>
  </w:num>
  <w:num w:numId="7">
    <w:abstractNumId w:val="11"/>
  </w:num>
  <w:num w:numId="8">
    <w:abstractNumId w:val="19"/>
  </w:num>
  <w:num w:numId="9">
    <w:abstractNumId w:val="17"/>
  </w:num>
  <w:num w:numId="10">
    <w:abstractNumId w:val="1"/>
  </w:num>
  <w:num w:numId="11">
    <w:abstractNumId w:val="10"/>
  </w:num>
  <w:num w:numId="12">
    <w:abstractNumId w:val="6"/>
  </w:num>
  <w:num w:numId="13">
    <w:abstractNumId w:val="18"/>
  </w:num>
  <w:num w:numId="14">
    <w:abstractNumId w:val="31"/>
  </w:num>
  <w:num w:numId="15">
    <w:abstractNumId w:val="26"/>
  </w:num>
  <w:num w:numId="16">
    <w:abstractNumId w:val="9"/>
  </w:num>
  <w:num w:numId="17">
    <w:abstractNumId w:val="22"/>
  </w:num>
  <w:num w:numId="18">
    <w:abstractNumId w:val="7"/>
  </w:num>
  <w:num w:numId="19">
    <w:abstractNumId w:val="4"/>
  </w:num>
  <w:num w:numId="20">
    <w:abstractNumId w:val="25"/>
  </w:num>
  <w:num w:numId="21">
    <w:abstractNumId w:val="16"/>
  </w:num>
  <w:num w:numId="22">
    <w:abstractNumId w:val="2"/>
  </w:num>
  <w:num w:numId="23">
    <w:abstractNumId w:val="20"/>
  </w:num>
  <w:num w:numId="24">
    <w:abstractNumId w:val="29"/>
  </w:num>
  <w:num w:numId="25">
    <w:abstractNumId w:val="0"/>
  </w:num>
  <w:num w:numId="26">
    <w:abstractNumId w:val="15"/>
  </w:num>
  <w:num w:numId="27">
    <w:abstractNumId w:val="3"/>
  </w:num>
  <w:num w:numId="28">
    <w:abstractNumId w:val="21"/>
  </w:num>
  <w:num w:numId="29">
    <w:abstractNumId w:val="32"/>
  </w:num>
  <w:num w:numId="30">
    <w:abstractNumId w:val="24"/>
  </w:num>
  <w:num w:numId="31">
    <w:abstractNumId w:val="5"/>
  </w:num>
  <w:num w:numId="32">
    <w:abstractNumId w:val="27"/>
  </w:num>
  <w:num w:numId="3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15B0C"/>
    <w:rsid w:val="00020312"/>
    <w:rsid w:val="00020E68"/>
    <w:rsid w:val="00021FA8"/>
    <w:rsid w:val="00022185"/>
    <w:rsid w:val="00023998"/>
    <w:rsid w:val="00025B49"/>
    <w:rsid w:val="0004131D"/>
    <w:rsid w:val="00083BA8"/>
    <w:rsid w:val="000A1F65"/>
    <w:rsid w:val="000C0AF2"/>
    <w:rsid w:val="000C20CF"/>
    <w:rsid w:val="000C319D"/>
    <w:rsid w:val="000C5FAB"/>
    <w:rsid w:val="000D3187"/>
    <w:rsid w:val="000E13F8"/>
    <w:rsid w:val="000F415E"/>
    <w:rsid w:val="00110EA2"/>
    <w:rsid w:val="00123FEE"/>
    <w:rsid w:val="001303F8"/>
    <w:rsid w:val="001313EA"/>
    <w:rsid w:val="00131DDA"/>
    <w:rsid w:val="00136DF5"/>
    <w:rsid w:val="001416DA"/>
    <w:rsid w:val="00153056"/>
    <w:rsid w:val="00171E07"/>
    <w:rsid w:val="00194107"/>
    <w:rsid w:val="001B1170"/>
    <w:rsid w:val="001C225E"/>
    <w:rsid w:val="001C3FE4"/>
    <w:rsid w:val="001C4664"/>
    <w:rsid w:val="001D16C1"/>
    <w:rsid w:val="001E1FBF"/>
    <w:rsid w:val="001E2F5F"/>
    <w:rsid w:val="001E6B2D"/>
    <w:rsid w:val="001E6DA0"/>
    <w:rsid w:val="00210956"/>
    <w:rsid w:val="0022539C"/>
    <w:rsid w:val="00227F00"/>
    <w:rsid w:val="002417F6"/>
    <w:rsid w:val="00245452"/>
    <w:rsid w:val="00257783"/>
    <w:rsid w:val="00266626"/>
    <w:rsid w:val="00275BB9"/>
    <w:rsid w:val="002956E8"/>
    <w:rsid w:val="002A0074"/>
    <w:rsid w:val="002A4D17"/>
    <w:rsid w:val="002B73B5"/>
    <w:rsid w:val="002C5F35"/>
    <w:rsid w:val="002D0238"/>
    <w:rsid w:val="002E188E"/>
    <w:rsid w:val="002E4A02"/>
    <w:rsid w:val="002E4AA8"/>
    <w:rsid w:val="002E52F7"/>
    <w:rsid w:val="002E6D10"/>
    <w:rsid w:val="002F12FE"/>
    <w:rsid w:val="002F5B65"/>
    <w:rsid w:val="002F6A98"/>
    <w:rsid w:val="00304812"/>
    <w:rsid w:val="00307922"/>
    <w:rsid w:val="00310E34"/>
    <w:rsid w:val="003147A9"/>
    <w:rsid w:val="0031702C"/>
    <w:rsid w:val="0032177A"/>
    <w:rsid w:val="003224FF"/>
    <w:rsid w:val="00323CE5"/>
    <w:rsid w:val="00326666"/>
    <w:rsid w:val="0032714F"/>
    <w:rsid w:val="00327A45"/>
    <w:rsid w:val="00331770"/>
    <w:rsid w:val="00331FF3"/>
    <w:rsid w:val="0033302E"/>
    <w:rsid w:val="00345EA2"/>
    <w:rsid w:val="0035068E"/>
    <w:rsid w:val="00351211"/>
    <w:rsid w:val="00356955"/>
    <w:rsid w:val="00363882"/>
    <w:rsid w:val="00370FAA"/>
    <w:rsid w:val="00384273"/>
    <w:rsid w:val="0038504B"/>
    <w:rsid w:val="00386AB4"/>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37F12"/>
    <w:rsid w:val="00446742"/>
    <w:rsid w:val="004510BA"/>
    <w:rsid w:val="00453CB9"/>
    <w:rsid w:val="0046383E"/>
    <w:rsid w:val="00463A02"/>
    <w:rsid w:val="00473E06"/>
    <w:rsid w:val="00474281"/>
    <w:rsid w:val="004852C1"/>
    <w:rsid w:val="00487203"/>
    <w:rsid w:val="00496BC3"/>
    <w:rsid w:val="004A002B"/>
    <w:rsid w:val="004A02A5"/>
    <w:rsid w:val="004B0BD3"/>
    <w:rsid w:val="004C5528"/>
    <w:rsid w:val="004C672D"/>
    <w:rsid w:val="004D5B2D"/>
    <w:rsid w:val="004E7003"/>
    <w:rsid w:val="004F3A5D"/>
    <w:rsid w:val="004F3B6C"/>
    <w:rsid w:val="004F5F8C"/>
    <w:rsid w:val="005048DF"/>
    <w:rsid w:val="005101FF"/>
    <w:rsid w:val="0051096F"/>
    <w:rsid w:val="00517D7C"/>
    <w:rsid w:val="00522605"/>
    <w:rsid w:val="00527ADA"/>
    <w:rsid w:val="00540840"/>
    <w:rsid w:val="0054333F"/>
    <w:rsid w:val="00543BB4"/>
    <w:rsid w:val="00544D4C"/>
    <w:rsid w:val="00546D6E"/>
    <w:rsid w:val="00547B3B"/>
    <w:rsid w:val="00553D72"/>
    <w:rsid w:val="005572E8"/>
    <w:rsid w:val="00562FBA"/>
    <w:rsid w:val="005645B7"/>
    <w:rsid w:val="00565315"/>
    <w:rsid w:val="005719FD"/>
    <w:rsid w:val="005A25C3"/>
    <w:rsid w:val="005B05BD"/>
    <w:rsid w:val="005D1EE7"/>
    <w:rsid w:val="005D1F24"/>
    <w:rsid w:val="005D5510"/>
    <w:rsid w:val="006149AB"/>
    <w:rsid w:val="00625565"/>
    <w:rsid w:val="0062681D"/>
    <w:rsid w:val="00637F5C"/>
    <w:rsid w:val="00643E89"/>
    <w:rsid w:val="00653F95"/>
    <w:rsid w:val="006758D3"/>
    <w:rsid w:val="006816F8"/>
    <w:rsid w:val="00683CC7"/>
    <w:rsid w:val="00690321"/>
    <w:rsid w:val="006A18CD"/>
    <w:rsid w:val="006B7779"/>
    <w:rsid w:val="006F0C42"/>
    <w:rsid w:val="00702CF5"/>
    <w:rsid w:val="00707132"/>
    <w:rsid w:val="00720A5D"/>
    <w:rsid w:val="00733038"/>
    <w:rsid w:val="00733B41"/>
    <w:rsid w:val="007361FA"/>
    <w:rsid w:val="007533E9"/>
    <w:rsid w:val="0076159C"/>
    <w:rsid w:val="0076567B"/>
    <w:rsid w:val="007660CA"/>
    <w:rsid w:val="00766AED"/>
    <w:rsid w:val="00766E5D"/>
    <w:rsid w:val="00770025"/>
    <w:rsid w:val="00774226"/>
    <w:rsid w:val="00780949"/>
    <w:rsid w:val="0079359B"/>
    <w:rsid w:val="007945C0"/>
    <w:rsid w:val="007966CC"/>
    <w:rsid w:val="007A37AE"/>
    <w:rsid w:val="007C0887"/>
    <w:rsid w:val="007C090E"/>
    <w:rsid w:val="007C5998"/>
    <w:rsid w:val="007D1BE9"/>
    <w:rsid w:val="007E4B3E"/>
    <w:rsid w:val="007E52DF"/>
    <w:rsid w:val="007F0580"/>
    <w:rsid w:val="007F145E"/>
    <w:rsid w:val="007F3FC1"/>
    <w:rsid w:val="00806140"/>
    <w:rsid w:val="00807049"/>
    <w:rsid w:val="00815480"/>
    <w:rsid w:val="00820B4A"/>
    <w:rsid w:val="008217FD"/>
    <w:rsid w:val="008451D6"/>
    <w:rsid w:val="00855FFB"/>
    <w:rsid w:val="00860321"/>
    <w:rsid w:val="00862522"/>
    <w:rsid w:val="008636F7"/>
    <w:rsid w:val="00875092"/>
    <w:rsid w:val="00887CAB"/>
    <w:rsid w:val="00891A72"/>
    <w:rsid w:val="008953BF"/>
    <w:rsid w:val="008A2659"/>
    <w:rsid w:val="008A3554"/>
    <w:rsid w:val="008B2CB8"/>
    <w:rsid w:val="008B5C93"/>
    <w:rsid w:val="008C13D1"/>
    <w:rsid w:val="008D135C"/>
    <w:rsid w:val="008D78D2"/>
    <w:rsid w:val="008E4C59"/>
    <w:rsid w:val="008E6934"/>
    <w:rsid w:val="008F2439"/>
    <w:rsid w:val="008F4DC4"/>
    <w:rsid w:val="008F6D8F"/>
    <w:rsid w:val="0090152E"/>
    <w:rsid w:val="00932C1B"/>
    <w:rsid w:val="009361FE"/>
    <w:rsid w:val="00944599"/>
    <w:rsid w:val="00945CCB"/>
    <w:rsid w:val="0095114C"/>
    <w:rsid w:val="00963F70"/>
    <w:rsid w:val="0096742E"/>
    <w:rsid w:val="009805C2"/>
    <w:rsid w:val="00990903"/>
    <w:rsid w:val="009921EF"/>
    <w:rsid w:val="009A0B03"/>
    <w:rsid w:val="009A6188"/>
    <w:rsid w:val="009B2EE9"/>
    <w:rsid w:val="009C4583"/>
    <w:rsid w:val="009D07DF"/>
    <w:rsid w:val="009D5ECB"/>
    <w:rsid w:val="009D7657"/>
    <w:rsid w:val="009D7D5C"/>
    <w:rsid w:val="009F63FD"/>
    <w:rsid w:val="009F7D81"/>
    <w:rsid w:val="00A00502"/>
    <w:rsid w:val="00A01863"/>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72D14"/>
    <w:rsid w:val="00A86140"/>
    <w:rsid w:val="00A86544"/>
    <w:rsid w:val="00A94F0C"/>
    <w:rsid w:val="00A95E96"/>
    <w:rsid w:val="00AA104F"/>
    <w:rsid w:val="00AA3CAF"/>
    <w:rsid w:val="00AA7CB2"/>
    <w:rsid w:val="00AB4932"/>
    <w:rsid w:val="00AB5B26"/>
    <w:rsid w:val="00AC7F6D"/>
    <w:rsid w:val="00AE38A9"/>
    <w:rsid w:val="00AE3E48"/>
    <w:rsid w:val="00AF56A0"/>
    <w:rsid w:val="00AF71B5"/>
    <w:rsid w:val="00B02EFA"/>
    <w:rsid w:val="00B05A4F"/>
    <w:rsid w:val="00B22277"/>
    <w:rsid w:val="00B22D19"/>
    <w:rsid w:val="00B303A3"/>
    <w:rsid w:val="00B31199"/>
    <w:rsid w:val="00B33AC5"/>
    <w:rsid w:val="00B5220F"/>
    <w:rsid w:val="00B57B56"/>
    <w:rsid w:val="00B64B2E"/>
    <w:rsid w:val="00B66384"/>
    <w:rsid w:val="00B749BF"/>
    <w:rsid w:val="00B877FC"/>
    <w:rsid w:val="00B90882"/>
    <w:rsid w:val="00BB0367"/>
    <w:rsid w:val="00BB094F"/>
    <w:rsid w:val="00BB571E"/>
    <w:rsid w:val="00BC33B9"/>
    <w:rsid w:val="00C06E4C"/>
    <w:rsid w:val="00C1359E"/>
    <w:rsid w:val="00C21A42"/>
    <w:rsid w:val="00C27CC0"/>
    <w:rsid w:val="00C32B22"/>
    <w:rsid w:val="00C33E4E"/>
    <w:rsid w:val="00C41BC0"/>
    <w:rsid w:val="00C44212"/>
    <w:rsid w:val="00C5225F"/>
    <w:rsid w:val="00C66CDF"/>
    <w:rsid w:val="00C70FD8"/>
    <w:rsid w:val="00C7529A"/>
    <w:rsid w:val="00C87C6C"/>
    <w:rsid w:val="00C9361E"/>
    <w:rsid w:val="00C964F6"/>
    <w:rsid w:val="00CA0ED7"/>
    <w:rsid w:val="00CA1A12"/>
    <w:rsid w:val="00CA1C81"/>
    <w:rsid w:val="00CA2667"/>
    <w:rsid w:val="00CB2304"/>
    <w:rsid w:val="00CB5E0C"/>
    <w:rsid w:val="00CB68ED"/>
    <w:rsid w:val="00CD26E3"/>
    <w:rsid w:val="00CD7EFB"/>
    <w:rsid w:val="00CE3D30"/>
    <w:rsid w:val="00CE6D45"/>
    <w:rsid w:val="00D00FE4"/>
    <w:rsid w:val="00D021DD"/>
    <w:rsid w:val="00D05935"/>
    <w:rsid w:val="00D059C5"/>
    <w:rsid w:val="00D15CA5"/>
    <w:rsid w:val="00D17997"/>
    <w:rsid w:val="00D17CF3"/>
    <w:rsid w:val="00D21886"/>
    <w:rsid w:val="00D24CFB"/>
    <w:rsid w:val="00D30343"/>
    <w:rsid w:val="00D30503"/>
    <w:rsid w:val="00D40728"/>
    <w:rsid w:val="00D66857"/>
    <w:rsid w:val="00D70538"/>
    <w:rsid w:val="00D734CD"/>
    <w:rsid w:val="00D77953"/>
    <w:rsid w:val="00D848CA"/>
    <w:rsid w:val="00D8669C"/>
    <w:rsid w:val="00D86915"/>
    <w:rsid w:val="00D9194D"/>
    <w:rsid w:val="00DA1B12"/>
    <w:rsid w:val="00DB5EB2"/>
    <w:rsid w:val="00DC64DC"/>
    <w:rsid w:val="00DD1441"/>
    <w:rsid w:val="00DE49C2"/>
    <w:rsid w:val="00DF0E46"/>
    <w:rsid w:val="00DF4C02"/>
    <w:rsid w:val="00E03B9B"/>
    <w:rsid w:val="00E12C6D"/>
    <w:rsid w:val="00E26300"/>
    <w:rsid w:val="00E445C0"/>
    <w:rsid w:val="00E44630"/>
    <w:rsid w:val="00E522FE"/>
    <w:rsid w:val="00E65CE9"/>
    <w:rsid w:val="00E7036C"/>
    <w:rsid w:val="00E72A60"/>
    <w:rsid w:val="00E761AD"/>
    <w:rsid w:val="00E822B6"/>
    <w:rsid w:val="00E871A3"/>
    <w:rsid w:val="00E9774C"/>
    <w:rsid w:val="00EA1F8B"/>
    <w:rsid w:val="00EA742D"/>
    <w:rsid w:val="00EB2B86"/>
    <w:rsid w:val="00EB3273"/>
    <w:rsid w:val="00EB6375"/>
    <w:rsid w:val="00EC285D"/>
    <w:rsid w:val="00EC4002"/>
    <w:rsid w:val="00EC7CD0"/>
    <w:rsid w:val="00ED1739"/>
    <w:rsid w:val="00ED192F"/>
    <w:rsid w:val="00ED6B55"/>
    <w:rsid w:val="00ED7D16"/>
    <w:rsid w:val="00EE0F52"/>
    <w:rsid w:val="00EE6D3E"/>
    <w:rsid w:val="00EE7981"/>
    <w:rsid w:val="00EF31E0"/>
    <w:rsid w:val="00EF48D4"/>
    <w:rsid w:val="00F021C5"/>
    <w:rsid w:val="00F02BDF"/>
    <w:rsid w:val="00F145EE"/>
    <w:rsid w:val="00F14D1F"/>
    <w:rsid w:val="00F2039B"/>
    <w:rsid w:val="00F27072"/>
    <w:rsid w:val="00F44DF8"/>
    <w:rsid w:val="00F51CAB"/>
    <w:rsid w:val="00F56237"/>
    <w:rsid w:val="00F5709C"/>
    <w:rsid w:val="00F621D1"/>
    <w:rsid w:val="00F747D8"/>
    <w:rsid w:val="00F81867"/>
    <w:rsid w:val="00F83FF7"/>
    <w:rsid w:val="00F8406C"/>
    <w:rsid w:val="00F8712A"/>
    <w:rsid w:val="00F873FF"/>
    <w:rsid w:val="00F93EB7"/>
    <w:rsid w:val="00FA3D41"/>
    <w:rsid w:val="00FA647E"/>
    <w:rsid w:val="00FB04C0"/>
    <w:rsid w:val="00FD4DD1"/>
    <w:rsid w:val="00FD7895"/>
    <w:rsid w:val="00FE0C3D"/>
    <w:rsid w:val="00FE2C19"/>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65E6"/>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dcterms:created xsi:type="dcterms:W3CDTF">2021-08-22T21:16:00Z</dcterms:created>
  <dcterms:modified xsi:type="dcterms:W3CDTF">2021-08-23T22:22:00Z</dcterms:modified>
</cp:coreProperties>
</file>