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48A52" w14:textId="77777777" w:rsidR="00FC1C5F" w:rsidRDefault="00727E32">
      <w:pPr>
        <w:spacing w:before="2400"/>
        <w:jc w:val="center"/>
        <w:rPr>
          <w:b/>
          <w:sz w:val="36"/>
          <w:szCs w:val="36"/>
        </w:rPr>
      </w:pPr>
      <w:r>
        <w:rPr>
          <w:b/>
          <w:sz w:val="36"/>
          <w:szCs w:val="36"/>
        </w:rPr>
        <w:t>ERCOT Nodal Protocols</w:t>
      </w:r>
    </w:p>
    <w:p w14:paraId="18DB3EAA" w14:textId="77777777" w:rsidR="00FC1C5F" w:rsidRDefault="00FC1C5F">
      <w:pPr>
        <w:jc w:val="center"/>
        <w:rPr>
          <w:b/>
          <w:sz w:val="36"/>
          <w:szCs w:val="36"/>
        </w:rPr>
      </w:pPr>
    </w:p>
    <w:p w14:paraId="2DFFAF30" w14:textId="77777777" w:rsidR="00FC1C5F" w:rsidRDefault="00727E32">
      <w:pPr>
        <w:jc w:val="center"/>
        <w:rPr>
          <w:b/>
          <w:sz w:val="36"/>
          <w:szCs w:val="36"/>
        </w:rPr>
      </w:pPr>
      <w:r>
        <w:rPr>
          <w:b/>
          <w:sz w:val="36"/>
          <w:szCs w:val="36"/>
        </w:rPr>
        <w:t>Section 16:  Registration and Qualification of Market Participants</w:t>
      </w:r>
    </w:p>
    <w:p w14:paraId="44F09D74" w14:textId="77777777" w:rsidR="00FC1C5F" w:rsidRDefault="00FC1C5F">
      <w:pPr>
        <w:spacing w:before="360"/>
        <w:jc w:val="center"/>
        <w:rPr>
          <w:b/>
          <w:szCs w:val="24"/>
        </w:rPr>
      </w:pPr>
    </w:p>
    <w:p w14:paraId="5DD53CE3" w14:textId="1A87BD4D" w:rsidR="00FC1C5F" w:rsidRDefault="00DF27BC">
      <w:pPr>
        <w:spacing w:before="360"/>
        <w:jc w:val="center"/>
        <w:rPr>
          <w:b/>
          <w:szCs w:val="24"/>
        </w:rPr>
      </w:pPr>
      <w:r>
        <w:rPr>
          <w:b/>
          <w:szCs w:val="24"/>
        </w:rPr>
        <w:t>September 1</w:t>
      </w:r>
      <w:r w:rsidR="00CB2A95">
        <w:rPr>
          <w:b/>
          <w:szCs w:val="24"/>
        </w:rPr>
        <w:t>0</w:t>
      </w:r>
      <w:r w:rsidR="008E158D">
        <w:rPr>
          <w:b/>
          <w:szCs w:val="24"/>
        </w:rPr>
        <w:t>, 20</w:t>
      </w:r>
      <w:r w:rsidR="003F41DA">
        <w:rPr>
          <w:b/>
          <w:szCs w:val="24"/>
        </w:rPr>
        <w:t>2</w:t>
      </w:r>
      <w:r w:rsidR="004033D4">
        <w:rPr>
          <w:b/>
          <w:szCs w:val="24"/>
        </w:rPr>
        <w:t>1</w:t>
      </w:r>
    </w:p>
    <w:p w14:paraId="588DB0D2" w14:textId="77777777" w:rsidR="00FC1C5F" w:rsidRDefault="00FC1C5F">
      <w:pPr>
        <w:spacing w:before="360"/>
        <w:rPr>
          <w:b/>
          <w:szCs w:val="24"/>
        </w:rPr>
      </w:pPr>
    </w:p>
    <w:p w14:paraId="4EC558C1" w14:textId="77777777" w:rsidR="00FC1C5F" w:rsidRDefault="00FC1C5F">
      <w:pPr>
        <w:pBdr>
          <w:top w:val="single" w:sz="4" w:space="1" w:color="auto"/>
        </w:pBdr>
        <w:rPr>
          <w:b/>
          <w:sz w:val="20"/>
        </w:rPr>
      </w:pPr>
    </w:p>
    <w:p w14:paraId="03EAD69C" w14:textId="77777777" w:rsidR="00FC1C5F" w:rsidRDefault="00FC1C5F"/>
    <w:p w14:paraId="6337C0C3" w14:textId="77777777" w:rsidR="00FC1C5F" w:rsidRDefault="00FC1C5F">
      <w:pPr>
        <w:sectPr w:rsidR="00FC1C5F">
          <w:headerReference w:type="default" r:id="rId8"/>
          <w:footerReference w:type="even" r:id="rId9"/>
          <w:footerReference w:type="default" r:id="rId10"/>
          <w:footerReference w:type="first" r:id="rId11"/>
          <w:pgSz w:w="12240" w:h="15840" w:code="1"/>
          <w:pgMar w:top="1440" w:right="1440" w:bottom="1440" w:left="1440" w:header="720" w:footer="720" w:gutter="0"/>
          <w:pgNumType w:start="0"/>
          <w:cols w:space="720"/>
        </w:sectPr>
      </w:pPr>
    </w:p>
    <w:p w14:paraId="5E24A4B3" w14:textId="4246A67D" w:rsidR="00974AFC" w:rsidRDefault="00816A7E">
      <w:pPr>
        <w:pStyle w:val="TOC1"/>
        <w:rPr>
          <w:rFonts w:asciiTheme="minorHAnsi" w:eastAsiaTheme="minorEastAsia" w:hAnsiTheme="minorHAnsi" w:cstheme="minorBidi"/>
          <w:b w:val="0"/>
          <w:bCs w:val="0"/>
          <w:sz w:val="22"/>
          <w:szCs w:val="22"/>
        </w:rPr>
      </w:pPr>
      <w:r w:rsidRPr="005250EA">
        <w:lastRenderedPageBreak/>
        <w:fldChar w:fldCharType="begin"/>
      </w:r>
      <w:r w:rsidR="0005725D" w:rsidRPr="005250EA">
        <w:instrText xml:space="preserve"> TOC \o "1-5" \h \z \u </w:instrText>
      </w:r>
      <w:r w:rsidRPr="005250EA">
        <w:fldChar w:fldCharType="separate"/>
      </w:r>
      <w:hyperlink w:anchor="_Toc70591576" w:history="1">
        <w:r w:rsidR="00974AFC" w:rsidRPr="00FF1808">
          <w:rPr>
            <w:rStyle w:val="Hyperlink"/>
          </w:rPr>
          <w:t>16</w:t>
        </w:r>
        <w:r w:rsidR="00974AFC">
          <w:rPr>
            <w:rFonts w:asciiTheme="minorHAnsi" w:eastAsiaTheme="minorEastAsia" w:hAnsiTheme="minorHAnsi" w:cstheme="minorBidi"/>
            <w:b w:val="0"/>
            <w:bCs w:val="0"/>
            <w:sz w:val="22"/>
            <w:szCs w:val="22"/>
          </w:rPr>
          <w:tab/>
        </w:r>
        <w:r w:rsidR="00974AFC" w:rsidRPr="00FF1808">
          <w:rPr>
            <w:rStyle w:val="Hyperlink"/>
          </w:rPr>
          <w:t>REGISTRATION AND QUALIFICATION OF MARKET PARTICIPANTS</w:t>
        </w:r>
        <w:r w:rsidR="00974AFC">
          <w:rPr>
            <w:webHidden/>
          </w:rPr>
          <w:tab/>
        </w:r>
        <w:r w:rsidR="00974AFC">
          <w:rPr>
            <w:webHidden/>
          </w:rPr>
          <w:fldChar w:fldCharType="begin"/>
        </w:r>
        <w:r w:rsidR="00974AFC">
          <w:rPr>
            <w:webHidden/>
          </w:rPr>
          <w:instrText xml:space="preserve"> PAGEREF _Toc70591576 \h </w:instrText>
        </w:r>
        <w:r w:rsidR="00974AFC">
          <w:rPr>
            <w:webHidden/>
          </w:rPr>
        </w:r>
        <w:r w:rsidR="00974AFC">
          <w:rPr>
            <w:webHidden/>
          </w:rPr>
          <w:fldChar w:fldCharType="separate"/>
        </w:r>
        <w:r w:rsidR="00AC6018">
          <w:rPr>
            <w:webHidden/>
          </w:rPr>
          <w:t>16-1</w:t>
        </w:r>
        <w:r w:rsidR="00974AFC">
          <w:rPr>
            <w:webHidden/>
          </w:rPr>
          <w:fldChar w:fldCharType="end"/>
        </w:r>
      </w:hyperlink>
    </w:p>
    <w:p w14:paraId="3ECF42E4" w14:textId="2D877B4F" w:rsidR="00974AFC" w:rsidRPr="00974AFC" w:rsidRDefault="00AC6018">
      <w:pPr>
        <w:pStyle w:val="TOC2"/>
        <w:rPr>
          <w:rFonts w:eastAsiaTheme="minorEastAsia"/>
        </w:rPr>
      </w:pPr>
      <w:hyperlink w:anchor="_Toc70591577" w:history="1">
        <w:r w:rsidR="00974AFC" w:rsidRPr="00974AFC">
          <w:rPr>
            <w:rStyle w:val="Hyperlink"/>
            <w:u w:val="none"/>
          </w:rPr>
          <w:t>16.1</w:t>
        </w:r>
        <w:r w:rsidR="00974AFC" w:rsidRPr="00974AFC">
          <w:rPr>
            <w:rFonts w:eastAsiaTheme="minorEastAsia"/>
          </w:rPr>
          <w:tab/>
        </w:r>
        <w:r w:rsidR="00974AFC" w:rsidRPr="00974AFC">
          <w:rPr>
            <w:rStyle w:val="Hyperlink"/>
            <w:u w:val="none"/>
          </w:rPr>
          <w:t>Registration and Execution of Agreements</w:t>
        </w:r>
        <w:r w:rsidR="00974AFC" w:rsidRPr="00974AFC">
          <w:rPr>
            <w:webHidden/>
          </w:rPr>
          <w:tab/>
        </w:r>
        <w:r w:rsidR="00974AFC" w:rsidRPr="00974AFC">
          <w:rPr>
            <w:webHidden/>
          </w:rPr>
          <w:fldChar w:fldCharType="begin"/>
        </w:r>
        <w:r w:rsidR="00974AFC" w:rsidRPr="00974AFC">
          <w:rPr>
            <w:webHidden/>
          </w:rPr>
          <w:instrText xml:space="preserve"> PAGEREF _Toc70591577 \h </w:instrText>
        </w:r>
        <w:r w:rsidR="00974AFC" w:rsidRPr="00974AFC">
          <w:rPr>
            <w:webHidden/>
          </w:rPr>
        </w:r>
        <w:r w:rsidR="00974AFC" w:rsidRPr="00974AFC">
          <w:rPr>
            <w:webHidden/>
          </w:rPr>
          <w:fldChar w:fldCharType="separate"/>
        </w:r>
        <w:r>
          <w:rPr>
            <w:webHidden/>
          </w:rPr>
          <w:t>16-1</w:t>
        </w:r>
        <w:r w:rsidR="00974AFC" w:rsidRPr="00974AFC">
          <w:rPr>
            <w:webHidden/>
          </w:rPr>
          <w:fldChar w:fldCharType="end"/>
        </w:r>
      </w:hyperlink>
    </w:p>
    <w:p w14:paraId="3045F2D4" w14:textId="38EC631D" w:rsidR="00974AFC" w:rsidRPr="00974AFC" w:rsidRDefault="00AC6018">
      <w:pPr>
        <w:pStyle w:val="TOC3"/>
        <w:rPr>
          <w:rFonts w:eastAsiaTheme="minorEastAsia"/>
          <w:i w:val="0"/>
          <w:iCs w:val="0"/>
          <w:noProof/>
        </w:rPr>
      </w:pPr>
      <w:hyperlink w:anchor="_Toc70591578" w:history="1">
        <w:r w:rsidR="00974AFC" w:rsidRPr="00974AFC">
          <w:rPr>
            <w:rStyle w:val="Hyperlink"/>
            <w:i w:val="0"/>
            <w:noProof/>
            <w:u w:val="none"/>
          </w:rPr>
          <w:t>16.1.1</w:t>
        </w:r>
        <w:r w:rsidR="00974AFC" w:rsidRPr="00974AFC">
          <w:rPr>
            <w:rFonts w:eastAsiaTheme="minorEastAsia"/>
            <w:i w:val="0"/>
            <w:iCs w:val="0"/>
            <w:noProof/>
          </w:rPr>
          <w:tab/>
        </w:r>
        <w:r w:rsidR="00974AFC" w:rsidRPr="00974AFC">
          <w:rPr>
            <w:rStyle w:val="Hyperlink"/>
            <w:i w:val="0"/>
            <w:noProof/>
            <w:u w:val="none"/>
          </w:rPr>
          <w:t>Re-Registration as a Market Participant</w:t>
        </w:r>
        <w:r w:rsidR="00974AFC" w:rsidRPr="00974AFC">
          <w:rPr>
            <w:i w:val="0"/>
            <w:noProof/>
            <w:webHidden/>
          </w:rPr>
          <w:tab/>
        </w:r>
        <w:r w:rsidR="00974AFC" w:rsidRPr="00974AFC">
          <w:rPr>
            <w:i w:val="0"/>
            <w:noProof/>
            <w:webHidden/>
          </w:rPr>
          <w:fldChar w:fldCharType="begin"/>
        </w:r>
        <w:r w:rsidR="00974AFC" w:rsidRPr="00974AFC">
          <w:rPr>
            <w:i w:val="0"/>
            <w:noProof/>
            <w:webHidden/>
          </w:rPr>
          <w:instrText xml:space="preserve"> PAGEREF _Toc70591578 \h </w:instrText>
        </w:r>
        <w:r w:rsidR="00974AFC" w:rsidRPr="00974AFC">
          <w:rPr>
            <w:i w:val="0"/>
            <w:noProof/>
            <w:webHidden/>
          </w:rPr>
        </w:r>
        <w:r w:rsidR="00974AFC" w:rsidRPr="00974AFC">
          <w:rPr>
            <w:i w:val="0"/>
            <w:noProof/>
            <w:webHidden/>
          </w:rPr>
          <w:fldChar w:fldCharType="separate"/>
        </w:r>
        <w:r>
          <w:rPr>
            <w:i w:val="0"/>
            <w:noProof/>
            <w:webHidden/>
          </w:rPr>
          <w:t>16-1</w:t>
        </w:r>
        <w:r w:rsidR="00974AFC" w:rsidRPr="00974AFC">
          <w:rPr>
            <w:i w:val="0"/>
            <w:noProof/>
            <w:webHidden/>
          </w:rPr>
          <w:fldChar w:fldCharType="end"/>
        </w:r>
      </w:hyperlink>
    </w:p>
    <w:p w14:paraId="06818C3B" w14:textId="38A948A8" w:rsidR="00974AFC" w:rsidRPr="00974AFC" w:rsidRDefault="00AC6018">
      <w:pPr>
        <w:pStyle w:val="TOC2"/>
        <w:rPr>
          <w:rFonts w:eastAsiaTheme="minorEastAsia"/>
        </w:rPr>
      </w:pPr>
      <w:hyperlink w:anchor="_Toc70591579" w:history="1">
        <w:r w:rsidR="00974AFC" w:rsidRPr="00974AFC">
          <w:rPr>
            <w:rStyle w:val="Hyperlink"/>
            <w:u w:val="none"/>
          </w:rPr>
          <w:t>16.2</w:t>
        </w:r>
        <w:r w:rsidR="00974AFC" w:rsidRPr="00974AFC">
          <w:rPr>
            <w:rFonts w:eastAsiaTheme="minorEastAsia"/>
          </w:rPr>
          <w:tab/>
        </w:r>
        <w:r w:rsidR="00974AFC" w:rsidRPr="00974AFC">
          <w:rPr>
            <w:rStyle w:val="Hyperlink"/>
            <w:u w:val="none"/>
          </w:rPr>
          <w:t>Registration and Qualification of Qualified Scheduling Entities</w:t>
        </w:r>
        <w:r w:rsidR="00974AFC" w:rsidRPr="00974AFC">
          <w:rPr>
            <w:webHidden/>
          </w:rPr>
          <w:tab/>
        </w:r>
        <w:r w:rsidR="00974AFC" w:rsidRPr="00974AFC">
          <w:rPr>
            <w:webHidden/>
          </w:rPr>
          <w:fldChar w:fldCharType="begin"/>
        </w:r>
        <w:r w:rsidR="00974AFC" w:rsidRPr="00974AFC">
          <w:rPr>
            <w:webHidden/>
          </w:rPr>
          <w:instrText xml:space="preserve"> PAGEREF _Toc70591579 \h </w:instrText>
        </w:r>
        <w:r w:rsidR="00974AFC" w:rsidRPr="00974AFC">
          <w:rPr>
            <w:webHidden/>
          </w:rPr>
        </w:r>
        <w:r w:rsidR="00974AFC" w:rsidRPr="00974AFC">
          <w:rPr>
            <w:webHidden/>
          </w:rPr>
          <w:fldChar w:fldCharType="separate"/>
        </w:r>
        <w:r>
          <w:rPr>
            <w:webHidden/>
          </w:rPr>
          <w:t>16-1</w:t>
        </w:r>
        <w:r w:rsidR="00974AFC" w:rsidRPr="00974AFC">
          <w:rPr>
            <w:webHidden/>
          </w:rPr>
          <w:fldChar w:fldCharType="end"/>
        </w:r>
      </w:hyperlink>
    </w:p>
    <w:p w14:paraId="32ED6569" w14:textId="19D2BCF4" w:rsidR="00974AFC" w:rsidRPr="00974AFC" w:rsidRDefault="00AC6018">
      <w:pPr>
        <w:pStyle w:val="TOC3"/>
        <w:rPr>
          <w:rFonts w:eastAsiaTheme="minorEastAsia"/>
          <w:i w:val="0"/>
          <w:iCs w:val="0"/>
          <w:noProof/>
        </w:rPr>
      </w:pPr>
      <w:hyperlink w:anchor="_Toc70591580" w:history="1">
        <w:r w:rsidR="00974AFC" w:rsidRPr="00974AFC">
          <w:rPr>
            <w:rStyle w:val="Hyperlink"/>
            <w:i w:val="0"/>
            <w:noProof/>
            <w:u w:val="none"/>
          </w:rPr>
          <w:t>16.2.1</w:t>
        </w:r>
        <w:r w:rsidR="00974AFC" w:rsidRPr="00974AFC">
          <w:rPr>
            <w:rFonts w:eastAsiaTheme="minorEastAsia"/>
            <w:i w:val="0"/>
            <w:iCs w:val="0"/>
            <w:noProof/>
          </w:rPr>
          <w:tab/>
        </w:r>
        <w:r w:rsidR="00974AFC" w:rsidRPr="00974AFC">
          <w:rPr>
            <w:rStyle w:val="Hyperlink"/>
            <w:i w:val="0"/>
            <w:noProof/>
            <w:u w:val="none"/>
          </w:rPr>
          <w:t>Criteria for Qualification as a Qualified Scheduling Entity</w:t>
        </w:r>
        <w:r w:rsidR="00974AFC" w:rsidRPr="00974AFC">
          <w:rPr>
            <w:i w:val="0"/>
            <w:noProof/>
            <w:webHidden/>
          </w:rPr>
          <w:tab/>
        </w:r>
        <w:r w:rsidR="00974AFC" w:rsidRPr="00974AFC">
          <w:rPr>
            <w:i w:val="0"/>
            <w:noProof/>
            <w:webHidden/>
          </w:rPr>
          <w:fldChar w:fldCharType="begin"/>
        </w:r>
        <w:r w:rsidR="00974AFC" w:rsidRPr="00974AFC">
          <w:rPr>
            <w:i w:val="0"/>
            <w:noProof/>
            <w:webHidden/>
          </w:rPr>
          <w:instrText xml:space="preserve"> PAGEREF _Toc70591580 \h </w:instrText>
        </w:r>
        <w:r w:rsidR="00974AFC" w:rsidRPr="00974AFC">
          <w:rPr>
            <w:i w:val="0"/>
            <w:noProof/>
            <w:webHidden/>
          </w:rPr>
        </w:r>
        <w:r w:rsidR="00974AFC" w:rsidRPr="00974AFC">
          <w:rPr>
            <w:i w:val="0"/>
            <w:noProof/>
            <w:webHidden/>
          </w:rPr>
          <w:fldChar w:fldCharType="separate"/>
        </w:r>
        <w:r>
          <w:rPr>
            <w:i w:val="0"/>
            <w:noProof/>
            <w:webHidden/>
          </w:rPr>
          <w:t>16-2</w:t>
        </w:r>
        <w:r w:rsidR="00974AFC" w:rsidRPr="00974AFC">
          <w:rPr>
            <w:i w:val="0"/>
            <w:noProof/>
            <w:webHidden/>
          </w:rPr>
          <w:fldChar w:fldCharType="end"/>
        </w:r>
      </w:hyperlink>
    </w:p>
    <w:p w14:paraId="58584CE7" w14:textId="402E7D4F" w:rsidR="00974AFC" w:rsidRPr="00974AFC" w:rsidRDefault="00AC6018">
      <w:pPr>
        <w:pStyle w:val="TOC4"/>
        <w:rPr>
          <w:rFonts w:eastAsiaTheme="minorEastAsia"/>
          <w:sz w:val="20"/>
          <w:szCs w:val="20"/>
        </w:rPr>
      </w:pPr>
      <w:hyperlink w:anchor="_Toc70591581" w:history="1">
        <w:r w:rsidR="00974AFC" w:rsidRPr="00974AFC">
          <w:rPr>
            <w:rStyle w:val="Hyperlink"/>
            <w:sz w:val="20"/>
            <w:szCs w:val="20"/>
            <w:u w:val="none"/>
          </w:rPr>
          <w:t>16.2.1.1</w:t>
        </w:r>
        <w:r w:rsidR="00974AFC" w:rsidRPr="00974AFC">
          <w:rPr>
            <w:rFonts w:eastAsiaTheme="minorEastAsia"/>
            <w:sz w:val="20"/>
            <w:szCs w:val="20"/>
          </w:rPr>
          <w:tab/>
        </w:r>
        <w:r w:rsidR="00974AFC" w:rsidRPr="00974AFC">
          <w:rPr>
            <w:rStyle w:val="Hyperlink"/>
            <w:sz w:val="20"/>
            <w:szCs w:val="20"/>
            <w:u w:val="none"/>
          </w:rPr>
          <w:t>Data Agent-Only Qualified Scheduling Entities</w:t>
        </w:r>
        <w:r w:rsidR="00974AFC" w:rsidRPr="00974AFC">
          <w:rPr>
            <w:webHidden/>
            <w:sz w:val="20"/>
            <w:szCs w:val="20"/>
          </w:rPr>
          <w:tab/>
        </w:r>
        <w:r w:rsidR="00974AFC" w:rsidRPr="00974AFC">
          <w:rPr>
            <w:webHidden/>
            <w:sz w:val="20"/>
            <w:szCs w:val="20"/>
          </w:rPr>
          <w:fldChar w:fldCharType="begin"/>
        </w:r>
        <w:r w:rsidR="00974AFC" w:rsidRPr="00974AFC">
          <w:rPr>
            <w:webHidden/>
            <w:sz w:val="20"/>
            <w:szCs w:val="20"/>
          </w:rPr>
          <w:instrText xml:space="preserve"> PAGEREF _Toc70591581 \h </w:instrText>
        </w:r>
        <w:r w:rsidR="00974AFC" w:rsidRPr="00974AFC">
          <w:rPr>
            <w:webHidden/>
            <w:sz w:val="20"/>
            <w:szCs w:val="20"/>
          </w:rPr>
        </w:r>
        <w:r w:rsidR="00974AFC" w:rsidRPr="00974AFC">
          <w:rPr>
            <w:webHidden/>
            <w:sz w:val="20"/>
            <w:szCs w:val="20"/>
          </w:rPr>
          <w:fldChar w:fldCharType="separate"/>
        </w:r>
        <w:r>
          <w:rPr>
            <w:webHidden/>
            <w:sz w:val="20"/>
            <w:szCs w:val="20"/>
          </w:rPr>
          <w:t>16-5</w:t>
        </w:r>
        <w:r w:rsidR="00974AFC" w:rsidRPr="00974AFC">
          <w:rPr>
            <w:webHidden/>
            <w:sz w:val="20"/>
            <w:szCs w:val="20"/>
          </w:rPr>
          <w:fldChar w:fldCharType="end"/>
        </w:r>
      </w:hyperlink>
    </w:p>
    <w:p w14:paraId="4E8B1900" w14:textId="6AEC2F70" w:rsidR="00974AFC" w:rsidRPr="00974AFC" w:rsidRDefault="00AC6018">
      <w:pPr>
        <w:pStyle w:val="TOC3"/>
        <w:rPr>
          <w:rFonts w:eastAsiaTheme="minorEastAsia"/>
          <w:i w:val="0"/>
          <w:iCs w:val="0"/>
          <w:noProof/>
        </w:rPr>
      </w:pPr>
      <w:hyperlink w:anchor="_Toc70591582" w:history="1">
        <w:r w:rsidR="00974AFC" w:rsidRPr="00974AFC">
          <w:rPr>
            <w:rStyle w:val="Hyperlink"/>
            <w:i w:val="0"/>
            <w:noProof/>
            <w:u w:val="none"/>
          </w:rPr>
          <w:t>16.2.2</w:t>
        </w:r>
        <w:r w:rsidR="00974AFC" w:rsidRPr="00974AFC">
          <w:rPr>
            <w:rFonts w:eastAsiaTheme="minorEastAsia"/>
            <w:i w:val="0"/>
            <w:iCs w:val="0"/>
            <w:noProof/>
          </w:rPr>
          <w:tab/>
        </w:r>
        <w:r w:rsidR="00974AFC" w:rsidRPr="00974AFC">
          <w:rPr>
            <w:rStyle w:val="Hyperlink"/>
            <w:i w:val="0"/>
            <w:noProof/>
            <w:u w:val="none"/>
          </w:rPr>
          <w:t>QSE Application Process</w:t>
        </w:r>
        <w:r w:rsidR="00974AFC" w:rsidRPr="00974AFC">
          <w:rPr>
            <w:i w:val="0"/>
            <w:noProof/>
            <w:webHidden/>
          </w:rPr>
          <w:tab/>
        </w:r>
        <w:r w:rsidR="00974AFC" w:rsidRPr="00974AFC">
          <w:rPr>
            <w:i w:val="0"/>
            <w:noProof/>
            <w:webHidden/>
          </w:rPr>
          <w:fldChar w:fldCharType="begin"/>
        </w:r>
        <w:r w:rsidR="00974AFC" w:rsidRPr="00974AFC">
          <w:rPr>
            <w:i w:val="0"/>
            <w:noProof/>
            <w:webHidden/>
          </w:rPr>
          <w:instrText xml:space="preserve"> PAGEREF _Toc70591582 \h </w:instrText>
        </w:r>
        <w:r w:rsidR="00974AFC" w:rsidRPr="00974AFC">
          <w:rPr>
            <w:i w:val="0"/>
            <w:noProof/>
            <w:webHidden/>
          </w:rPr>
        </w:r>
        <w:r w:rsidR="00974AFC" w:rsidRPr="00974AFC">
          <w:rPr>
            <w:i w:val="0"/>
            <w:noProof/>
            <w:webHidden/>
          </w:rPr>
          <w:fldChar w:fldCharType="separate"/>
        </w:r>
        <w:r>
          <w:rPr>
            <w:i w:val="0"/>
            <w:noProof/>
            <w:webHidden/>
          </w:rPr>
          <w:t>16-7</w:t>
        </w:r>
        <w:r w:rsidR="00974AFC" w:rsidRPr="00974AFC">
          <w:rPr>
            <w:i w:val="0"/>
            <w:noProof/>
            <w:webHidden/>
          </w:rPr>
          <w:fldChar w:fldCharType="end"/>
        </w:r>
      </w:hyperlink>
    </w:p>
    <w:p w14:paraId="494B0218" w14:textId="6D6B71AE" w:rsidR="00974AFC" w:rsidRPr="00974AFC" w:rsidRDefault="00AC6018">
      <w:pPr>
        <w:pStyle w:val="TOC4"/>
        <w:rPr>
          <w:rFonts w:eastAsiaTheme="minorEastAsia"/>
          <w:sz w:val="20"/>
          <w:szCs w:val="20"/>
        </w:rPr>
      </w:pPr>
      <w:hyperlink w:anchor="_Toc70591583" w:history="1">
        <w:r w:rsidR="00974AFC" w:rsidRPr="00974AFC">
          <w:rPr>
            <w:rStyle w:val="Hyperlink"/>
            <w:sz w:val="20"/>
            <w:szCs w:val="20"/>
            <w:u w:val="none"/>
          </w:rPr>
          <w:t>16.2.2.1</w:t>
        </w:r>
        <w:r w:rsidR="00974AFC" w:rsidRPr="00974AFC">
          <w:rPr>
            <w:rFonts w:eastAsiaTheme="minorEastAsia"/>
            <w:sz w:val="20"/>
            <w:szCs w:val="20"/>
          </w:rPr>
          <w:tab/>
        </w:r>
        <w:r w:rsidR="00974AFC" w:rsidRPr="00974AFC">
          <w:rPr>
            <w:rStyle w:val="Hyperlink"/>
            <w:sz w:val="20"/>
            <w:szCs w:val="20"/>
            <w:u w:val="none"/>
          </w:rPr>
          <w:t>Notice of Receipt of Qualified Scheduling Entity Application</w:t>
        </w:r>
        <w:r w:rsidR="00974AFC" w:rsidRPr="00974AFC">
          <w:rPr>
            <w:webHidden/>
            <w:sz w:val="20"/>
            <w:szCs w:val="20"/>
          </w:rPr>
          <w:tab/>
        </w:r>
        <w:r w:rsidR="00974AFC" w:rsidRPr="00974AFC">
          <w:rPr>
            <w:webHidden/>
            <w:sz w:val="20"/>
            <w:szCs w:val="20"/>
          </w:rPr>
          <w:fldChar w:fldCharType="begin"/>
        </w:r>
        <w:r w:rsidR="00974AFC" w:rsidRPr="00974AFC">
          <w:rPr>
            <w:webHidden/>
            <w:sz w:val="20"/>
            <w:szCs w:val="20"/>
          </w:rPr>
          <w:instrText xml:space="preserve"> PAGEREF _Toc70591583 \h </w:instrText>
        </w:r>
        <w:r w:rsidR="00974AFC" w:rsidRPr="00974AFC">
          <w:rPr>
            <w:webHidden/>
            <w:sz w:val="20"/>
            <w:szCs w:val="20"/>
          </w:rPr>
        </w:r>
        <w:r w:rsidR="00974AFC" w:rsidRPr="00974AFC">
          <w:rPr>
            <w:webHidden/>
            <w:sz w:val="20"/>
            <w:szCs w:val="20"/>
          </w:rPr>
          <w:fldChar w:fldCharType="separate"/>
        </w:r>
        <w:r>
          <w:rPr>
            <w:webHidden/>
            <w:sz w:val="20"/>
            <w:szCs w:val="20"/>
          </w:rPr>
          <w:t>16-7</w:t>
        </w:r>
        <w:r w:rsidR="00974AFC" w:rsidRPr="00974AFC">
          <w:rPr>
            <w:webHidden/>
            <w:sz w:val="20"/>
            <w:szCs w:val="20"/>
          </w:rPr>
          <w:fldChar w:fldCharType="end"/>
        </w:r>
      </w:hyperlink>
    </w:p>
    <w:p w14:paraId="5D9C3E8A" w14:textId="772AB0BA" w:rsidR="00974AFC" w:rsidRPr="00974AFC" w:rsidRDefault="00AC6018">
      <w:pPr>
        <w:pStyle w:val="TOC4"/>
        <w:rPr>
          <w:rFonts w:eastAsiaTheme="minorEastAsia"/>
          <w:sz w:val="20"/>
          <w:szCs w:val="20"/>
        </w:rPr>
      </w:pPr>
      <w:hyperlink w:anchor="_Toc70591584" w:history="1">
        <w:r w:rsidR="00974AFC" w:rsidRPr="00974AFC">
          <w:rPr>
            <w:rStyle w:val="Hyperlink"/>
            <w:sz w:val="20"/>
            <w:szCs w:val="20"/>
            <w:u w:val="none"/>
          </w:rPr>
          <w:t>16.2.2.2</w:t>
        </w:r>
        <w:r w:rsidR="00974AFC" w:rsidRPr="00974AFC">
          <w:rPr>
            <w:rFonts w:eastAsiaTheme="minorEastAsia"/>
            <w:sz w:val="20"/>
            <w:szCs w:val="20"/>
          </w:rPr>
          <w:tab/>
        </w:r>
        <w:r w:rsidR="00974AFC" w:rsidRPr="00974AFC">
          <w:rPr>
            <w:rStyle w:val="Hyperlink"/>
            <w:sz w:val="20"/>
            <w:szCs w:val="20"/>
            <w:u w:val="none"/>
          </w:rPr>
          <w:t>Incomplete Applications</w:t>
        </w:r>
        <w:r w:rsidR="00974AFC" w:rsidRPr="00974AFC">
          <w:rPr>
            <w:webHidden/>
            <w:sz w:val="20"/>
            <w:szCs w:val="20"/>
          </w:rPr>
          <w:tab/>
        </w:r>
        <w:r w:rsidR="00974AFC" w:rsidRPr="00974AFC">
          <w:rPr>
            <w:webHidden/>
            <w:sz w:val="20"/>
            <w:szCs w:val="20"/>
          </w:rPr>
          <w:fldChar w:fldCharType="begin"/>
        </w:r>
        <w:r w:rsidR="00974AFC" w:rsidRPr="00974AFC">
          <w:rPr>
            <w:webHidden/>
            <w:sz w:val="20"/>
            <w:szCs w:val="20"/>
          </w:rPr>
          <w:instrText xml:space="preserve"> PAGEREF _Toc70591584 \h </w:instrText>
        </w:r>
        <w:r w:rsidR="00974AFC" w:rsidRPr="00974AFC">
          <w:rPr>
            <w:webHidden/>
            <w:sz w:val="20"/>
            <w:szCs w:val="20"/>
          </w:rPr>
        </w:r>
        <w:r w:rsidR="00974AFC" w:rsidRPr="00974AFC">
          <w:rPr>
            <w:webHidden/>
            <w:sz w:val="20"/>
            <w:szCs w:val="20"/>
          </w:rPr>
          <w:fldChar w:fldCharType="separate"/>
        </w:r>
        <w:r>
          <w:rPr>
            <w:webHidden/>
            <w:sz w:val="20"/>
            <w:szCs w:val="20"/>
          </w:rPr>
          <w:t>16-7</w:t>
        </w:r>
        <w:r w:rsidR="00974AFC" w:rsidRPr="00974AFC">
          <w:rPr>
            <w:webHidden/>
            <w:sz w:val="20"/>
            <w:szCs w:val="20"/>
          </w:rPr>
          <w:fldChar w:fldCharType="end"/>
        </w:r>
      </w:hyperlink>
    </w:p>
    <w:p w14:paraId="4E181C95" w14:textId="4156215A" w:rsidR="00974AFC" w:rsidRPr="00974AFC" w:rsidRDefault="00AC6018">
      <w:pPr>
        <w:pStyle w:val="TOC4"/>
        <w:rPr>
          <w:rFonts w:eastAsiaTheme="minorEastAsia"/>
          <w:sz w:val="20"/>
          <w:szCs w:val="20"/>
        </w:rPr>
      </w:pPr>
      <w:hyperlink w:anchor="_Toc70591585" w:history="1">
        <w:r w:rsidR="00974AFC" w:rsidRPr="00974AFC">
          <w:rPr>
            <w:rStyle w:val="Hyperlink"/>
            <w:sz w:val="20"/>
            <w:szCs w:val="20"/>
            <w:u w:val="none"/>
          </w:rPr>
          <w:t>16.2.2.3</w:t>
        </w:r>
        <w:r w:rsidR="00974AFC" w:rsidRPr="00974AFC">
          <w:rPr>
            <w:rFonts w:eastAsiaTheme="minorEastAsia"/>
            <w:sz w:val="20"/>
            <w:szCs w:val="20"/>
          </w:rPr>
          <w:tab/>
        </w:r>
        <w:r w:rsidR="00974AFC" w:rsidRPr="00974AFC">
          <w:rPr>
            <w:rStyle w:val="Hyperlink"/>
            <w:sz w:val="20"/>
            <w:szCs w:val="20"/>
            <w:u w:val="none"/>
          </w:rPr>
          <w:t>ERCOT Approval or Rejection of Qualified Scheduling Entity Application</w:t>
        </w:r>
        <w:r w:rsidR="00974AFC" w:rsidRPr="00974AFC">
          <w:rPr>
            <w:webHidden/>
            <w:sz w:val="20"/>
            <w:szCs w:val="20"/>
          </w:rPr>
          <w:tab/>
        </w:r>
        <w:r w:rsidR="00974AFC" w:rsidRPr="00974AFC">
          <w:rPr>
            <w:webHidden/>
            <w:sz w:val="20"/>
            <w:szCs w:val="20"/>
          </w:rPr>
          <w:fldChar w:fldCharType="begin"/>
        </w:r>
        <w:r w:rsidR="00974AFC" w:rsidRPr="00974AFC">
          <w:rPr>
            <w:webHidden/>
            <w:sz w:val="20"/>
            <w:szCs w:val="20"/>
          </w:rPr>
          <w:instrText xml:space="preserve"> PAGEREF _Toc70591585 \h </w:instrText>
        </w:r>
        <w:r w:rsidR="00974AFC" w:rsidRPr="00974AFC">
          <w:rPr>
            <w:webHidden/>
            <w:sz w:val="20"/>
            <w:szCs w:val="20"/>
          </w:rPr>
        </w:r>
        <w:r w:rsidR="00974AFC" w:rsidRPr="00974AFC">
          <w:rPr>
            <w:webHidden/>
            <w:sz w:val="20"/>
            <w:szCs w:val="20"/>
          </w:rPr>
          <w:fldChar w:fldCharType="separate"/>
        </w:r>
        <w:r>
          <w:rPr>
            <w:webHidden/>
            <w:sz w:val="20"/>
            <w:szCs w:val="20"/>
          </w:rPr>
          <w:t>16-8</w:t>
        </w:r>
        <w:r w:rsidR="00974AFC" w:rsidRPr="00974AFC">
          <w:rPr>
            <w:webHidden/>
            <w:sz w:val="20"/>
            <w:szCs w:val="20"/>
          </w:rPr>
          <w:fldChar w:fldCharType="end"/>
        </w:r>
      </w:hyperlink>
    </w:p>
    <w:p w14:paraId="0E0D61EA" w14:textId="0877B830" w:rsidR="00974AFC" w:rsidRPr="00974AFC" w:rsidRDefault="00AC6018">
      <w:pPr>
        <w:pStyle w:val="TOC3"/>
        <w:rPr>
          <w:rFonts w:eastAsiaTheme="minorEastAsia"/>
          <w:i w:val="0"/>
          <w:iCs w:val="0"/>
          <w:noProof/>
        </w:rPr>
      </w:pPr>
      <w:hyperlink w:anchor="_Toc70591586" w:history="1">
        <w:r w:rsidR="00974AFC" w:rsidRPr="00974AFC">
          <w:rPr>
            <w:rStyle w:val="Hyperlink"/>
            <w:i w:val="0"/>
            <w:noProof/>
            <w:u w:val="none"/>
          </w:rPr>
          <w:t>16.2.3</w:t>
        </w:r>
        <w:r w:rsidR="00974AFC" w:rsidRPr="00974AFC">
          <w:rPr>
            <w:rFonts w:eastAsiaTheme="minorEastAsia"/>
            <w:i w:val="0"/>
            <w:iCs w:val="0"/>
            <w:noProof/>
          </w:rPr>
          <w:tab/>
        </w:r>
        <w:r w:rsidR="00974AFC" w:rsidRPr="00974AFC">
          <w:rPr>
            <w:rStyle w:val="Hyperlink"/>
            <w:i w:val="0"/>
            <w:noProof/>
            <w:u w:val="none"/>
          </w:rPr>
          <w:t>Remaining Steps for Qualified Scheduling Entity Registration</w:t>
        </w:r>
        <w:r w:rsidR="00974AFC" w:rsidRPr="00974AFC">
          <w:rPr>
            <w:i w:val="0"/>
            <w:noProof/>
            <w:webHidden/>
          </w:rPr>
          <w:tab/>
        </w:r>
        <w:r w:rsidR="00974AFC" w:rsidRPr="00974AFC">
          <w:rPr>
            <w:i w:val="0"/>
            <w:noProof/>
            <w:webHidden/>
          </w:rPr>
          <w:fldChar w:fldCharType="begin"/>
        </w:r>
        <w:r w:rsidR="00974AFC" w:rsidRPr="00974AFC">
          <w:rPr>
            <w:i w:val="0"/>
            <w:noProof/>
            <w:webHidden/>
          </w:rPr>
          <w:instrText xml:space="preserve"> PAGEREF _Toc70591586 \h </w:instrText>
        </w:r>
        <w:r w:rsidR="00974AFC" w:rsidRPr="00974AFC">
          <w:rPr>
            <w:i w:val="0"/>
            <w:noProof/>
            <w:webHidden/>
          </w:rPr>
        </w:r>
        <w:r w:rsidR="00974AFC" w:rsidRPr="00974AFC">
          <w:rPr>
            <w:i w:val="0"/>
            <w:noProof/>
            <w:webHidden/>
          </w:rPr>
          <w:fldChar w:fldCharType="separate"/>
        </w:r>
        <w:r>
          <w:rPr>
            <w:i w:val="0"/>
            <w:noProof/>
            <w:webHidden/>
          </w:rPr>
          <w:t>16-9</w:t>
        </w:r>
        <w:r w:rsidR="00974AFC" w:rsidRPr="00974AFC">
          <w:rPr>
            <w:i w:val="0"/>
            <w:noProof/>
            <w:webHidden/>
          </w:rPr>
          <w:fldChar w:fldCharType="end"/>
        </w:r>
      </w:hyperlink>
    </w:p>
    <w:p w14:paraId="3272030F" w14:textId="2E1C4463" w:rsidR="00974AFC" w:rsidRPr="00974AFC" w:rsidRDefault="00AC6018">
      <w:pPr>
        <w:pStyle w:val="TOC4"/>
        <w:rPr>
          <w:rFonts w:eastAsiaTheme="minorEastAsia"/>
          <w:sz w:val="20"/>
          <w:szCs w:val="20"/>
        </w:rPr>
      </w:pPr>
      <w:hyperlink w:anchor="_Toc70591587" w:history="1">
        <w:r w:rsidR="00974AFC" w:rsidRPr="00974AFC">
          <w:rPr>
            <w:rStyle w:val="Hyperlink"/>
            <w:sz w:val="20"/>
            <w:szCs w:val="20"/>
            <w:u w:val="none"/>
          </w:rPr>
          <w:t>16.2.3.1</w:t>
        </w:r>
        <w:r w:rsidR="00974AFC" w:rsidRPr="00974AFC">
          <w:rPr>
            <w:rFonts w:eastAsiaTheme="minorEastAsia"/>
            <w:sz w:val="20"/>
            <w:szCs w:val="20"/>
          </w:rPr>
          <w:tab/>
        </w:r>
        <w:r w:rsidR="00974AFC" w:rsidRPr="00974AFC">
          <w:rPr>
            <w:rStyle w:val="Hyperlink"/>
            <w:sz w:val="20"/>
            <w:szCs w:val="20"/>
            <w:u w:val="none"/>
          </w:rPr>
          <w:t>Process to Gain Approval to Follow DSR Load</w:t>
        </w:r>
        <w:r w:rsidR="00974AFC" w:rsidRPr="00974AFC">
          <w:rPr>
            <w:webHidden/>
            <w:sz w:val="20"/>
            <w:szCs w:val="20"/>
          </w:rPr>
          <w:tab/>
        </w:r>
        <w:r w:rsidR="00974AFC" w:rsidRPr="00974AFC">
          <w:rPr>
            <w:webHidden/>
            <w:sz w:val="20"/>
            <w:szCs w:val="20"/>
          </w:rPr>
          <w:fldChar w:fldCharType="begin"/>
        </w:r>
        <w:r w:rsidR="00974AFC" w:rsidRPr="00974AFC">
          <w:rPr>
            <w:webHidden/>
            <w:sz w:val="20"/>
            <w:szCs w:val="20"/>
          </w:rPr>
          <w:instrText xml:space="preserve"> PAGEREF _Toc70591587 \h </w:instrText>
        </w:r>
        <w:r w:rsidR="00974AFC" w:rsidRPr="00974AFC">
          <w:rPr>
            <w:webHidden/>
            <w:sz w:val="20"/>
            <w:szCs w:val="20"/>
          </w:rPr>
        </w:r>
        <w:r w:rsidR="00974AFC" w:rsidRPr="00974AFC">
          <w:rPr>
            <w:webHidden/>
            <w:sz w:val="20"/>
            <w:szCs w:val="20"/>
          </w:rPr>
          <w:fldChar w:fldCharType="separate"/>
        </w:r>
        <w:r>
          <w:rPr>
            <w:webHidden/>
            <w:sz w:val="20"/>
            <w:szCs w:val="20"/>
          </w:rPr>
          <w:t>16-10</w:t>
        </w:r>
        <w:r w:rsidR="00974AFC" w:rsidRPr="00974AFC">
          <w:rPr>
            <w:webHidden/>
            <w:sz w:val="20"/>
            <w:szCs w:val="20"/>
          </w:rPr>
          <w:fldChar w:fldCharType="end"/>
        </w:r>
      </w:hyperlink>
    </w:p>
    <w:p w14:paraId="5AEC2100" w14:textId="63F0F2E6" w:rsidR="00974AFC" w:rsidRPr="00974AFC" w:rsidRDefault="00AC6018">
      <w:pPr>
        <w:pStyle w:val="TOC4"/>
        <w:rPr>
          <w:rFonts w:eastAsiaTheme="minorEastAsia"/>
          <w:sz w:val="20"/>
          <w:szCs w:val="20"/>
        </w:rPr>
      </w:pPr>
      <w:hyperlink w:anchor="_Toc70591588" w:history="1">
        <w:r w:rsidR="00974AFC" w:rsidRPr="00974AFC">
          <w:rPr>
            <w:rStyle w:val="Hyperlink"/>
            <w:sz w:val="20"/>
            <w:szCs w:val="20"/>
            <w:u w:val="none"/>
          </w:rPr>
          <w:t>16.2.3.2</w:t>
        </w:r>
        <w:r w:rsidR="00974AFC" w:rsidRPr="00974AFC">
          <w:rPr>
            <w:rFonts w:eastAsiaTheme="minorEastAsia"/>
            <w:sz w:val="20"/>
            <w:szCs w:val="20"/>
          </w:rPr>
          <w:tab/>
        </w:r>
        <w:r w:rsidR="00974AFC" w:rsidRPr="00974AFC">
          <w:rPr>
            <w:rStyle w:val="Hyperlink"/>
            <w:sz w:val="20"/>
            <w:szCs w:val="20"/>
            <w:u w:val="none"/>
          </w:rPr>
          <w:t>Maintaining and Updating QSE Information</w:t>
        </w:r>
        <w:r w:rsidR="00974AFC" w:rsidRPr="00974AFC">
          <w:rPr>
            <w:webHidden/>
            <w:sz w:val="20"/>
            <w:szCs w:val="20"/>
          </w:rPr>
          <w:tab/>
        </w:r>
        <w:r w:rsidR="00974AFC" w:rsidRPr="00974AFC">
          <w:rPr>
            <w:webHidden/>
            <w:sz w:val="20"/>
            <w:szCs w:val="20"/>
          </w:rPr>
          <w:fldChar w:fldCharType="begin"/>
        </w:r>
        <w:r w:rsidR="00974AFC" w:rsidRPr="00974AFC">
          <w:rPr>
            <w:webHidden/>
            <w:sz w:val="20"/>
            <w:szCs w:val="20"/>
          </w:rPr>
          <w:instrText xml:space="preserve"> PAGEREF _Toc70591588 \h </w:instrText>
        </w:r>
        <w:r w:rsidR="00974AFC" w:rsidRPr="00974AFC">
          <w:rPr>
            <w:webHidden/>
            <w:sz w:val="20"/>
            <w:szCs w:val="20"/>
          </w:rPr>
        </w:r>
        <w:r w:rsidR="00974AFC" w:rsidRPr="00974AFC">
          <w:rPr>
            <w:webHidden/>
            <w:sz w:val="20"/>
            <w:szCs w:val="20"/>
          </w:rPr>
          <w:fldChar w:fldCharType="separate"/>
        </w:r>
        <w:r>
          <w:rPr>
            <w:webHidden/>
            <w:sz w:val="20"/>
            <w:szCs w:val="20"/>
          </w:rPr>
          <w:t>16-11</w:t>
        </w:r>
        <w:r w:rsidR="00974AFC" w:rsidRPr="00974AFC">
          <w:rPr>
            <w:webHidden/>
            <w:sz w:val="20"/>
            <w:szCs w:val="20"/>
          </w:rPr>
          <w:fldChar w:fldCharType="end"/>
        </w:r>
      </w:hyperlink>
    </w:p>
    <w:p w14:paraId="2FBAF2F0" w14:textId="72E8839E" w:rsidR="00974AFC" w:rsidRPr="00974AFC" w:rsidRDefault="00AC6018">
      <w:pPr>
        <w:pStyle w:val="TOC4"/>
        <w:rPr>
          <w:rFonts w:eastAsiaTheme="minorEastAsia"/>
          <w:sz w:val="20"/>
          <w:szCs w:val="20"/>
        </w:rPr>
      </w:pPr>
      <w:hyperlink w:anchor="_Toc70591589" w:history="1">
        <w:r w:rsidR="00974AFC" w:rsidRPr="00974AFC">
          <w:rPr>
            <w:rStyle w:val="Hyperlink"/>
            <w:sz w:val="20"/>
            <w:szCs w:val="20"/>
            <w:u w:val="none"/>
          </w:rPr>
          <w:t>16.2.3.3</w:t>
        </w:r>
        <w:r w:rsidR="00974AFC" w:rsidRPr="00974AFC">
          <w:rPr>
            <w:rFonts w:eastAsiaTheme="minorEastAsia"/>
            <w:sz w:val="20"/>
            <w:szCs w:val="20"/>
          </w:rPr>
          <w:tab/>
        </w:r>
        <w:r w:rsidR="00974AFC" w:rsidRPr="00974AFC">
          <w:rPr>
            <w:rStyle w:val="Hyperlink"/>
            <w:sz w:val="20"/>
            <w:szCs w:val="20"/>
            <w:u w:val="none"/>
          </w:rPr>
          <w:t>Qualified Scheduling Entity Service Termination</w:t>
        </w:r>
        <w:r w:rsidR="00974AFC" w:rsidRPr="00974AFC">
          <w:rPr>
            <w:webHidden/>
            <w:sz w:val="20"/>
            <w:szCs w:val="20"/>
          </w:rPr>
          <w:tab/>
        </w:r>
        <w:r w:rsidR="00974AFC" w:rsidRPr="00974AFC">
          <w:rPr>
            <w:webHidden/>
            <w:sz w:val="20"/>
            <w:szCs w:val="20"/>
          </w:rPr>
          <w:fldChar w:fldCharType="begin"/>
        </w:r>
        <w:r w:rsidR="00974AFC" w:rsidRPr="00974AFC">
          <w:rPr>
            <w:webHidden/>
            <w:sz w:val="20"/>
            <w:szCs w:val="20"/>
          </w:rPr>
          <w:instrText xml:space="preserve"> PAGEREF _Toc70591589 \h </w:instrText>
        </w:r>
        <w:r w:rsidR="00974AFC" w:rsidRPr="00974AFC">
          <w:rPr>
            <w:webHidden/>
            <w:sz w:val="20"/>
            <w:szCs w:val="20"/>
          </w:rPr>
        </w:r>
        <w:r w:rsidR="00974AFC" w:rsidRPr="00974AFC">
          <w:rPr>
            <w:webHidden/>
            <w:sz w:val="20"/>
            <w:szCs w:val="20"/>
          </w:rPr>
          <w:fldChar w:fldCharType="separate"/>
        </w:r>
        <w:r>
          <w:rPr>
            <w:webHidden/>
            <w:sz w:val="20"/>
            <w:szCs w:val="20"/>
          </w:rPr>
          <w:t>16-11</w:t>
        </w:r>
        <w:r w:rsidR="00974AFC" w:rsidRPr="00974AFC">
          <w:rPr>
            <w:webHidden/>
            <w:sz w:val="20"/>
            <w:szCs w:val="20"/>
          </w:rPr>
          <w:fldChar w:fldCharType="end"/>
        </w:r>
      </w:hyperlink>
    </w:p>
    <w:p w14:paraId="3206B748" w14:textId="1A2089AF" w:rsidR="00974AFC" w:rsidRPr="00974AFC" w:rsidRDefault="00AC6018">
      <w:pPr>
        <w:pStyle w:val="TOC3"/>
        <w:rPr>
          <w:rFonts w:eastAsiaTheme="minorEastAsia"/>
          <w:i w:val="0"/>
          <w:iCs w:val="0"/>
          <w:noProof/>
        </w:rPr>
      </w:pPr>
      <w:hyperlink w:anchor="_Toc70591590" w:history="1">
        <w:r w:rsidR="00974AFC" w:rsidRPr="00974AFC">
          <w:rPr>
            <w:rStyle w:val="Hyperlink"/>
            <w:i w:val="0"/>
            <w:noProof/>
            <w:u w:val="none"/>
          </w:rPr>
          <w:t>16.2.4</w:t>
        </w:r>
        <w:r w:rsidR="00974AFC" w:rsidRPr="00974AFC">
          <w:rPr>
            <w:rFonts w:eastAsiaTheme="minorEastAsia"/>
            <w:i w:val="0"/>
            <w:iCs w:val="0"/>
            <w:noProof/>
          </w:rPr>
          <w:tab/>
        </w:r>
        <w:r w:rsidR="00974AFC" w:rsidRPr="00974AFC">
          <w:rPr>
            <w:rStyle w:val="Hyperlink"/>
            <w:i w:val="0"/>
            <w:noProof/>
            <w:u w:val="none"/>
          </w:rPr>
          <w:t>Posting of Qualified Scheduling Entity List</w:t>
        </w:r>
        <w:r w:rsidR="00974AFC" w:rsidRPr="00974AFC">
          <w:rPr>
            <w:i w:val="0"/>
            <w:noProof/>
            <w:webHidden/>
          </w:rPr>
          <w:tab/>
        </w:r>
        <w:r w:rsidR="00974AFC" w:rsidRPr="00974AFC">
          <w:rPr>
            <w:i w:val="0"/>
            <w:noProof/>
            <w:webHidden/>
          </w:rPr>
          <w:fldChar w:fldCharType="begin"/>
        </w:r>
        <w:r w:rsidR="00974AFC" w:rsidRPr="00974AFC">
          <w:rPr>
            <w:i w:val="0"/>
            <w:noProof/>
            <w:webHidden/>
          </w:rPr>
          <w:instrText xml:space="preserve"> PAGEREF _Toc70591590 \h </w:instrText>
        </w:r>
        <w:r w:rsidR="00974AFC" w:rsidRPr="00974AFC">
          <w:rPr>
            <w:i w:val="0"/>
            <w:noProof/>
            <w:webHidden/>
          </w:rPr>
        </w:r>
        <w:r w:rsidR="00974AFC" w:rsidRPr="00974AFC">
          <w:rPr>
            <w:i w:val="0"/>
            <w:noProof/>
            <w:webHidden/>
          </w:rPr>
          <w:fldChar w:fldCharType="separate"/>
        </w:r>
        <w:r>
          <w:rPr>
            <w:i w:val="0"/>
            <w:noProof/>
            <w:webHidden/>
          </w:rPr>
          <w:t>16-12</w:t>
        </w:r>
        <w:r w:rsidR="00974AFC" w:rsidRPr="00974AFC">
          <w:rPr>
            <w:i w:val="0"/>
            <w:noProof/>
            <w:webHidden/>
          </w:rPr>
          <w:fldChar w:fldCharType="end"/>
        </w:r>
      </w:hyperlink>
    </w:p>
    <w:p w14:paraId="46B213AE" w14:textId="702D335C" w:rsidR="00974AFC" w:rsidRPr="00974AFC" w:rsidRDefault="00AC6018">
      <w:pPr>
        <w:pStyle w:val="TOC3"/>
        <w:rPr>
          <w:rFonts w:eastAsiaTheme="minorEastAsia"/>
          <w:i w:val="0"/>
          <w:iCs w:val="0"/>
          <w:noProof/>
        </w:rPr>
      </w:pPr>
      <w:hyperlink w:anchor="_Toc70591591" w:history="1">
        <w:r w:rsidR="00974AFC" w:rsidRPr="00974AFC">
          <w:rPr>
            <w:rStyle w:val="Hyperlink"/>
            <w:i w:val="0"/>
            <w:noProof/>
            <w:u w:val="none"/>
          </w:rPr>
          <w:t>16.2.5</w:t>
        </w:r>
        <w:r w:rsidR="00974AFC" w:rsidRPr="00974AFC">
          <w:rPr>
            <w:rFonts w:eastAsiaTheme="minorEastAsia"/>
            <w:i w:val="0"/>
            <w:iCs w:val="0"/>
            <w:noProof/>
          </w:rPr>
          <w:tab/>
        </w:r>
        <w:r w:rsidR="00974AFC" w:rsidRPr="00974AFC">
          <w:rPr>
            <w:rStyle w:val="Hyperlink"/>
            <w:i w:val="0"/>
            <w:noProof/>
            <w:u w:val="none"/>
          </w:rPr>
          <w:t>Suspended or Terminated Qualified Scheduling Entity – Notification to LSEs and Resource Entities Represented</w:t>
        </w:r>
        <w:r w:rsidR="00974AFC" w:rsidRPr="00974AFC">
          <w:rPr>
            <w:i w:val="0"/>
            <w:noProof/>
            <w:webHidden/>
          </w:rPr>
          <w:tab/>
        </w:r>
        <w:r w:rsidR="00974AFC" w:rsidRPr="00974AFC">
          <w:rPr>
            <w:i w:val="0"/>
            <w:noProof/>
            <w:webHidden/>
          </w:rPr>
          <w:fldChar w:fldCharType="begin"/>
        </w:r>
        <w:r w:rsidR="00974AFC" w:rsidRPr="00974AFC">
          <w:rPr>
            <w:i w:val="0"/>
            <w:noProof/>
            <w:webHidden/>
          </w:rPr>
          <w:instrText xml:space="preserve"> PAGEREF _Toc70591591 \h </w:instrText>
        </w:r>
        <w:r w:rsidR="00974AFC" w:rsidRPr="00974AFC">
          <w:rPr>
            <w:i w:val="0"/>
            <w:noProof/>
            <w:webHidden/>
          </w:rPr>
        </w:r>
        <w:r w:rsidR="00974AFC" w:rsidRPr="00974AFC">
          <w:rPr>
            <w:i w:val="0"/>
            <w:noProof/>
            <w:webHidden/>
          </w:rPr>
          <w:fldChar w:fldCharType="separate"/>
        </w:r>
        <w:r>
          <w:rPr>
            <w:i w:val="0"/>
            <w:noProof/>
            <w:webHidden/>
          </w:rPr>
          <w:t>16-12</w:t>
        </w:r>
        <w:r w:rsidR="00974AFC" w:rsidRPr="00974AFC">
          <w:rPr>
            <w:i w:val="0"/>
            <w:noProof/>
            <w:webHidden/>
          </w:rPr>
          <w:fldChar w:fldCharType="end"/>
        </w:r>
      </w:hyperlink>
    </w:p>
    <w:p w14:paraId="38A9E1D6" w14:textId="2A752ECF" w:rsidR="00974AFC" w:rsidRPr="00974AFC" w:rsidRDefault="00AC6018">
      <w:pPr>
        <w:pStyle w:val="TOC3"/>
        <w:rPr>
          <w:rFonts w:eastAsiaTheme="minorEastAsia"/>
          <w:i w:val="0"/>
          <w:iCs w:val="0"/>
          <w:noProof/>
        </w:rPr>
      </w:pPr>
      <w:hyperlink w:anchor="_Toc70591592" w:history="1">
        <w:r w:rsidR="00974AFC" w:rsidRPr="00974AFC">
          <w:rPr>
            <w:rStyle w:val="Hyperlink"/>
            <w:i w:val="0"/>
            <w:noProof/>
            <w:u w:val="none"/>
          </w:rPr>
          <w:t>16.2.6</w:t>
        </w:r>
        <w:r w:rsidR="00974AFC" w:rsidRPr="00974AFC">
          <w:rPr>
            <w:rFonts w:eastAsiaTheme="minorEastAsia"/>
            <w:i w:val="0"/>
            <w:iCs w:val="0"/>
            <w:noProof/>
          </w:rPr>
          <w:tab/>
        </w:r>
        <w:r w:rsidR="00974AFC" w:rsidRPr="00974AFC">
          <w:rPr>
            <w:rStyle w:val="Hyperlink"/>
            <w:i w:val="0"/>
            <w:noProof/>
            <w:u w:val="none"/>
          </w:rPr>
          <w:t>Emergency Qualified Scheduling Entity</w:t>
        </w:r>
        <w:r w:rsidR="00974AFC" w:rsidRPr="00974AFC">
          <w:rPr>
            <w:i w:val="0"/>
            <w:noProof/>
            <w:webHidden/>
          </w:rPr>
          <w:tab/>
        </w:r>
        <w:r w:rsidR="00974AFC" w:rsidRPr="00974AFC">
          <w:rPr>
            <w:i w:val="0"/>
            <w:noProof/>
            <w:webHidden/>
          </w:rPr>
          <w:fldChar w:fldCharType="begin"/>
        </w:r>
        <w:r w:rsidR="00974AFC" w:rsidRPr="00974AFC">
          <w:rPr>
            <w:i w:val="0"/>
            <w:noProof/>
            <w:webHidden/>
          </w:rPr>
          <w:instrText xml:space="preserve"> PAGEREF _Toc70591592 \h </w:instrText>
        </w:r>
        <w:r w:rsidR="00974AFC" w:rsidRPr="00974AFC">
          <w:rPr>
            <w:i w:val="0"/>
            <w:noProof/>
            <w:webHidden/>
          </w:rPr>
        </w:r>
        <w:r w:rsidR="00974AFC" w:rsidRPr="00974AFC">
          <w:rPr>
            <w:i w:val="0"/>
            <w:noProof/>
            <w:webHidden/>
          </w:rPr>
          <w:fldChar w:fldCharType="separate"/>
        </w:r>
        <w:r>
          <w:rPr>
            <w:i w:val="0"/>
            <w:noProof/>
            <w:webHidden/>
          </w:rPr>
          <w:t>16-12</w:t>
        </w:r>
        <w:r w:rsidR="00974AFC" w:rsidRPr="00974AFC">
          <w:rPr>
            <w:i w:val="0"/>
            <w:noProof/>
            <w:webHidden/>
          </w:rPr>
          <w:fldChar w:fldCharType="end"/>
        </w:r>
      </w:hyperlink>
    </w:p>
    <w:p w14:paraId="6849B099" w14:textId="708DDA3D" w:rsidR="00974AFC" w:rsidRPr="00974AFC" w:rsidRDefault="00AC6018">
      <w:pPr>
        <w:pStyle w:val="TOC4"/>
        <w:rPr>
          <w:rFonts w:eastAsiaTheme="minorEastAsia"/>
          <w:sz w:val="20"/>
          <w:szCs w:val="20"/>
        </w:rPr>
      </w:pPr>
      <w:hyperlink w:anchor="_Toc70591593" w:history="1">
        <w:r w:rsidR="00974AFC" w:rsidRPr="00974AFC">
          <w:rPr>
            <w:rStyle w:val="Hyperlink"/>
            <w:sz w:val="20"/>
            <w:szCs w:val="20"/>
            <w:u w:val="none"/>
          </w:rPr>
          <w:t>16.2.6.1</w:t>
        </w:r>
        <w:r w:rsidR="00974AFC" w:rsidRPr="00974AFC">
          <w:rPr>
            <w:rFonts w:eastAsiaTheme="minorEastAsia"/>
            <w:sz w:val="20"/>
            <w:szCs w:val="20"/>
          </w:rPr>
          <w:tab/>
        </w:r>
        <w:r w:rsidR="00974AFC" w:rsidRPr="00974AFC">
          <w:rPr>
            <w:rStyle w:val="Hyperlink"/>
            <w:sz w:val="20"/>
            <w:szCs w:val="20"/>
            <w:u w:val="none"/>
          </w:rPr>
          <w:t>Designation as an Emergency Qualified Scheduling Entity or Virtual Qualified Scheduling Entity</w:t>
        </w:r>
        <w:r w:rsidR="00974AFC" w:rsidRPr="00974AFC">
          <w:rPr>
            <w:webHidden/>
            <w:sz w:val="20"/>
            <w:szCs w:val="20"/>
          </w:rPr>
          <w:tab/>
        </w:r>
        <w:r w:rsidR="00974AFC" w:rsidRPr="00974AFC">
          <w:rPr>
            <w:webHidden/>
            <w:sz w:val="20"/>
            <w:szCs w:val="20"/>
          </w:rPr>
          <w:fldChar w:fldCharType="begin"/>
        </w:r>
        <w:r w:rsidR="00974AFC" w:rsidRPr="00974AFC">
          <w:rPr>
            <w:webHidden/>
            <w:sz w:val="20"/>
            <w:szCs w:val="20"/>
          </w:rPr>
          <w:instrText xml:space="preserve"> PAGEREF _Toc70591593 \h </w:instrText>
        </w:r>
        <w:r w:rsidR="00974AFC" w:rsidRPr="00974AFC">
          <w:rPr>
            <w:webHidden/>
            <w:sz w:val="20"/>
            <w:szCs w:val="20"/>
          </w:rPr>
        </w:r>
        <w:r w:rsidR="00974AFC" w:rsidRPr="00974AFC">
          <w:rPr>
            <w:webHidden/>
            <w:sz w:val="20"/>
            <w:szCs w:val="20"/>
          </w:rPr>
          <w:fldChar w:fldCharType="separate"/>
        </w:r>
        <w:r>
          <w:rPr>
            <w:webHidden/>
            <w:sz w:val="20"/>
            <w:szCs w:val="20"/>
          </w:rPr>
          <w:t>16-12</w:t>
        </w:r>
        <w:r w:rsidR="00974AFC" w:rsidRPr="00974AFC">
          <w:rPr>
            <w:webHidden/>
            <w:sz w:val="20"/>
            <w:szCs w:val="20"/>
          </w:rPr>
          <w:fldChar w:fldCharType="end"/>
        </w:r>
      </w:hyperlink>
    </w:p>
    <w:p w14:paraId="6E08BFF6" w14:textId="77DB483A" w:rsidR="00974AFC" w:rsidRPr="00974AFC" w:rsidRDefault="00AC6018">
      <w:pPr>
        <w:pStyle w:val="TOC4"/>
        <w:rPr>
          <w:rFonts w:eastAsiaTheme="minorEastAsia"/>
          <w:sz w:val="20"/>
          <w:szCs w:val="20"/>
        </w:rPr>
      </w:pPr>
      <w:hyperlink w:anchor="_Toc70591594" w:history="1">
        <w:r w:rsidR="00974AFC" w:rsidRPr="00974AFC">
          <w:rPr>
            <w:rStyle w:val="Hyperlink"/>
            <w:sz w:val="20"/>
            <w:szCs w:val="20"/>
            <w:u w:val="none"/>
          </w:rPr>
          <w:t>16.2.6.2</w:t>
        </w:r>
        <w:r w:rsidR="00974AFC" w:rsidRPr="00974AFC">
          <w:rPr>
            <w:rFonts w:eastAsiaTheme="minorEastAsia"/>
            <w:sz w:val="20"/>
            <w:szCs w:val="20"/>
          </w:rPr>
          <w:tab/>
        </w:r>
        <w:r w:rsidR="00974AFC" w:rsidRPr="00974AFC">
          <w:rPr>
            <w:rStyle w:val="Hyperlink"/>
            <w:sz w:val="20"/>
            <w:szCs w:val="20"/>
            <w:u w:val="none"/>
          </w:rPr>
          <w:t>Market Participation by an Emergency Qualified Scheduling Entity or a Virtual Qualified Scheduling Entity</w:t>
        </w:r>
        <w:r w:rsidR="00974AFC" w:rsidRPr="00974AFC">
          <w:rPr>
            <w:webHidden/>
            <w:sz w:val="20"/>
            <w:szCs w:val="20"/>
          </w:rPr>
          <w:tab/>
        </w:r>
        <w:r w:rsidR="00974AFC" w:rsidRPr="00974AFC">
          <w:rPr>
            <w:webHidden/>
            <w:sz w:val="20"/>
            <w:szCs w:val="20"/>
          </w:rPr>
          <w:fldChar w:fldCharType="begin"/>
        </w:r>
        <w:r w:rsidR="00974AFC" w:rsidRPr="00974AFC">
          <w:rPr>
            <w:webHidden/>
            <w:sz w:val="20"/>
            <w:szCs w:val="20"/>
          </w:rPr>
          <w:instrText xml:space="preserve"> PAGEREF _Toc70591594 \h </w:instrText>
        </w:r>
        <w:r w:rsidR="00974AFC" w:rsidRPr="00974AFC">
          <w:rPr>
            <w:webHidden/>
            <w:sz w:val="20"/>
            <w:szCs w:val="20"/>
          </w:rPr>
        </w:r>
        <w:r w:rsidR="00974AFC" w:rsidRPr="00974AFC">
          <w:rPr>
            <w:webHidden/>
            <w:sz w:val="20"/>
            <w:szCs w:val="20"/>
          </w:rPr>
          <w:fldChar w:fldCharType="separate"/>
        </w:r>
        <w:r>
          <w:rPr>
            <w:webHidden/>
            <w:sz w:val="20"/>
            <w:szCs w:val="20"/>
          </w:rPr>
          <w:t>16-14</w:t>
        </w:r>
        <w:r w:rsidR="00974AFC" w:rsidRPr="00974AFC">
          <w:rPr>
            <w:webHidden/>
            <w:sz w:val="20"/>
            <w:szCs w:val="20"/>
          </w:rPr>
          <w:fldChar w:fldCharType="end"/>
        </w:r>
      </w:hyperlink>
    </w:p>
    <w:p w14:paraId="60B92D29" w14:textId="03FE9B83" w:rsidR="00974AFC" w:rsidRPr="00974AFC" w:rsidRDefault="00AC6018">
      <w:pPr>
        <w:pStyle w:val="TOC4"/>
        <w:rPr>
          <w:rFonts w:eastAsiaTheme="minorEastAsia"/>
          <w:sz w:val="20"/>
          <w:szCs w:val="20"/>
        </w:rPr>
      </w:pPr>
      <w:hyperlink w:anchor="_Toc70591595" w:history="1">
        <w:r w:rsidR="00974AFC" w:rsidRPr="00974AFC">
          <w:rPr>
            <w:rStyle w:val="Hyperlink"/>
            <w:sz w:val="20"/>
            <w:szCs w:val="20"/>
            <w:u w:val="none"/>
          </w:rPr>
          <w:t>16.2.6.3</w:t>
        </w:r>
        <w:r w:rsidR="00974AFC" w:rsidRPr="00974AFC">
          <w:rPr>
            <w:rFonts w:eastAsiaTheme="minorEastAsia"/>
            <w:sz w:val="20"/>
            <w:szCs w:val="20"/>
          </w:rPr>
          <w:tab/>
        </w:r>
        <w:r w:rsidR="00974AFC" w:rsidRPr="00974AFC">
          <w:rPr>
            <w:rStyle w:val="Hyperlink"/>
            <w:sz w:val="20"/>
            <w:szCs w:val="20"/>
            <w:u w:val="none"/>
          </w:rPr>
          <w:t>Requirement to Obtain New Qualified Scheduling Entity or Qualified Scheduling Entity Qualification</w:t>
        </w:r>
        <w:r w:rsidR="00974AFC" w:rsidRPr="00974AFC">
          <w:rPr>
            <w:webHidden/>
            <w:sz w:val="20"/>
            <w:szCs w:val="20"/>
          </w:rPr>
          <w:tab/>
        </w:r>
        <w:r w:rsidR="00974AFC" w:rsidRPr="00974AFC">
          <w:rPr>
            <w:webHidden/>
            <w:sz w:val="20"/>
            <w:szCs w:val="20"/>
          </w:rPr>
          <w:fldChar w:fldCharType="begin"/>
        </w:r>
        <w:r w:rsidR="00974AFC" w:rsidRPr="00974AFC">
          <w:rPr>
            <w:webHidden/>
            <w:sz w:val="20"/>
            <w:szCs w:val="20"/>
          </w:rPr>
          <w:instrText xml:space="preserve"> PAGEREF _Toc70591595 \h </w:instrText>
        </w:r>
        <w:r w:rsidR="00974AFC" w:rsidRPr="00974AFC">
          <w:rPr>
            <w:webHidden/>
            <w:sz w:val="20"/>
            <w:szCs w:val="20"/>
          </w:rPr>
        </w:r>
        <w:r w:rsidR="00974AFC" w:rsidRPr="00974AFC">
          <w:rPr>
            <w:webHidden/>
            <w:sz w:val="20"/>
            <w:szCs w:val="20"/>
          </w:rPr>
          <w:fldChar w:fldCharType="separate"/>
        </w:r>
        <w:r>
          <w:rPr>
            <w:webHidden/>
            <w:sz w:val="20"/>
            <w:szCs w:val="20"/>
          </w:rPr>
          <w:t>16-14</w:t>
        </w:r>
        <w:r w:rsidR="00974AFC" w:rsidRPr="00974AFC">
          <w:rPr>
            <w:webHidden/>
            <w:sz w:val="20"/>
            <w:szCs w:val="20"/>
          </w:rPr>
          <w:fldChar w:fldCharType="end"/>
        </w:r>
      </w:hyperlink>
    </w:p>
    <w:p w14:paraId="3B067435" w14:textId="17E8F240" w:rsidR="00974AFC" w:rsidRPr="00974AFC" w:rsidRDefault="00AC6018">
      <w:pPr>
        <w:pStyle w:val="TOC3"/>
        <w:rPr>
          <w:rFonts w:eastAsiaTheme="minorEastAsia"/>
          <w:i w:val="0"/>
          <w:iCs w:val="0"/>
          <w:noProof/>
        </w:rPr>
      </w:pPr>
      <w:hyperlink w:anchor="_Toc70591596" w:history="1">
        <w:r w:rsidR="00974AFC" w:rsidRPr="00974AFC">
          <w:rPr>
            <w:rStyle w:val="Hyperlink"/>
            <w:i w:val="0"/>
            <w:noProof/>
            <w:u w:val="none"/>
          </w:rPr>
          <w:t>16.2.7</w:t>
        </w:r>
        <w:r w:rsidR="00974AFC" w:rsidRPr="00974AFC">
          <w:rPr>
            <w:rFonts w:eastAsiaTheme="minorEastAsia"/>
            <w:i w:val="0"/>
            <w:iCs w:val="0"/>
            <w:noProof/>
          </w:rPr>
          <w:tab/>
        </w:r>
        <w:r w:rsidR="00974AFC" w:rsidRPr="00974AFC">
          <w:rPr>
            <w:rStyle w:val="Hyperlink"/>
            <w:i w:val="0"/>
            <w:noProof/>
            <w:u w:val="none"/>
          </w:rPr>
          <w:t>Acceleration</w:t>
        </w:r>
        <w:r w:rsidR="00974AFC" w:rsidRPr="00974AFC">
          <w:rPr>
            <w:i w:val="0"/>
            <w:noProof/>
            <w:webHidden/>
          </w:rPr>
          <w:tab/>
        </w:r>
        <w:r w:rsidR="00974AFC" w:rsidRPr="00974AFC">
          <w:rPr>
            <w:i w:val="0"/>
            <w:noProof/>
            <w:webHidden/>
          </w:rPr>
          <w:fldChar w:fldCharType="begin"/>
        </w:r>
        <w:r w:rsidR="00974AFC" w:rsidRPr="00974AFC">
          <w:rPr>
            <w:i w:val="0"/>
            <w:noProof/>
            <w:webHidden/>
          </w:rPr>
          <w:instrText xml:space="preserve"> PAGEREF _Toc70591596 \h </w:instrText>
        </w:r>
        <w:r w:rsidR="00974AFC" w:rsidRPr="00974AFC">
          <w:rPr>
            <w:i w:val="0"/>
            <w:noProof/>
            <w:webHidden/>
          </w:rPr>
        </w:r>
        <w:r w:rsidR="00974AFC" w:rsidRPr="00974AFC">
          <w:rPr>
            <w:i w:val="0"/>
            <w:noProof/>
            <w:webHidden/>
          </w:rPr>
          <w:fldChar w:fldCharType="separate"/>
        </w:r>
        <w:r>
          <w:rPr>
            <w:i w:val="0"/>
            <w:noProof/>
            <w:webHidden/>
          </w:rPr>
          <w:t>16-15</w:t>
        </w:r>
        <w:r w:rsidR="00974AFC" w:rsidRPr="00974AFC">
          <w:rPr>
            <w:i w:val="0"/>
            <w:noProof/>
            <w:webHidden/>
          </w:rPr>
          <w:fldChar w:fldCharType="end"/>
        </w:r>
      </w:hyperlink>
    </w:p>
    <w:p w14:paraId="01A4E7D4" w14:textId="70561735" w:rsidR="00974AFC" w:rsidRPr="00974AFC" w:rsidRDefault="00AC6018">
      <w:pPr>
        <w:pStyle w:val="TOC2"/>
        <w:rPr>
          <w:rFonts w:eastAsiaTheme="minorEastAsia"/>
        </w:rPr>
      </w:pPr>
      <w:hyperlink w:anchor="_Toc70591597" w:history="1">
        <w:r w:rsidR="00974AFC" w:rsidRPr="00974AFC">
          <w:rPr>
            <w:rStyle w:val="Hyperlink"/>
            <w:u w:val="none"/>
          </w:rPr>
          <w:t>16.3</w:t>
        </w:r>
        <w:r w:rsidR="00974AFC" w:rsidRPr="00974AFC">
          <w:rPr>
            <w:rFonts w:eastAsiaTheme="minorEastAsia"/>
          </w:rPr>
          <w:tab/>
        </w:r>
        <w:r w:rsidR="00974AFC" w:rsidRPr="00974AFC">
          <w:rPr>
            <w:rStyle w:val="Hyperlink"/>
            <w:u w:val="none"/>
          </w:rPr>
          <w:t>Registration of Load Serving Entities</w:t>
        </w:r>
        <w:r w:rsidR="00974AFC" w:rsidRPr="00974AFC">
          <w:rPr>
            <w:webHidden/>
          </w:rPr>
          <w:tab/>
        </w:r>
        <w:r w:rsidR="00974AFC" w:rsidRPr="00974AFC">
          <w:rPr>
            <w:webHidden/>
          </w:rPr>
          <w:fldChar w:fldCharType="begin"/>
        </w:r>
        <w:r w:rsidR="00974AFC" w:rsidRPr="00974AFC">
          <w:rPr>
            <w:webHidden/>
          </w:rPr>
          <w:instrText xml:space="preserve"> PAGEREF _Toc70591597 \h </w:instrText>
        </w:r>
        <w:r w:rsidR="00974AFC" w:rsidRPr="00974AFC">
          <w:rPr>
            <w:webHidden/>
          </w:rPr>
        </w:r>
        <w:r w:rsidR="00974AFC" w:rsidRPr="00974AFC">
          <w:rPr>
            <w:webHidden/>
          </w:rPr>
          <w:fldChar w:fldCharType="separate"/>
        </w:r>
        <w:r>
          <w:rPr>
            <w:webHidden/>
          </w:rPr>
          <w:t>16-15</w:t>
        </w:r>
        <w:r w:rsidR="00974AFC" w:rsidRPr="00974AFC">
          <w:rPr>
            <w:webHidden/>
          </w:rPr>
          <w:fldChar w:fldCharType="end"/>
        </w:r>
      </w:hyperlink>
    </w:p>
    <w:p w14:paraId="2E5E69F0" w14:textId="1B5F4569" w:rsidR="00974AFC" w:rsidRPr="00974AFC" w:rsidRDefault="00AC6018">
      <w:pPr>
        <w:pStyle w:val="TOC3"/>
        <w:rPr>
          <w:rFonts w:eastAsiaTheme="minorEastAsia"/>
          <w:i w:val="0"/>
          <w:iCs w:val="0"/>
          <w:noProof/>
        </w:rPr>
      </w:pPr>
      <w:hyperlink w:anchor="_Toc70591598" w:history="1">
        <w:r w:rsidR="00974AFC" w:rsidRPr="00974AFC">
          <w:rPr>
            <w:rStyle w:val="Hyperlink"/>
            <w:i w:val="0"/>
            <w:noProof/>
            <w:u w:val="none"/>
          </w:rPr>
          <w:t>16.3.1</w:t>
        </w:r>
        <w:r w:rsidR="00974AFC" w:rsidRPr="00974AFC">
          <w:rPr>
            <w:rFonts w:eastAsiaTheme="minorEastAsia"/>
            <w:i w:val="0"/>
            <w:iCs w:val="0"/>
            <w:noProof/>
          </w:rPr>
          <w:tab/>
        </w:r>
        <w:r w:rsidR="00974AFC" w:rsidRPr="00974AFC">
          <w:rPr>
            <w:rStyle w:val="Hyperlink"/>
            <w:i w:val="0"/>
            <w:noProof/>
            <w:u w:val="none"/>
          </w:rPr>
          <w:t>Technical and Managerial Requirements for LSE Applicants</w:t>
        </w:r>
        <w:r w:rsidR="00974AFC" w:rsidRPr="00974AFC">
          <w:rPr>
            <w:i w:val="0"/>
            <w:noProof/>
            <w:webHidden/>
          </w:rPr>
          <w:tab/>
        </w:r>
        <w:r w:rsidR="00974AFC" w:rsidRPr="00974AFC">
          <w:rPr>
            <w:i w:val="0"/>
            <w:noProof/>
            <w:webHidden/>
          </w:rPr>
          <w:fldChar w:fldCharType="begin"/>
        </w:r>
        <w:r w:rsidR="00974AFC" w:rsidRPr="00974AFC">
          <w:rPr>
            <w:i w:val="0"/>
            <w:noProof/>
            <w:webHidden/>
          </w:rPr>
          <w:instrText xml:space="preserve"> PAGEREF _Toc70591598 \h </w:instrText>
        </w:r>
        <w:r w:rsidR="00974AFC" w:rsidRPr="00974AFC">
          <w:rPr>
            <w:i w:val="0"/>
            <w:noProof/>
            <w:webHidden/>
          </w:rPr>
        </w:r>
        <w:r w:rsidR="00974AFC" w:rsidRPr="00974AFC">
          <w:rPr>
            <w:i w:val="0"/>
            <w:noProof/>
            <w:webHidden/>
          </w:rPr>
          <w:fldChar w:fldCharType="separate"/>
        </w:r>
        <w:r>
          <w:rPr>
            <w:i w:val="0"/>
            <w:noProof/>
            <w:webHidden/>
          </w:rPr>
          <w:t>16-15</w:t>
        </w:r>
        <w:r w:rsidR="00974AFC" w:rsidRPr="00974AFC">
          <w:rPr>
            <w:i w:val="0"/>
            <w:noProof/>
            <w:webHidden/>
          </w:rPr>
          <w:fldChar w:fldCharType="end"/>
        </w:r>
      </w:hyperlink>
    </w:p>
    <w:p w14:paraId="7712DF52" w14:textId="73763286" w:rsidR="00974AFC" w:rsidRPr="00974AFC" w:rsidRDefault="00AC6018">
      <w:pPr>
        <w:pStyle w:val="TOC4"/>
        <w:rPr>
          <w:rFonts w:eastAsiaTheme="minorEastAsia"/>
          <w:sz w:val="20"/>
          <w:szCs w:val="20"/>
        </w:rPr>
      </w:pPr>
      <w:hyperlink w:anchor="_Toc70591599" w:history="1">
        <w:r w:rsidR="00974AFC" w:rsidRPr="00974AFC">
          <w:rPr>
            <w:rStyle w:val="Hyperlink"/>
            <w:sz w:val="20"/>
            <w:szCs w:val="20"/>
            <w:u w:val="none"/>
          </w:rPr>
          <w:t>16.3.1.1</w:t>
        </w:r>
        <w:r w:rsidR="00974AFC" w:rsidRPr="00974AFC">
          <w:rPr>
            <w:rFonts w:eastAsiaTheme="minorEastAsia"/>
            <w:sz w:val="20"/>
            <w:szCs w:val="20"/>
          </w:rPr>
          <w:tab/>
        </w:r>
        <w:r w:rsidR="00974AFC" w:rsidRPr="00974AFC">
          <w:rPr>
            <w:rStyle w:val="Hyperlink"/>
            <w:sz w:val="20"/>
            <w:szCs w:val="20"/>
            <w:u w:val="none"/>
          </w:rPr>
          <w:t>Designation of a Qualified Scheduling Entity</w:t>
        </w:r>
        <w:r w:rsidR="00974AFC" w:rsidRPr="00974AFC">
          <w:rPr>
            <w:webHidden/>
            <w:sz w:val="20"/>
            <w:szCs w:val="20"/>
          </w:rPr>
          <w:tab/>
        </w:r>
        <w:r w:rsidR="00974AFC" w:rsidRPr="00974AFC">
          <w:rPr>
            <w:webHidden/>
            <w:sz w:val="20"/>
            <w:szCs w:val="20"/>
          </w:rPr>
          <w:fldChar w:fldCharType="begin"/>
        </w:r>
        <w:r w:rsidR="00974AFC" w:rsidRPr="00974AFC">
          <w:rPr>
            <w:webHidden/>
            <w:sz w:val="20"/>
            <w:szCs w:val="20"/>
          </w:rPr>
          <w:instrText xml:space="preserve"> PAGEREF _Toc70591599 \h </w:instrText>
        </w:r>
        <w:r w:rsidR="00974AFC" w:rsidRPr="00974AFC">
          <w:rPr>
            <w:webHidden/>
            <w:sz w:val="20"/>
            <w:szCs w:val="20"/>
          </w:rPr>
        </w:r>
        <w:r w:rsidR="00974AFC" w:rsidRPr="00974AFC">
          <w:rPr>
            <w:webHidden/>
            <w:sz w:val="20"/>
            <w:szCs w:val="20"/>
          </w:rPr>
          <w:fldChar w:fldCharType="separate"/>
        </w:r>
        <w:r>
          <w:rPr>
            <w:webHidden/>
            <w:sz w:val="20"/>
            <w:szCs w:val="20"/>
          </w:rPr>
          <w:t>16-16</w:t>
        </w:r>
        <w:r w:rsidR="00974AFC" w:rsidRPr="00974AFC">
          <w:rPr>
            <w:webHidden/>
            <w:sz w:val="20"/>
            <w:szCs w:val="20"/>
          </w:rPr>
          <w:fldChar w:fldCharType="end"/>
        </w:r>
      </w:hyperlink>
    </w:p>
    <w:p w14:paraId="2A0E4EE7" w14:textId="195E5019" w:rsidR="00974AFC" w:rsidRPr="00974AFC" w:rsidRDefault="00AC6018">
      <w:pPr>
        <w:pStyle w:val="TOC3"/>
        <w:rPr>
          <w:rFonts w:eastAsiaTheme="minorEastAsia"/>
          <w:i w:val="0"/>
          <w:iCs w:val="0"/>
          <w:noProof/>
        </w:rPr>
      </w:pPr>
      <w:hyperlink w:anchor="_Toc70591600" w:history="1">
        <w:r w:rsidR="00974AFC" w:rsidRPr="00974AFC">
          <w:rPr>
            <w:rStyle w:val="Hyperlink"/>
            <w:i w:val="0"/>
            <w:noProof/>
            <w:u w:val="none"/>
          </w:rPr>
          <w:t>16.3.2</w:t>
        </w:r>
        <w:r w:rsidR="00974AFC" w:rsidRPr="00974AFC">
          <w:rPr>
            <w:rFonts w:eastAsiaTheme="minorEastAsia"/>
            <w:i w:val="0"/>
            <w:iCs w:val="0"/>
            <w:noProof/>
          </w:rPr>
          <w:tab/>
        </w:r>
        <w:r w:rsidR="00974AFC" w:rsidRPr="00974AFC">
          <w:rPr>
            <w:rStyle w:val="Hyperlink"/>
            <w:i w:val="0"/>
            <w:noProof/>
            <w:u w:val="none"/>
          </w:rPr>
          <w:t>Registration Process for Load Serving Entities</w:t>
        </w:r>
        <w:r w:rsidR="00974AFC" w:rsidRPr="00974AFC">
          <w:rPr>
            <w:i w:val="0"/>
            <w:noProof/>
            <w:webHidden/>
          </w:rPr>
          <w:tab/>
        </w:r>
        <w:r w:rsidR="00974AFC" w:rsidRPr="00974AFC">
          <w:rPr>
            <w:i w:val="0"/>
            <w:noProof/>
            <w:webHidden/>
          </w:rPr>
          <w:fldChar w:fldCharType="begin"/>
        </w:r>
        <w:r w:rsidR="00974AFC" w:rsidRPr="00974AFC">
          <w:rPr>
            <w:i w:val="0"/>
            <w:noProof/>
            <w:webHidden/>
          </w:rPr>
          <w:instrText xml:space="preserve"> PAGEREF _Toc70591600 \h </w:instrText>
        </w:r>
        <w:r w:rsidR="00974AFC" w:rsidRPr="00974AFC">
          <w:rPr>
            <w:i w:val="0"/>
            <w:noProof/>
            <w:webHidden/>
          </w:rPr>
        </w:r>
        <w:r w:rsidR="00974AFC" w:rsidRPr="00974AFC">
          <w:rPr>
            <w:i w:val="0"/>
            <w:noProof/>
            <w:webHidden/>
          </w:rPr>
          <w:fldChar w:fldCharType="separate"/>
        </w:r>
        <w:r>
          <w:rPr>
            <w:i w:val="0"/>
            <w:noProof/>
            <w:webHidden/>
          </w:rPr>
          <w:t>16-16</w:t>
        </w:r>
        <w:r w:rsidR="00974AFC" w:rsidRPr="00974AFC">
          <w:rPr>
            <w:i w:val="0"/>
            <w:noProof/>
            <w:webHidden/>
          </w:rPr>
          <w:fldChar w:fldCharType="end"/>
        </w:r>
      </w:hyperlink>
    </w:p>
    <w:p w14:paraId="01F5CAC4" w14:textId="6427DEA7" w:rsidR="00974AFC" w:rsidRPr="00974AFC" w:rsidRDefault="00AC6018">
      <w:pPr>
        <w:pStyle w:val="TOC4"/>
        <w:rPr>
          <w:rFonts w:eastAsiaTheme="minorEastAsia"/>
          <w:sz w:val="20"/>
          <w:szCs w:val="20"/>
        </w:rPr>
      </w:pPr>
      <w:hyperlink w:anchor="_Toc70591601" w:history="1">
        <w:r w:rsidR="00974AFC" w:rsidRPr="00974AFC">
          <w:rPr>
            <w:rStyle w:val="Hyperlink"/>
            <w:sz w:val="20"/>
            <w:szCs w:val="20"/>
            <w:u w:val="none"/>
          </w:rPr>
          <w:t>16.3.2.1</w:t>
        </w:r>
        <w:r w:rsidR="00974AFC" w:rsidRPr="00974AFC">
          <w:rPr>
            <w:rFonts w:eastAsiaTheme="minorEastAsia"/>
            <w:sz w:val="20"/>
            <w:szCs w:val="20"/>
          </w:rPr>
          <w:tab/>
        </w:r>
        <w:r w:rsidR="00974AFC" w:rsidRPr="00974AFC">
          <w:rPr>
            <w:rStyle w:val="Hyperlink"/>
            <w:sz w:val="20"/>
            <w:szCs w:val="20"/>
            <w:u w:val="none"/>
          </w:rPr>
          <w:t>Notice of Receipt of Load Serving Entity Application</w:t>
        </w:r>
        <w:r w:rsidR="00974AFC" w:rsidRPr="00974AFC">
          <w:rPr>
            <w:webHidden/>
            <w:sz w:val="20"/>
            <w:szCs w:val="20"/>
          </w:rPr>
          <w:tab/>
        </w:r>
        <w:r w:rsidR="00974AFC" w:rsidRPr="00974AFC">
          <w:rPr>
            <w:webHidden/>
            <w:sz w:val="20"/>
            <w:szCs w:val="20"/>
          </w:rPr>
          <w:fldChar w:fldCharType="begin"/>
        </w:r>
        <w:r w:rsidR="00974AFC" w:rsidRPr="00974AFC">
          <w:rPr>
            <w:webHidden/>
            <w:sz w:val="20"/>
            <w:szCs w:val="20"/>
          </w:rPr>
          <w:instrText xml:space="preserve"> PAGEREF _Toc70591601 \h </w:instrText>
        </w:r>
        <w:r w:rsidR="00974AFC" w:rsidRPr="00974AFC">
          <w:rPr>
            <w:webHidden/>
            <w:sz w:val="20"/>
            <w:szCs w:val="20"/>
          </w:rPr>
        </w:r>
        <w:r w:rsidR="00974AFC" w:rsidRPr="00974AFC">
          <w:rPr>
            <w:webHidden/>
            <w:sz w:val="20"/>
            <w:szCs w:val="20"/>
          </w:rPr>
          <w:fldChar w:fldCharType="separate"/>
        </w:r>
        <w:r>
          <w:rPr>
            <w:webHidden/>
            <w:sz w:val="20"/>
            <w:szCs w:val="20"/>
          </w:rPr>
          <w:t>16-16</w:t>
        </w:r>
        <w:r w:rsidR="00974AFC" w:rsidRPr="00974AFC">
          <w:rPr>
            <w:webHidden/>
            <w:sz w:val="20"/>
            <w:szCs w:val="20"/>
          </w:rPr>
          <w:fldChar w:fldCharType="end"/>
        </w:r>
      </w:hyperlink>
    </w:p>
    <w:p w14:paraId="4D706252" w14:textId="63E73465" w:rsidR="00974AFC" w:rsidRPr="00974AFC" w:rsidRDefault="00AC6018">
      <w:pPr>
        <w:pStyle w:val="TOC4"/>
        <w:rPr>
          <w:rFonts w:eastAsiaTheme="minorEastAsia"/>
          <w:sz w:val="20"/>
          <w:szCs w:val="20"/>
        </w:rPr>
      </w:pPr>
      <w:hyperlink w:anchor="_Toc70591602" w:history="1">
        <w:r w:rsidR="00974AFC" w:rsidRPr="00974AFC">
          <w:rPr>
            <w:rStyle w:val="Hyperlink"/>
            <w:sz w:val="20"/>
            <w:szCs w:val="20"/>
            <w:u w:val="none"/>
          </w:rPr>
          <w:t>16.3.2.2</w:t>
        </w:r>
        <w:r w:rsidR="00974AFC" w:rsidRPr="00974AFC">
          <w:rPr>
            <w:rFonts w:eastAsiaTheme="minorEastAsia"/>
            <w:sz w:val="20"/>
            <w:szCs w:val="20"/>
          </w:rPr>
          <w:tab/>
        </w:r>
        <w:r w:rsidR="00974AFC" w:rsidRPr="00974AFC">
          <w:rPr>
            <w:rStyle w:val="Hyperlink"/>
            <w:sz w:val="20"/>
            <w:szCs w:val="20"/>
            <w:u w:val="none"/>
          </w:rPr>
          <w:t>Incomplete Load Serving Entity Applications</w:t>
        </w:r>
        <w:r w:rsidR="00974AFC" w:rsidRPr="00974AFC">
          <w:rPr>
            <w:webHidden/>
            <w:sz w:val="20"/>
            <w:szCs w:val="20"/>
          </w:rPr>
          <w:tab/>
        </w:r>
        <w:r w:rsidR="00974AFC" w:rsidRPr="00974AFC">
          <w:rPr>
            <w:webHidden/>
            <w:sz w:val="20"/>
            <w:szCs w:val="20"/>
          </w:rPr>
          <w:fldChar w:fldCharType="begin"/>
        </w:r>
        <w:r w:rsidR="00974AFC" w:rsidRPr="00974AFC">
          <w:rPr>
            <w:webHidden/>
            <w:sz w:val="20"/>
            <w:szCs w:val="20"/>
          </w:rPr>
          <w:instrText xml:space="preserve"> PAGEREF _Toc70591602 \h </w:instrText>
        </w:r>
        <w:r w:rsidR="00974AFC" w:rsidRPr="00974AFC">
          <w:rPr>
            <w:webHidden/>
            <w:sz w:val="20"/>
            <w:szCs w:val="20"/>
          </w:rPr>
        </w:r>
        <w:r w:rsidR="00974AFC" w:rsidRPr="00974AFC">
          <w:rPr>
            <w:webHidden/>
            <w:sz w:val="20"/>
            <w:szCs w:val="20"/>
          </w:rPr>
          <w:fldChar w:fldCharType="separate"/>
        </w:r>
        <w:r>
          <w:rPr>
            <w:webHidden/>
            <w:sz w:val="20"/>
            <w:szCs w:val="20"/>
          </w:rPr>
          <w:t>16-17</w:t>
        </w:r>
        <w:r w:rsidR="00974AFC" w:rsidRPr="00974AFC">
          <w:rPr>
            <w:webHidden/>
            <w:sz w:val="20"/>
            <w:szCs w:val="20"/>
          </w:rPr>
          <w:fldChar w:fldCharType="end"/>
        </w:r>
      </w:hyperlink>
    </w:p>
    <w:p w14:paraId="6B78C891" w14:textId="56EC41E3" w:rsidR="00974AFC" w:rsidRPr="00974AFC" w:rsidRDefault="00AC6018">
      <w:pPr>
        <w:pStyle w:val="TOC4"/>
        <w:rPr>
          <w:rFonts w:eastAsiaTheme="minorEastAsia"/>
          <w:sz w:val="20"/>
          <w:szCs w:val="20"/>
        </w:rPr>
      </w:pPr>
      <w:hyperlink w:anchor="_Toc70591603" w:history="1">
        <w:r w:rsidR="00974AFC" w:rsidRPr="00974AFC">
          <w:rPr>
            <w:rStyle w:val="Hyperlink"/>
            <w:sz w:val="20"/>
            <w:szCs w:val="20"/>
            <w:u w:val="none"/>
          </w:rPr>
          <w:t>16.3.2.3</w:t>
        </w:r>
        <w:r w:rsidR="00974AFC" w:rsidRPr="00974AFC">
          <w:rPr>
            <w:rFonts w:eastAsiaTheme="minorEastAsia"/>
            <w:sz w:val="20"/>
            <w:szCs w:val="20"/>
          </w:rPr>
          <w:tab/>
        </w:r>
        <w:r w:rsidR="00974AFC" w:rsidRPr="00974AFC">
          <w:rPr>
            <w:rStyle w:val="Hyperlink"/>
            <w:sz w:val="20"/>
            <w:szCs w:val="20"/>
            <w:u w:val="none"/>
          </w:rPr>
          <w:t>ERCOT Approval or Rejection of Load Serving Entity Application</w:t>
        </w:r>
        <w:r w:rsidR="00974AFC" w:rsidRPr="00974AFC">
          <w:rPr>
            <w:webHidden/>
            <w:sz w:val="20"/>
            <w:szCs w:val="20"/>
          </w:rPr>
          <w:tab/>
        </w:r>
        <w:r w:rsidR="00974AFC" w:rsidRPr="00974AFC">
          <w:rPr>
            <w:webHidden/>
            <w:sz w:val="20"/>
            <w:szCs w:val="20"/>
          </w:rPr>
          <w:fldChar w:fldCharType="begin"/>
        </w:r>
        <w:r w:rsidR="00974AFC" w:rsidRPr="00974AFC">
          <w:rPr>
            <w:webHidden/>
            <w:sz w:val="20"/>
            <w:szCs w:val="20"/>
          </w:rPr>
          <w:instrText xml:space="preserve"> PAGEREF _Toc70591603 \h </w:instrText>
        </w:r>
        <w:r w:rsidR="00974AFC" w:rsidRPr="00974AFC">
          <w:rPr>
            <w:webHidden/>
            <w:sz w:val="20"/>
            <w:szCs w:val="20"/>
          </w:rPr>
        </w:r>
        <w:r w:rsidR="00974AFC" w:rsidRPr="00974AFC">
          <w:rPr>
            <w:webHidden/>
            <w:sz w:val="20"/>
            <w:szCs w:val="20"/>
          </w:rPr>
          <w:fldChar w:fldCharType="separate"/>
        </w:r>
        <w:r>
          <w:rPr>
            <w:webHidden/>
            <w:sz w:val="20"/>
            <w:szCs w:val="20"/>
          </w:rPr>
          <w:t>16-17</w:t>
        </w:r>
        <w:r w:rsidR="00974AFC" w:rsidRPr="00974AFC">
          <w:rPr>
            <w:webHidden/>
            <w:sz w:val="20"/>
            <w:szCs w:val="20"/>
          </w:rPr>
          <w:fldChar w:fldCharType="end"/>
        </w:r>
      </w:hyperlink>
    </w:p>
    <w:p w14:paraId="13B35F49" w14:textId="5894892C" w:rsidR="00974AFC" w:rsidRPr="00974AFC" w:rsidRDefault="00AC6018">
      <w:pPr>
        <w:pStyle w:val="TOC3"/>
        <w:rPr>
          <w:rFonts w:eastAsiaTheme="minorEastAsia"/>
          <w:i w:val="0"/>
          <w:iCs w:val="0"/>
          <w:noProof/>
        </w:rPr>
      </w:pPr>
      <w:hyperlink w:anchor="_Toc70591604" w:history="1">
        <w:r w:rsidR="00974AFC" w:rsidRPr="00974AFC">
          <w:rPr>
            <w:rStyle w:val="Hyperlink"/>
            <w:i w:val="0"/>
            <w:noProof/>
            <w:u w:val="none"/>
          </w:rPr>
          <w:t xml:space="preserve">16.3.3 </w:t>
        </w:r>
        <w:r w:rsidR="00974AFC" w:rsidRPr="00974AFC">
          <w:rPr>
            <w:rFonts w:eastAsiaTheme="minorEastAsia"/>
            <w:i w:val="0"/>
            <w:iCs w:val="0"/>
            <w:noProof/>
          </w:rPr>
          <w:tab/>
        </w:r>
        <w:r w:rsidR="00974AFC" w:rsidRPr="00974AFC">
          <w:rPr>
            <w:rStyle w:val="Hyperlink"/>
            <w:i w:val="0"/>
            <w:noProof/>
            <w:u w:val="none"/>
          </w:rPr>
          <w:t>Changing QSE Designation</w:t>
        </w:r>
        <w:r w:rsidR="00974AFC" w:rsidRPr="00974AFC">
          <w:rPr>
            <w:i w:val="0"/>
            <w:noProof/>
            <w:webHidden/>
          </w:rPr>
          <w:tab/>
        </w:r>
        <w:r w:rsidR="00974AFC" w:rsidRPr="00974AFC">
          <w:rPr>
            <w:i w:val="0"/>
            <w:noProof/>
            <w:webHidden/>
          </w:rPr>
          <w:fldChar w:fldCharType="begin"/>
        </w:r>
        <w:r w:rsidR="00974AFC" w:rsidRPr="00974AFC">
          <w:rPr>
            <w:i w:val="0"/>
            <w:noProof/>
            <w:webHidden/>
          </w:rPr>
          <w:instrText xml:space="preserve"> PAGEREF _Toc70591604 \h </w:instrText>
        </w:r>
        <w:r w:rsidR="00974AFC" w:rsidRPr="00974AFC">
          <w:rPr>
            <w:i w:val="0"/>
            <w:noProof/>
            <w:webHidden/>
          </w:rPr>
        </w:r>
        <w:r w:rsidR="00974AFC" w:rsidRPr="00974AFC">
          <w:rPr>
            <w:i w:val="0"/>
            <w:noProof/>
            <w:webHidden/>
          </w:rPr>
          <w:fldChar w:fldCharType="separate"/>
        </w:r>
        <w:r>
          <w:rPr>
            <w:i w:val="0"/>
            <w:noProof/>
            <w:webHidden/>
          </w:rPr>
          <w:t>16-18</w:t>
        </w:r>
        <w:r w:rsidR="00974AFC" w:rsidRPr="00974AFC">
          <w:rPr>
            <w:i w:val="0"/>
            <w:noProof/>
            <w:webHidden/>
          </w:rPr>
          <w:fldChar w:fldCharType="end"/>
        </w:r>
      </w:hyperlink>
    </w:p>
    <w:p w14:paraId="635B29B1" w14:textId="0062A0BB" w:rsidR="00974AFC" w:rsidRPr="00974AFC" w:rsidRDefault="00AC6018">
      <w:pPr>
        <w:pStyle w:val="TOC3"/>
        <w:rPr>
          <w:rFonts w:eastAsiaTheme="minorEastAsia"/>
          <w:i w:val="0"/>
          <w:iCs w:val="0"/>
          <w:noProof/>
        </w:rPr>
      </w:pPr>
      <w:hyperlink w:anchor="_Toc70591605" w:history="1">
        <w:r w:rsidR="00974AFC" w:rsidRPr="00974AFC">
          <w:rPr>
            <w:rStyle w:val="Hyperlink"/>
            <w:i w:val="0"/>
            <w:noProof/>
            <w:u w:val="none"/>
          </w:rPr>
          <w:t>16.3.4</w:t>
        </w:r>
        <w:r w:rsidR="00974AFC" w:rsidRPr="00974AFC">
          <w:rPr>
            <w:rFonts w:eastAsiaTheme="minorEastAsia"/>
            <w:i w:val="0"/>
            <w:iCs w:val="0"/>
            <w:noProof/>
          </w:rPr>
          <w:tab/>
        </w:r>
        <w:r w:rsidR="00974AFC" w:rsidRPr="00974AFC">
          <w:rPr>
            <w:rStyle w:val="Hyperlink"/>
            <w:i w:val="0"/>
            <w:noProof/>
            <w:u w:val="none"/>
          </w:rPr>
          <w:t>Maintaining and Updating LSE Information</w:t>
        </w:r>
        <w:r w:rsidR="00974AFC" w:rsidRPr="00974AFC">
          <w:rPr>
            <w:i w:val="0"/>
            <w:noProof/>
            <w:webHidden/>
          </w:rPr>
          <w:tab/>
        </w:r>
        <w:r w:rsidR="00974AFC" w:rsidRPr="00974AFC">
          <w:rPr>
            <w:i w:val="0"/>
            <w:noProof/>
            <w:webHidden/>
          </w:rPr>
          <w:fldChar w:fldCharType="begin"/>
        </w:r>
        <w:r w:rsidR="00974AFC" w:rsidRPr="00974AFC">
          <w:rPr>
            <w:i w:val="0"/>
            <w:noProof/>
            <w:webHidden/>
          </w:rPr>
          <w:instrText xml:space="preserve"> PAGEREF _Toc70591605 \h </w:instrText>
        </w:r>
        <w:r w:rsidR="00974AFC" w:rsidRPr="00974AFC">
          <w:rPr>
            <w:i w:val="0"/>
            <w:noProof/>
            <w:webHidden/>
          </w:rPr>
        </w:r>
        <w:r w:rsidR="00974AFC" w:rsidRPr="00974AFC">
          <w:rPr>
            <w:i w:val="0"/>
            <w:noProof/>
            <w:webHidden/>
          </w:rPr>
          <w:fldChar w:fldCharType="separate"/>
        </w:r>
        <w:r>
          <w:rPr>
            <w:i w:val="0"/>
            <w:noProof/>
            <w:webHidden/>
          </w:rPr>
          <w:t>16-18</w:t>
        </w:r>
        <w:r w:rsidR="00974AFC" w:rsidRPr="00974AFC">
          <w:rPr>
            <w:i w:val="0"/>
            <w:noProof/>
            <w:webHidden/>
          </w:rPr>
          <w:fldChar w:fldCharType="end"/>
        </w:r>
      </w:hyperlink>
    </w:p>
    <w:p w14:paraId="3B5B51A7" w14:textId="67A0C496" w:rsidR="00974AFC" w:rsidRPr="00974AFC" w:rsidRDefault="00AC6018">
      <w:pPr>
        <w:pStyle w:val="TOC2"/>
        <w:rPr>
          <w:rFonts w:eastAsiaTheme="minorEastAsia"/>
        </w:rPr>
      </w:pPr>
      <w:hyperlink w:anchor="_Toc70591606" w:history="1">
        <w:r w:rsidR="00974AFC" w:rsidRPr="00974AFC">
          <w:rPr>
            <w:rStyle w:val="Hyperlink"/>
            <w:u w:val="none"/>
          </w:rPr>
          <w:t>16.4</w:t>
        </w:r>
        <w:r w:rsidR="00974AFC" w:rsidRPr="00974AFC">
          <w:rPr>
            <w:rFonts w:eastAsiaTheme="minorEastAsia"/>
          </w:rPr>
          <w:tab/>
        </w:r>
        <w:r w:rsidR="00974AFC" w:rsidRPr="00974AFC">
          <w:rPr>
            <w:rStyle w:val="Hyperlink"/>
            <w:u w:val="none"/>
          </w:rPr>
          <w:t>Registration of Transmission and Distribution Service Providers</w:t>
        </w:r>
        <w:r w:rsidR="00974AFC" w:rsidRPr="00974AFC">
          <w:rPr>
            <w:webHidden/>
          </w:rPr>
          <w:tab/>
        </w:r>
        <w:r w:rsidR="00974AFC" w:rsidRPr="00974AFC">
          <w:rPr>
            <w:webHidden/>
          </w:rPr>
          <w:fldChar w:fldCharType="begin"/>
        </w:r>
        <w:r w:rsidR="00974AFC" w:rsidRPr="00974AFC">
          <w:rPr>
            <w:webHidden/>
          </w:rPr>
          <w:instrText xml:space="preserve"> PAGEREF _Toc70591606 \h </w:instrText>
        </w:r>
        <w:r w:rsidR="00974AFC" w:rsidRPr="00974AFC">
          <w:rPr>
            <w:webHidden/>
          </w:rPr>
        </w:r>
        <w:r w:rsidR="00974AFC" w:rsidRPr="00974AFC">
          <w:rPr>
            <w:webHidden/>
          </w:rPr>
          <w:fldChar w:fldCharType="separate"/>
        </w:r>
        <w:r>
          <w:rPr>
            <w:webHidden/>
          </w:rPr>
          <w:t>16-18</w:t>
        </w:r>
        <w:r w:rsidR="00974AFC" w:rsidRPr="00974AFC">
          <w:rPr>
            <w:webHidden/>
          </w:rPr>
          <w:fldChar w:fldCharType="end"/>
        </w:r>
      </w:hyperlink>
    </w:p>
    <w:p w14:paraId="39585227" w14:textId="0E01D341" w:rsidR="00974AFC" w:rsidRPr="00974AFC" w:rsidRDefault="00AC6018">
      <w:pPr>
        <w:pStyle w:val="TOC2"/>
        <w:rPr>
          <w:rFonts w:eastAsiaTheme="minorEastAsia"/>
        </w:rPr>
      </w:pPr>
      <w:hyperlink w:anchor="_Toc70591607" w:history="1">
        <w:r w:rsidR="00974AFC" w:rsidRPr="00974AFC">
          <w:rPr>
            <w:rStyle w:val="Hyperlink"/>
            <w:u w:val="none"/>
          </w:rPr>
          <w:t>16.5</w:t>
        </w:r>
        <w:r w:rsidR="00974AFC" w:rsidRPr="00974AFC">
          <w:rPr>
            <w:rFonts w:eastAsiaTheme="minorEastAsia"/>
          </w:rPr>
          <w:tab/>
        </w:r>
        <w:r w:rsidR="00974AFC" w:rsidRPr="00974AFC">
          <w:rPr>
            <w:rStyle w:val="Hyperlink"/>
            <w:u w:val="none"/>
          </w:rPr>
          <w:t>Registration of a Resource Entity</w:t>
        </w:r>
        <w:r w:rsidR="00974AFC" w:rsidRPr="00974AFC">
          <w:rPr>
            <w:webHidden/>
          </w:rPr>
          <w:tab/>
        </w:r>
        <w:r w:rsidR="00974AFC" w:rsidRPr="00974AFC">
          <w:rPr>
            <w:webHidden/>
          </w:rPr>
          <w:fldChar w:fldCharType="begin"/>
        </w:r>
        <w:r w:rsidR="00974AFC" w:rsidRPr="00974AFC">
          <w:rPr>
            <w:webHidden/>
          </w:rPr>
          <w:instrText xml:space="preserve"> PAGEREF _Toc70591607 \h </w:instrText>
        </w:r>
        <w:r w:rsidR="00974AFC" w:rsidRPr="00974AFC">
          <w:rPr>
            <w:webHidden/>
          </w:rPr>
        </w:r>
        <w:r w:rsidR="00974AFC" w:rsidRPr="00974AFC">
          <w:rPr>
            <w:webHidden/>
          </w:rPr>
          <w:fldChar w:fldCharType="separate"/>
        </w:r>
        <w:r>
          <w:rPr>
            <w:webHidden/>
          </w:rPr>
          <w:t>16-19</w:t>
        </w:r>
        <w:r w:rsidR="00974AFC" w:rsidRPr="00974AFC">
          <w:rPr>
            <w:webHidden/>
          </w:rPr>
          <w:fldChar w:fldCharType="end"/>
        </w:r>
      </w:hyperlink>
    </w:p>
    <w:p w14:paraId="0C547DE2" w14:textId="71955F75" w:rsidR="00974AFC" w:rsidRPr="00974AFC" w:rsidRDefault="00AC6018">
      <w:pPr>
        <w:pStyle w:val="TOC3"/>
        <w:rPr>
          <w:rFonts w:eastAsiaTheme="minorEastAsia"/>
          <w:i w:val="0"/>
          <w:iCs w:val="0"/>
          <w:noProof/>
        </w:rPr>
      </w:pPr>
      <w:hyperlink w:anchor="_Toc70591608" w:history="1">
        <w:r w:rsidR="00974AFC" w:rsidRPr="00974AFC">
          <w:rPr>
            <w:rStyle w:val="Hyperlink"/>
            <w:i w:val="0"/>
            <w:noProof/>
            <w:u w:val="none"/>
          </w:rPr>
          <w:t>16.5.1</w:t>
        </w:r>
        <w:r w:rsidR="00974AFC" w:rsidRPr="00974AFC">
          <w:rPr>
            <w:rFonts w:eastAsiaTheme="minorEastAsia"/>
            <w:i w:val="0"/>
            <w:iCs w:val="0"/>
            <w:noProof/>
          </w:rPr>
          <w:tab/>
        </w:r>
        <w:r w:rsidR="00974AFC" w:rsidRPr="00974AFC">
          <w:rPr>
            <w:rStyle w:val="Hyperlink"/>
            <w:i w:val="0"/>
            <w:noProof/>
            <w:u w:val="none"/>
          </w:rPr>
          <w:t>Technical and Managerial Requirements for Resource Entity Applicants</w:t>
        </w:r>
        <w:r w:rsidR="00974AFC" w:rsidRPr="00974AFC">
          <w:rPr>
            <w:i w:val="0"/>
            <w:noProof/>
            <w:webHidden/>
          </w:rPr>
          <w:tab/>
        </w:r>
        <w:r w:rsidR="00974AFC" w:rsidRPr="00974AFC">
          <w:rPr>
            <w:i w:val="0"/>
            <w:noProof/>
            <w:webHidden/>
          </w:rPr>
          <w:fldChar w:fldCharType="begin"/>
        </w:r>
        <w:r w:rsidR="00974AFC" w:rsidRPr="00974AFC">
          <w:rPr>
            <w:i w:val="0"/>
            <w:noProof/>
            <w:webHidden/>
          </w:rPr>
          <w:instrText xml:space="preserve"> PAGEREF _Toc70591608 \h </w:instrText>
        </w:r>
        <w:r w:rsidR="00974AFC" w:rsidRPr="00974AFC">
          <w:rPr>
            <w:i w:val="0"/>
            <w:noProof/>
            <w:webHidden/>
          </w:rPr>
        </w:r>
        <w:r w:rsidR="00974AFC" w:rsidRPr="00974AFC">
          <w:rPr>
            <w:i w:val="0"/>
            <w:noProof/>
            <w:webHidden/>
          </w:rPr>
          <w:fldChar w:fldCharType="separate"/>
        </w:r>
        <w:r>
          <w:rPr>
            <w:i w:val="0"/>
            <w:noProof/>
            <w:webHidden/>
          </w:rPr>
          <w:t>16-22</w:t>
        </w:r>
        <w:r w:rsidR="00974AFC" w:rsidRPr="00974AFC">
          <w:rPr>
            <w:i w:val="0"/>
            <w:noProof/>
            <w:webHidden/>
          </w:rPr>
          <w:fldChar w:fldCharType="end"/>
        </w:r>
      </w:hyperlink>
    </w:p>
    <w:p w14:paraId="206E072B" w14:textId="69A3CC32" w:rsidR="00974AFC" w:rsidRPr="00974AFC" w:rsidRDefault="00AC6018">
      <w:pPr>
        <w:pStyle w:val="TOC4"/>
        <w:rPr>
          <w:rFonts w:eastAsiaTheme="minorEastAsia"/>
          <w:sz w:val="20"/>
          <w:szCs w:val="20"/>
        </w:rPr>
      </w:pPr>
      <w:hyperlink w:anchor="_Toc70591609" w:history="1">
        <w:r w:rsidR="00974AFC" w:rsidRPr="00974AFC">
          <w:rPr>
            <w:rStyle w:val="Hyperlink"/>
            <w:sz w:val="20"/>
            <w:szCs w:val="20"/>
            <w:u w:val="none"/>
          </w:rPr>
          <w:t>16.5.1.1</w:t>
        </w:r>
        <w:r w:rsidR="00974AFC" w:rsidRPr="00974AFC">
          <w:rPr>
            <w:rFonts w:eastAsiaTheme="minorEastAsia"/>
            <w:sz w:val="20"/>
            <w:szCs w:val="20"/>
          </w:rPr>
          <w:tab/>
        </w:r>
        <w:r w:rsidR="00974AFC" w:rsidRPr="00974AFC">
          <w:rPr>
            <w:rStyle w:val="Hyperlink"/>
            <w:sz w:val="20"/>
            <w:szCs w:val="20"/>
            <w:u w:val="none"/>
          </w:rPr>
          <w:t>Designation of a Qualified Scheduling Entity</w:t>
        </w:r>
        <w:r w:rsidR="00974AFC" w:rsidRPr="00974AFC">
          <w:rPr>
            <w:webHidden/>
            <w:sz w:val="20"/>
            <w:szCs w:val="20"/>
          </w:rPr>
          <w:tab/>
        </w:r>
        <w:r w:rsidR="00974AFC" w:rsidRPr="00974AFC">
          <w:rPr>
            <w:webHidden/>
            <w:sz w:val="20"/>
            <w:szCs w:val="20"/>
          </w:rPr>
          <w:fldChar w:fldCharType="begin"/>
        </w:r>
        <w:r w:rsidR="00974AFC" w:rsidRPr="00974AFC">
          <w:rPr>
            <w:webHidden/>
            <w:sz w:val="20"/>
            <w:szCs w:val="20"/>
          </w:rPr>
          <w:instrText xml:space="preserve"> PAGEREF _Toc70591609 \h </w:instrText>
        </w:r>
        <w:r w:rsidR="00974AFC" w:rsidRPr="00974AFC">
          <w:rPr>
            <w:webHidden/>
            <w:sz w:val="20"/>
            <w:szCs w:val="20"/>
          </w:rPr>
        </w:r>
        <w:r w:rsidR="00974AFC" w:rsidRPr="00974AFC">
          <w:rPr>
            <w:webHidden/>
            <w:sz w:val="20"/>
            <w:szCs w:val="20"/>
          </w:rPr>
          <w:fldChar w:fldCharType="separate"/>
        </w:r>
        <w:r>
          <w:rPr>
            <w:webHidden/>
            <w:sz w:val="20"/>
            <w:szCs w:val="20"/>
          </w:rPr>
          <w:t>16-22</w:t>
        </w:r>
        <w:r w:rsidR="00974AFC" w:rsidRPr="00974AFC">
          <w:rPr>
            <w:webHidden/>
            <w:sz w:val="20"/>
            <w:szCs w:val="20"/>
          </w:rPr>
          <w:fldChar w:fldCharType="end"/>
        </w:r>
      </w:hyperlink>
    </w:p>
    <w:p w14:paraId="3815BBB6" w14:textId="09DF0D16" w:rsidR="00974AFC" w:rsidRPr="00974AFC" w:rsidRDefault="00AC6018">
      <w:pPr>
        <w:pStyle w:val="TOC4"/>
        <w:rPr>
          <w:rFonts w:eastAsiaTheme="minorEastAsia"/>
          <w:sz w:val="20"/>
          <w:szCs w:val="20"/>
        </w:rPr>
      </w:pPr>
      <w:hyperlink w:anchor="_Toc70591610" w:history="1">
        <w:r w:rsidR="00974AFC" w:rsidRPr="00974AFC">
          <w:rPr>
            <w:rStyle w:val="Hyperlink"/>
            <w:sz w:val="20"/>
            <w:szCs w:val="20"/>
            <w:u w:val="none"/>
          </w:rPr>
          <w:t>16.5.1.2</w:t>
        </w:r>
        <w:r w:rsidR="00974AFC" w:rsidRPr="00974AFC">
          <w:rPr>
            <w:rFonts w:eastAsiaTheme="minorEastAsia"/>
            <w:sz w:val="20"/>
            <w:szCs w:val="20"/>
          </w:rPr>
          <w:tab/>
        </w:r>
        <w:r w:rsidR="00974AFC" w:rsidRPr="00974AFC">
          <w:rPr>
            <w:rStyle w:val="Hyperlink"/>
            <w:sz w:val="20"/>
            <w:szCs w:val="20"/>
            <w:u w:val="none"/>
          </w:rPr>
          <w:t>Waiver for Federal Hydroelectric Facilities</w:t>
        </w:r>
        <w:r w:rsidR="00974AFC" w:rsidRPr="00974AFC">
          <w:rPr>
            <w:webHidden/>
            <w:sz w:val="20"/>
            <w:szCs w:val="20"/>
          </w:rPr>
          <w:tab/>
        </w:r>
        <w:r w:rsidR="00974AFC" w:rsidRPr="00974AFC">
          <w:rPr>
            <w:webHidden/>
            <w:sz w:val="20"/>
            <w:szCs w:val="20"/>
          </w:rPr>
          <w:fldChar w:fldCharType="begin"/>
        </w:r>
        <w:r w:rsidR="00974AFC" w:rsidRPr="00974AFC">
          <w:rPr>
            <w:webHidden/>
            <w:sz w:val="20"/>
            <w:szCs w:val="20"/>
          </w:rPr>
          <w:instrText xml:space="preserve"> PAGEREF _Toc70591610 \h </w:instrText>
        </w:r>
        <w:r w:rsidR="00974AFC" w:rsidRPr="00974AFC">
          <w:rPr>
            <w:webHidden/>
            <w:sz w:val="20"/>
            <w:szCs w:val="20"/>
          </w:rPr>
        </w:r>
        <w:r w:rsidR="00974AFC" w:rsidRPr="00974AFC">
          <w:rPr>
            <w:webHidden/>
            <w:sz w:val="20"/>
            <w:szCs w:val="20"/>
          </w:rPr>
          <w:fldChar w:fldCharType="separate"/>
        </w:r>
        <w:r>
          <w:rPr>
            <w:webHidden/>
            <w:sz w:val="20"/>
            <w:szCs w:val="20"/>
          </w:rPr>
          <w:t>16-23</w:t>
        </w:r>
        <w:r w:rsidR="00974AFC" w:rsidRPr="00974AFC">
          <w:rPr>
            <w:webHidden/>
            <w:sz w:val="20"/>
            <w:szCs w:val="20"/>
          </w:rPr>
          <w:fldChar w:fldCharType="end"/>
        </w:r>
      </w:hyperlink>
    </w:p>
    <w:p w14:paraId="34CF0CB6" w14:textId="67FB2616" w:rsidR="00974AFC" w:rsidRPr="00974AFC" w:rsidRDefault="00AC6018">
      <w:pPr>
        <w:pStyle w:val="TOC4"/>
        <w:rPr>
          <w:rFonts w:eastAsiaTheme="minorEastAsia"/>
          <w:sz w:val="20"/>
          <w:szCs w:val="20"/>
        </w:rPr>
      </w:pPr>
      <w:hyperlink w:anchor="_Toc70591611" w:history="1">
        <w:r w:rsidR="00974AFC" w:rsidRPr="00974AFC">
          <w:rPr>
            <w:rStyle w:val="Hyperlink"/>
            <w:sz w:val="20"/>
            <w:szCs w:val="20"/>
            <w:u w:val="none"/>
          </w:rPr>
          <w:t>16.5.1.3</w:t>
        </w:r>
        <w:r w:rsidR="00974AFC" w:rsidRPr="00974AFC">
          <w:rPr>
            <w:rFonts w:eastAsiaTheme="minorEastAsia"/>
            <w:sz w:val="20"/>
            <w:szCs w:val="20"/>
          </w:rPr>
          <w:tab/>
        </w:r>
        <w:r w:rsidR="00974AFC" w:rsidRPr="00974AFC">
          <w:rPr>
            <w:rStyle w:val="Hyperlink"/>
            <w:sz w:val="20"/>
            <w:szCs w:val="20"/>
            <w:u w:val="none"/>
          </w:rPr>
          <w:t>Waiver for Block Load Transfer Resources</w:t>
        </w:r>
        <w:r w:rsidR="00974AFC" w:rsidRPr="00974AFC">
          <w:rPr>
            <w:webHidden/>
            <w:sz w:val="20"/>
            <w:szCs w:val="20"/>
          </w:rPr>
          <w:tab/>
        </w:r>
        <w:r w:rsidR="00974AFC" w:rsidRPr="00974AFC">
          <w:rPr>
            <w:webHidden/>
            <w:sz w:val="20"/>
            <w:szCs w:val="20"/>
          </w:rPr>
          <w:fldChar w:fldCharType="begin"/>
        </w:r>
        <w:r w:rsidR="00974AFC" w:rsidRPr="00974AFC">
          <w:rPr>
            <w:webHidden/>
            <w:sz w:val="20"/>
            <w:szCs w:val="20"/>
          </w:rPr>
          <w:instrText xml:space="preserve"> PAGEREF _Toc70591611 \h </w:instrText>
        </w:r>
        <w:r w:rsidR="00974AFC" w:rsidRPr="00974AFC">
          <w:rPr>
            <w:webHidden/>
            <w:sz w:val="20"/>
            <w:szCs w:val="20"/>
          </w:rPr>
        </w:r>
        <w:r w:rsidR="00974AFC" w:rsidRPr="00974AFC">
          <w:rPr>
            <w:webHidden/>
            <w:sz w:val="20"/>
            <w:szCs w:val="20"/>
          </w:rPr>
          <w:fldChar w:fldCharType="separate"/>
        </w:r>
        <w:r>
          <w:rPr>
            <w:webHidden/>
            <w:sz w:val="20"/>
            <w:szCs w:val="20"/>
          </w:rPr>
          <w:t>16-23</w:t>
        </w:r>
        <w:r w:rsidR="00974AFC" w:rsidRPr="00974AFC">
          <w:rPr>
            <w:webHidden/>
            <w:sz w:val="20"/>
            <w:szCs w:val="20"/>
          </w:rPr>
          <w:fldChar w:fldCharType="end"/>
        </w:r>
      </w:hyperlink>
    </w:p>
    <w:p w14:paraId="0627628F" w14:textId="135A69FE" w:rsidR="00974AFC" w:rsidRPr="00974AFC" w:rsidRDefault="00AC6018">
      <w:pPr>
        <w:pStyle w:val="TOC3"/>
        <w:rPr>
          <w:rFonts w:eastAsiaTheme="minorEastAsia"/>
          <w:i w:val="0"/>
          <w:iCs w:val="0"/>
          <w:noProof/>
        </w:rPr>
      </w:pPr>
      <w:hyperlink w:anchor="_Toc70591612" w:history="1">
        <w:r w:rsidR="00974AFC" w:rsidRPr="00974AFC">
          <w:rPr>
            <w:rStyle w:val="Hyperlink"/>
            <w:i w:val="0"/>
            <w:noProof/>
            <w:u w:val="none"/>
          </w:rPr>
          <w:t>16.5.2</w:t>
        </w:r>
        <w:r w:rsidR="00974AFC" w:rsidRPr="00974AFC">
          <w:rPr>
            <w:rFonts w:eastAsiaTheme="minorEastAsia"/>
            <w:i w:val="0"/>
            <w:iCs w:val="0"/>
            <w:noProof/>
          </w:rPr>
          <w:tab/>
        </w:r>
        <w:r w:rsidR="00974AFC" w:rsidRPr="00974AFC">
          <w:rPr>
            <w:rStyle w:val="Hyperlink"/>
            <w:i w:val="0"/>
            <w:noProof/>
            <w:u w:val="none"/>
          </w:rPr>
          <w:t>Registration Process for a Resource Entity</w:t>
        </w:r>
        <w:r w:rsidR="00974AFC" w:rsidRPr="00974AFC">
          <w:rPr>
            <w:i w:val="0"/>
            <w:noProof/>
            <w:webHidden/>
          </w:rPr>
          <w:tab/>
        </w:r>
        <w:r w:rsidR="00974AFC" w:rsidRPr="00974AFC">
          <w:rPr>
            <w:i w:val="0"/>
            <w:noProof/>
            <w:webHidden/>
          </w:rPr>
          <w:fldChar w:fldCharType="begin"/>
        </w:r>
        <w:r w:rsidR="00974AFC" w:rsidRPr="00974AFC">
          <w:rPr>
            <w:i w:val="0"/>
            <w:noProof/>
            <w:webHidden/>
          </w:rPr>
          <w:instrText xml:space="preserve"> PAGEREF _Toc70591612 \h </w:instrText>
        </w:r>
        <w:r w:rsidR="00974AFC" w:rsidRPr="00974AFC">
          <w:rPr>
            <w:i w:val="0"/>
            <w:noProof/>
            <w:webHidden/>
          </w:rPr>
        </w:r>
        <w:r w:rsidR="00974AFC" w:rsidRPr="00974AFC">
          <w:rPr>
            <w:i w:val="0"/>
            <w:noProof/>
            <w:webHidden/>
          </w:rPr>
          <w:fldChar w:fldCharType="separate"/>
        </w:r>
        <w:r>
          <w:rPr>
            <w:i w:val="0"/>
            <w:noProof/>
            <w:webHidden/>
          </w:rPr>
          <w:t>16-24</w:t>
        </w:r>
        <w:r w:rsidR="00974AFC" w:rsidRPr="00974AFC">
          <w:rPr>
            <w:i w:val="0"/>
            <w:noProof/>
            <w:webHidden/>
          </w:rPr>
          <w:fldChar w:fldCharType="end"/>
        </w:r>
      </w:hyperlink>
    </w:p>
    <w:p w14:paraId="2FFCC385" w14:textId="5DA2BFF5" w:rsidR="00974AFC" w:rsidRPr="00974AFC" w:rsidRDefault="00AC6018">
      <w:pPr>
        <w:pStyle w:val="TOC4"/>
        <w:rPr>
          <w:rFonts w:eastAsiaTheme="minorEastAsia"/>
          <w:sz w:val="20"/>
          <w:szCs w:val="20"/>
        </w:rPr>
      </w:pPr>
      <w:hyperlink w:anchor="_Toc70591613" w:history="1">
        <w:r w:rsidR="00974AFC" w:rsidRPr="00974AFC">
          <w:rPr>
            <w:rStyle w:val="Hyperlink"/>
            <w:sz w:val="20"/>
            <w:szCs w:val="20"/>
            <w:u w:val="none"/>
          </w:rPr>
          <w:t>16.5.2.1</w:t>
        </w:r>
        <w:r w:rsidR="00974AFC" w:rsidRPr="00974AFC">
          <w:rPr>
            <w:rFonts w:eastAsiaTheme="minorEastAsia"/>
            <w:sz w:val="20"/>
            <w:szCs w:val="20"/>
          </w:rPr>
          <w:tab/>
        </w:r>
        <w:r w:rsidR="00974AFC" w:rsidRPr="00974AFC">
          <w:rPr>
            <w:rStyle w:val="Hyperlink"/>
            <w:sz w:val="20"/>
            <w:szCs w:val="20"/>
            <w:u w:val="none"/>
          </w:rPr>
          <w:t>Notice of Receipt of Resource Entity Application</w:t>
        </w:r>
        <w:r w:rsidR="00974AFC" w:rsidRPr="00974AFC">
          <w:rPr>
            <w:webHidden/>
            <w:sz w:val="20"/>
            <w:szCs w:val="20"/>
          </w:rPr>
          <w:tab/>
        </w:r>
        <w:r w:rsidR="00974AFC" w:rsidRPr="00974AFC">
          <w:rPr>
            <w:webHidden/>
            <w:sz w:val="20"/>
            <w:szCs w:val="20"/>
          </w:rPr>
          <w:fldChar w:fldCharType="begin"/>
        </w:r>
        <w:r w:rsidR="00974AFC" w:rsidRPr="00974AFC">
          <w:rPr>
            <w:webHidden/>
            <w:sz w:val="20"/>
            <w:szCs w:val="20"/>
          </w:rPr>
          <w:instrText xml:space="preserve"> PAGEREF _Toc70591613 \h </w:instrText>
        </w:r>
        <w:r w:rsidR="00974AFC" w:rsidRPr="00974AFC">
          <w:rPr>
            <w:webHidden/>
            <w:sz w:val="20"/>
            <w:szCs w:val="20"/>
          </w:rPr>
        </w:r>
        <w:r w:rsidR="00974AFC" w:rsidRPr="00974AFC">
          <w:rPr>
            <w:webHidden/>
            <w:sz w:val="20"/>
            <w:szCs w:val="20"/>
          </w:rPr>
          <w:fldChar w:fldCharType="separate"/>
        </w:r>
        <w:r>
          <w:rPr>
            <w:webHidden/>
            <w:sz w:val="20"/>
            <w:szCs w:val="20"/>
          </w:rPr>
          <w:t>16-24</w:t>
        </w:r>
        <w:r w:rsidR="00974AFC" w:rsidRPr="00974AFC">
          <w:rPr>
            <w:webHidden/>
            <w:sz w:val="20"/>
            <w:szCs w:val="20"/>
          </w:rPr>
          <w:fldChar w:fldCharType="end"/>
        </w:r>
      </w:hyperlink>
    </w:p>
    <w:p w14:paraId="0EE5884E" w14:textId="5FAF1A0F" w:rsidR="00974AFC" w:rsidRPr="00974AFC" w:rsidRDefault="00AC6018">
      <w:pPr>
        <w:pStyle w:val="TOC4"/>
        <w:rPr>
          <w:rFonts w:eastAsiaTheme="minorEastAsia"/>
          <w:sz w:val="20"/>
          <w:szCs w:val="20"/>
        </w:rPr>
      </w:pPr>
      <w:hyperlink w:anchor="_Toc70591614" w:history="1">
        <w:r w:rsidR="00974AFC" w:rsidRPr="00974AFC">
          <w:rPr>
            <w:rStyle w:val="Hyperlink"/>
            <w:sz w:val="20"/>
            <w:szCs w:val="20"/>
            <w:u w:val="none"/>
          </w:rPr>
          <w:t>16.5.2.2</w:t>
        </w:r>
        <w:r w:rsidR="00974AFC" w:rsidRPr="00974AFC">
          <w:rPr>
            <w:rFonts w:eastAsiaTheme="minorEastAsia"/>
            <w:sz w:val="20"/>
            <w:szCs w:val="20"/>
          </w:rPr>
          <w:tab/>
        </w:r>
        <w:r w:rsidR="00974AFC" w:rsidRPr="00974AFC">
          <w:rPr>
            <w:rStyle w:val="Hyperlink"/>
            <w:sz w:val="20"/>
            <w:szCs w:val="20"/>
            <w:u w:val="none"/>
          </w:rPr>
          <w:t>Incomplete Resource Entity Applications</w:t>
        </w:r>
        <w:r w:rsidR="00974AFC" w:rsidRPr="00974AFC">
          <w:rPr>
            <w:webHidden/>
            <w:sz w:val="20"/>
            <w:szCs w:val="20"/>
          </w:rPr>
          <w:tab/>
        </w:r>
        <w:r w:rsidR="00974AFC" w:rsidRPr="00974AFC">
          <w:rPr>
            <w:webHidden/>
            <w:sz w:val="20"/>
            <w:szCs w:val="20"/>
          </w:rPr>
          <w:fldChar w:fldCharType="begin"/>
        </w:r>
        <w:r w:rsidR="00974AFC" w:rsidRPr="00974AFC">
          <w:rPr>
            <w:webHidden/>
            <w:sz w:val="20"/>
            <w:szCs w:val="20"/>
          </w:rPr>
          <w:instrText xml:space="preserve"> PAGEREF _Toc70591614 \h </w:instrText>
        </w:r>
        <w:r w:rsidR="00974AFC" w:rsidRPr="00974AFC">
          <w:rPr>
            <w:webHidden/>
            <w:sz w:val="20"/>
            <w:szCs w:val="20"/>
          </w:rPr>
        </w:r>
        <w:r w:rsidR="00974AFC" w:rsidRPr="00974AFC">
          <w:rPr>
            <w:webHidden/>
            <w:sz w:val="20"/>
            <w:szCs w:val="20"/>
          </w:rPr>
          <w:fldChar w:fldCharType="separate"/>
        </w:r>
        <w:r>
          <w:rPr>
            <w:webHidden/>
            <w:sz w:val="20"/>
            <w:szCs w:val="20"/>
          </w:rPr>
          <w:t>16-25</w:t>
        </w:r>
        <w:r w:rsidR="00974AFC" w:rsidRPr="00974AFC">
          <w:rPr>
            <w:webHidden/>
            <w:sz w:val="20"/>
            <w:szCs w:val="20"/>
          </w:rPr>
          <w:fldChar w:fldCharType="end"/>
        </w:r>
      </w:hyperlink>
    </w:p>
    <w:p w14:paraId="16AADAA6" w14:textId="75BB59E6" w:rsidR="00974AFC" w:rsidRPr="00974AFC" w:rsidRDefault="00AC6018">
      <w:pPr>
        <w:pStyle w:val="TOC3"/>
        <w:rPr>
          <w:rFonts w:eastAsiaTheme="minorEastAsia"/>
          <w:i w:val="0"/>
          <w:iCs w:val="0"/>
          <w:noProof/>
        </w:rPr>
      </w:pPr>
      <w:hyperlink w:anchor="_Toc70591615" w:history="1">
        <w:r w:rsidR="00974AFC" w:rsidRPr="00974AFC">
          <w:rPr>
            <w:rStyle w:val="Hyperlink"/>
            <w:i w:val="0"/>
            <w:noProof/>
            <w:u w:val="none"/>
          </w:rPr>
          <w:t>16.5.3</w:t>
        </w:r>
        <w:r w:rsidR="00974AFC" w:rsidRPr="00974AFC">
          <w:rPr>
            <w:rFonts w:eastAsiaTheme="minorEastAsia"/>
            <w:i w:val="0"/>
            <w:iCs w:val="0"/>
            <w:noProof/>
          </w:rPr>
          <w:tab/>
        </w:r>
        <w:r w:rsidR="00974AFC" w:rsidRPr="00974AFC">
          <w:rPr>
            <w:rStyle w:val="Hyperlink"/>
            <w:i w:val="0"/>
            <w:noProof/>
            <w:u w:val="none"/>
          </w:rPr>
          <w:t>Changing QSE Designation</w:t>
        </w:r>
        <w:r w:rsidR="00974AFC" w:rsidRPr="00974AFC">
          <w:rPr>
            <w:i w:val="0"/>
            <w:noProof/>
            <w:webHidden/>
          </w:rPr>
          <w:tab/>
        </w:r>
        <w:r w:rsidR="00974AFC" w:rsidRPr="00974AFC">
          <w:rPr>
            <w:i w:val="0"/>
            <w:noProof/>
            <w:webHidden/>
          </w:rPr>
          <w:fldChar w:fldCharType="begin"/>
        </w:r>
        <w:r w:rsidR="00974AFC" w:rsidRPr="00974AFC">
          <w:rPr>
            <w:i w:val="0"/>
            <w:noProof/>
            <w:webHidden/>
          </w:rPr>
          <w:instrText xml:space="preserve"> PAGEREF _Toc70591615 \h </w:instrText>
        </w:r>
        <w:r w:rsidR="00974AFC" w:rsidRPr="00974AFC">
          <w:rPr>
            <w:i w:val="0"/>
            <w:noProof/>
            <w:webHidden/>
          </w:rPr>
        </w:r>
        <w:r w:rsidR="00974AFC" w:rsidRPr="00974AFC">
          <w:rPr>
            <w:i w:val="0"/>
            <w:noProof/>
            <w:webHidden/>
          </w:rPr>
          <w:fldChar w:fldCharType="separate"/>
        </w:r>
        <w:r>
          <w:rPr>
            <w:i w:val="0"/>
            <w:noProof/>
            <w:webHidden/>
          </w:rPr>
          <w:t>16-26</w:t>
        </w:r>
        <w:r w:rsidR="00974AFC" w:rsidRPr="00974AFC">
          <w:rPr>
            <w:i w:val="0"/>
            <w:noProof/>
            <w:webHidden/>
          </w:rPr>
          <w:fldChar w:fldCharType="end"/>
        </w:r>
      </w:hyperlink>
    </w:p>
    <w:p w14:paraId="3392E2A1" w14:textId="2D298BA2" w:rsidR="00974AFC" w:rsidRPr="00974AFC" w:rsidRDefault="00AC6018">
      <w:pPr>
        <w:pStyle w:val="TOC3"/>
        <w:rPr>
          <w:rFonts w:eastAsiaTheme="minorEastAsia"/>
          <w:i w:val="0"/>
          <w:iCs w:val="0"/>
          <w:noProof/>
        </w:rPr>
      </w:pPr>
      <w:hyperlink w:anchor="_Toc70591616" w:history="1">
        <w:r w:rsidR="00974AFC" w:rsidRPr="00974AFC">
          <w:rPr>
            <w:rStyle w:val="Hyperlink"/>
            <w:i w:val="0"/>
            <w:noProof/>
            <w:u w:val="none"/>
          </w:rPr>
          <w:t>16.5.4</w:t>
        </w:r>
        <w:r w:rsidR="00974AFC" w:rsidRPr="00974AFC">
          <w:rPr>
            <w:rFonts w:eastAsiaTheme="minorEastAsia"/>
            <w:i w:val="0"/>
            <w:iCs w:val="0"/>
            <w:noProof/>
          </w:rPr>
          <w:tab/>
        </w:r>
        <w:r w:rsidR="00974AFC" w:rsidRPr="00974AFC">
          <w:rPr>
            <w:rStyle w:val="Hyperlink"/>
            <w:i w:val="0"/>
            <w:noProof/>
            <w:u w:val="none"/>
          </w:rPr>
          <w:t>Maintaining and Updating Resource Entity Information</w:t>
        </w:r>
        <w:r w:rsidR="00974AFC" w:rsidRPr="00974AFC">
          <w:rPr>
            <w:i w:val="0"/>
            <w:noProof/>
            <w:webHidden/>
          </w:rPr>
          <w:tab/>
        </w:r>
        <w:r w:rsidR="00974AFC" w:rsidRPr="00974AFC">
          <w:rPr>
            <w:i w:val="0"/>
            <w:noProof/>
            <w:webHidden/>
          </w:rPr>
          <w:fldChar w:fldCharType="begin"/>
        </w:r>
        <w:r w:rsidR="00974AFC" w:rsidRPr="00974AFC">
          <w:rPr>
            <w:i w:val="0"/>
            <w:noProof/>
            <w:webHidden/>
          </w:rPr>
          <w:instrText xml:space="preserve"> PAGEREF _Toc70591616 \h </w:instrText>
        </w:r>
        <w:r w:rsidR="00974AFC" w:rsidRPr="00974AFC">
          <w:rPr>
            <w:i w:val="0"/>
            <w:noProof/>
            <w:webHidden/>
          </w:rPr>
        </w:r>
        <w:r w:rsidR="00974AFC" w:rsidRPr="00974AFC">
          <w:rPr>
            <w:i w:val="0"/>
            <w:noProof/>
            <w:webHidden/>
          </w:rPr>
          <w:fldChar w:fldCharType="separate"/>
        </w:r>
        <w:r>
          <w:rPr>
            <w:i w:val="0"/>
            <w:noProof/>
            <w:webHidden/>
          </w:rPr>
          <w:t>16-26</w:t>
        </w:r>
        <w:r w:rsidR="00974AFC" w:rsidRPr="00974AFC">
          <w:rPr>
            <w:i w:val="0"/>
            <w:noProof/>
            <w:webHidden/>
          </w:rPr>
          <w:fldChar w:fldCharType="end"/>
        </w:r>
      </w:hyperlink>
    </w:p>
    <w:p w14:paraId="250D098A" w14:textId="4282999D" w:rsidR="00974AFC" w:rsidRPr="00974AFC" w:rsidRDefault="00AC6018">
      <w:pPr>
        <w:pStyle w:val="TOC2"/>
        <w:rPr>
          <w:rFonts w:eastAsiaTheme="minorEastAsia"/>
        </w:rPr>
      </w:pPr>
      <w:hyperlink w:anchor="_Toc70591617" w:history="1">
        <w:r w:rsidR="00974AFC" w:rsidRPr="00974AFC">
          <w:rPr>
            <w:rStyle w:val="Hyperlink"/>
            <w:u w:val="none"/>
          </w:rPr>
          <w:t>16.6</w:t>
        </w:r>
        <w:r w:rsidR="00974AFC" w:rsidRPr="00974AFC">
          <w:rPr>
            <w:rFonts w:eastAsiaTheme="minorEastAsia"/>
          </w:rPr>
          <w:tab/>
        </w:r>
        <w:r w:rsidR="00974AFC" w:rsidRPr="00974AFC">
          <w:rPr>
            <w:rStyle w:val="Hyperlink"/>
            <w:u w:val="none"/>
          </w:rPr>
          <w:t>Registration of Municipally Owned Utilities and Electric Cooperatives in the ERCOT Region</w:t>
        </w:r>
        <w:r w:rsidR="00974AFC" w:rsidRPr="00974AFC">
          <w:rPr>
            <w:webHidden/>
          </w:rPr>
          <w:tab/>
        </w:r>
        <w:r w:rsidR="00974AFC" w:rsidRPr="00974AFC">
          <w:rPr>
            <w:webHidden/>
          </w:rPr>
          <w:fldChar w:fldCharType="begin"/>
        </w:r>
        <w:r w:rsidR="00974AFC" w:rsidRPr="00974AFC">
          <w:rPr>
            <w:webHidden/>
          </w:rPr>
          <w:instrText xml:space="preserve"> PAGEREF _Toc70591617 \h </w:instrText>
        </w:r>
        <w:r w:rsidR="00974AFC" w:rsidRPr="00974AFC">
          <w:rPr>
            <w:webHidden/>
          </w:rPr>
        </w:r>
        <w:r w:rsidR="00974AFC" w:rsidRPr="00974AFC">
          <w:rPr>
            <w:webHidden/>
          </w:rPr>
          <w:fldChar w:fldCharType="separate"/>
        </w:r>
        <w:r>
          <w:rPr>
            <w:webHidden/>
          </w:rPr>
          <w:t>16-27</w:t>
        </w:r>
        <w:r w:rsidR="00974AFC" w:rsidRPr="00974AFC">
          <w:rPr>
            <w:webHidden/>
          </w:rPr>
          <w:fldChar w:fldCharType="end"/>
        </w:r>
      </w:hyperlink>
    </w:p>
    <w:p w14:paraId="0033BED1" w14:textId="4471F19C" w:rsidR="00974AFC" w:rsidRPr="00974AFC" w:rsidRDefault="00AC6018">
      <w:pPr>
        <w:pStyle w:val="TOC2"/>
        <w:rPr>
          <w:rFonts w:eastAsiaTheme="minorEastAsia"/>
        </w:rPr>
      </w:pPr>
      <w:hyperlink w:anchor="_Toc70591618" w:history="1">
        <w:r w:rsidR="00974AFC" w:rsidRPr="00974AFC">
          <w:rPr>
            <w:rStyle w:val="Hyperlink"/>
            <w:u w:val="none"/>
          </w:rPr>
          <w:t>16.7</w:t>
        </w:r>
        <w:r w:rsidR="00974AFC" w:rsidRPr="00974AFC">
          <w:rPr>
            <w:rFonts w:eastAsiaTheme="minorEastAsia"/>
          </w:rPr>
          <w:tab/>
        </w:r>
        <w:r w:rsidR="00974AFC" w:rsidRPr="00974AFC">
          <w:rPr>
            <w:rStyle w:val="Hyperlink"/>
            <w:u w:val="none"/>
          </w:rPr>
          <w:t>Registration of Renewable Energy Credit Account Holders</w:t>
        </w:r>
        <w:r w:rsidR="00974AFC" w:rsidRPr="00974AFC">
          <w:rPr>
            <w:webHidden/>
          </w:rPr>
          <w:tab/>
        </w:r>
        <w:r w:rsidR="00974AFC" w:rsidRPr="00974AFC">
          <w:rPr>
            <w:webHidden/>
          </w:rPr>
          <w:fldChar w:fldCharType="begin"/>
        </w:r>
        <w:r w:rsidR="00974AFC" w:rsidRPr="00974AFC">
          <w:rPr>
            <w:webHidden/>
          </w:rPr>
          <w:instrText xml:space="preserve"> PAGEREF _Toc70591618 \h </w:instrText>
        </w:r>
        <w:r w:rsidR="00974AFC" w:rsidRPr="00974AFC">
          <w:rPr>
            <w:webHidden/>
          </w:rPr>
        </w:r>
        <w:r w:rsidR="00974AFC" w:rsidRPr="00974AFC">
          <w:rPr>
            <w:webHidden/>
          </w:rPr>
          <w:fldChar w:fldCharType="separate"/>
        </w:r>
        <w:r>
          <w:rPr>
            <w:webHidden/>
          </w:rPr>
          <w:t>16-27</w:t>
        </w:r>
        <w:r w:rsidR="00974AFC" w:rsidRPr="00974AFC">
          <w:rPr>
            <w:webHidden/>
          </w:rPr>
          <w:fldChar w:fldCharType="end"/>
        </w:r>
      </w:hyperlink>
    </w:p>
    <w:p w14:paraId="5C2BF692" w14:textId="36B4A3F9" w:rsidR="00974AFC" w:rsidRPr="00974AFC" w:rsidRDefault="00AC6018">
      <w:pPr>
        <w:pStyle w:val="TOC2"/>
        <w:rPr>
          <w:rFonts w:eastAsiaTheme="minorEastAsia"/>
        </w:rPr>
      </w:pPr>
      <w:hyperlink w:anchor="_Toc70591619" w:history="1">
        <w:r w:rsidR="00974AFC" w:rsidRPr="00974AFC">
          <w:rPr>
            <w:rStyle w:val="Hyperlink"/>
            <w:u w:val="none"/>
          </w:rPr>
          <w:t>16.8</w:t>
        </w:r>
        <w:r w:rsidR="00974AFC" w:rsidRPr="00974AFC">
          <w:rPr>
            <w:rFonts w:eastAsiaTheme="minorEastAsia"/>
          </w:rPr>
          <w:tab/>
        </w:r>
        <w:r w:rsidR="00974AFC" w:rsidRPr="00974AFC">
          <w:rPr>
            <w:rStyle w:val="Hyperlink"/>
            <w:u w:val="none"/>
          </w:rPr>
          <w:t>Registration and Qualification of Congestion Revenue Rights Account Holders</w:t>
        </w:r>
        <w:r w:rsidR="00974AFC" w:rsidRPr="00974AFC">
          <w:rPr>
            <w:webHidden/>
          </w:rPr>
          <w:tab/>
        </w:r>
        <w:r w:rsidR="00974AFC" w:rsidRPr="00974AFC">
          <w:rPr>
            <w:webHidden/>
          </w:rPr>
          <w:fldChar w:fldCharType="begin"/>
        </w:r>
        <w:r w:rsidR="00974AFC" w:rsidRPr="00974AFC">
          <w:rPr>
            <w:webHidden/>
          </w:rPr>
          <w:instrText xml:space="preserve"> PAGEREF _Toc70591619 \h </w:instrText>
        </w:r>
        <w:r w:rsidR="00974AFC" w:rsidRPr="00974AFC">
          <w:rPr>
            <w:webHidden/>
          </w:rPr>
        </w:r>
        <w:r w:rsidR="00974AFC" w:rsidRPr="00974AFC">
          <w:rPr>
            <w:webHidden/>
          </w:rPr>
          <w:fldChar w:fldCharType="separate"/>
        </w:r>
        <w:r>
          <w:rPr>
            <w:webHidden/>
          </w:rPr>
          <w:t>16-28</w:t>
        </w:r>
        <w:r w:rsidR="00974AFC" w:rsidRPr="00974AFC">
          <w:rPr>
            <w:webHidden/>
          </w:rPr>
          <w:fldChar w:fldCharType="end"/>
        </w:r>
      </w:hyperlink>
    </w:p>
    <w:p w14:paraId="1D9F240C" w14:textId="3AB1EFF3" w:rsidR="00974AFC" w:rsidRPr="00974AFC" w:rsidRDefault="00AC6018">
      <w:pPr>
        <w:pStyle w:val="TOC3"/>
        <w:rPr>
          <w:rFonts w:eastAsiaTheme="minorEastAsia"/>
          <w:i w:val="0"/>
          <w:iCs w:val="0"/>
          <w:noProof/>
        </w:rPr>
      </w:pPr>
      <w:hyperlink w:anchor="_Toc70591620" w:history="1">
        <w:r w:rsidR="00974AFC" w:rsidRPr="00974AFC">
          <w:rPr>
            <w:rStyle w:val="Hyperlink"/>
            <w:i w:val="0"/>
            <w:noProof/>
            <w:u w:val="none"/>
          </w:rPr>
          <w:t>16.8.1</w:t>
        </w:r>
        <w:r w:rsidR="00974AFC" w:rsidRPr="00974AFC">
          <w:rPr>
            <w:rFonts w:eastAsiaTheme="minorEastAsia"/>
            <w:i w:val="0"/>
            <w:iCs w:val="0"/>
            <w:noProof/>
          </w:rPr>
          <w:tab/>
        </w:r>
        <w:r w:rsidR="00974AFC" w:rsidRPr="00974AFC">
          <w:rPr>
            <w:rStyle w:val="Hyperlink"/>
            <w:i w:val="0"/>
            <w:noProof/>
            <w:u w:val="none"/>
          </w:rPr>
          <w:t>Criteria for Qualification as a CRR Account Holder</w:t>
        </w:r>
        <w:r w:rsidR="00974AFC" w:rsidRPr="00974AFC">
          <w:rPr>
            <w:i w:val="0"/>
            <w:noProof/>
            <w:webHidden/>
          </w:rPr>
          <w:tab/>
        </w:r>
        <w:r w:rsidR="00974AFC" w:rsidRPr="00974AFC">
          <w:rPr>
            <w:i w:val="0"/>
            <w:noProof/>
            <w:webHidden/>
          </w:rPr>
          <w:fldChar w:fldCharType="begin"/>
        </w:r>
        <w:r w:rsidR="00974AFC" w:rsidRPr="00974AFC">
          <w:rPr>
            <w:i w:val="0"/>
            <w:noProof/>
            <w:webHidden/>
          </w:rPr>
          <w:instrText xml:space="preserve"> PAGEREF _Toc70591620 \h </w:instrText>
        </w:r>
        <w:r w:rsidR="00974AFC" w:rsidRPr="00974AFC">
          <w:rPr>
            <w:i w:val="0"/>
            <w:noProof/>
            <w:webHidden/>
          </w:rPr>
        </w:r>
        <w:r w:rsidR="00974AFC" w:rsidRPr="00974AFC">
          <w:rPr>
            <w:i w:val="0"/>
            <w:noProof/>
            <w:webHidden/>
          </w:rPr>
          <w:fldChar w:fldCharType="separate"/>
        </w:r>
        <w:r>
          <w:rPr>
            <w:i w:val="0"/>
            <w:noProof/>
            <w:webHidden/>
          </w:rPr>
          <w:t>16-28</w:t>
        </w:r>
        <w:r w:rsidR="00974AFC" w:rsidRPr="00974AFC">
          <w:rPr>
            <w:i w:val="0"/>
            <w:noProof/>
            <w:webHidden/>
          </w:rPr>
          <w:fldChar w:fldCharType="end"/>
        </w:r>
      </w:hyperlink>
    </w:p>
    <w:p w14:paraId="7D369C86" w14:textId="12810DCB" w:rsidR="00974AFC" w:rsidRPr="00974AFC" w:rsidRDefault="00AC6018">
      <w:pPr>
        <w:pStyle w:val="TOC3"/>
        <w:rPr>
          <w:rFonts w:eastAsiaTheme="minorEastAsia"/>
          <w:i w:val="0"/>
          <w:iCs w:val="0"/>
          <w:noProof/>
        </w:rPr>
      </w:pPr>
      <w:hyperlink w:anchor="_Toc70591621" w:history="1">
        <w:r w:rsidR="00974AFC" w:rsidRPr="00974AFC">
          <w:rPr>
            <w:rStyle w:val="Hyperlink"/>
            <w:i w:val="0"/>
            <w:noProof/>
            <w:u w:val="none"/>
          </w:rPr>
          <w:t>16.8.2</w:t>
        </w:r>
        <w:r w:rsidR="00974AFC" w:rsidRPr="00974AFC">
          <w:rPr>
            <w:rFonts w:eastAsiaTheme="minorEastAsia"/>
            <w:i w:val="0"/>
            <w:iCs w:val="0"/>
            <w:noProof/>
          </w:rPr>
          <w:tab/>
        </w:r>
        <w:r w:rsidR="00974AFC" w:rsidRPr="00974AFC">
          <w:rPr>
            <w:rStyle w:val="Hyperlink"/>
            <w:i w:val="0"/>
            <w:noProof/>
            <w:u w:val="none"/>
          </w:rPr>
          <w:t>CRR Account Holder Application Process</w:t>
        </w:r>
        <w:r w:rsidR="00974AFC" w:rsidRPr="00974AFC">
          <w:rPr>
            <w:i w:val="0"/>
            <w:noProof/>
            <w:webHidden/>
          </w:rPr>
          <w:tab/>
        </w:r>
        <w:r w:rsidR="00974AFC" w:rsidRPr="00974AFC">
          <w:rPr>
            <w:i w:val="0"/>
            <w:noProof/>
            <w:webHidden/>
          </w:rPr>
          <w:fldChar w:fldCharType="begin"/>
        </w:r>
        <w:r w:rsidR="00974AFC" w:rsidRPr="00974AFC">
          <w:rPr>
            <w:i w:val="0"/>
            <w:noProof/>
            <w:webHidden/>
          </w:rPr>
          <w:instrText xml:space="preserve"> PAGEREF _Toc70591621 \h </w:instrText>
        </w:r>
        <w:r w:rsidR="00974AFC" w:rsidRPr="00974AFC">
          <w:rPr>
            <w:i w:val="0"/>
            <w:noProof/>
            <w:webHidden/>
          </w:rPr>
        </w:r>
        <w:r w:rsidR="00974AFC" w:rsidRPr="00974AFC">
          <w:rPr>
            <w:i w:val="0"/>
            <w:noProof/>
            <w:webHidden/>
          </w:rPr>
          <w:fldChar w:fldCharType="separate"/>
        </w:r>
        <w:r>
          <w:rPr>
            <w:i w:val="0"/>
            <w:noProof/>
            <w:webHidden/>
          </w:rPr>
          <w:t>16-30</w:t>
        </w:r>
        <w:r w:rsidR="00974AFC" w:rsidRPr="00974AFC">
          <w:rPr>
            <w:i w:val="0"/>
            <w:noProof/>
            <w:webHidden/>
          </w:rPr>
          <w:fldChar w:fldCharType="end"/>
        </w:r>
      </w:hyperlink>
    </w:p>
    <w:p w14:paraId="331FBB6A" w14:textId="58F04F86" w:rsidR="00974AFC" w:rsidRPr="00974AFC" w:rsidRDefault="00AC6018">
      <w:pPr>
        <w:pStyle w:val="TOC4"/>
        <w:rPr>
          <w:rFonts w:eastAsiaTheme="minorEastAsia"/>
          <w:sz w:val="20"/>
          <w:szCs w:val="20"/>
        </w:rPr>
      </w:pPr>
      <w:hyperlink w:anchor="_Toc70591622" w:history="1">
        <w:r w:rsidR="00974AFC" w:rsidRPr="00974AFC">
          <w:rPr>
            <w:rStyle w:val="Hyperlink"/>
            <w:sz w:val="20"/>
            <w:szCs w:val="20"/>
            <w:u w:val="none"/>
          </w:rPr>
          <w:t>16.8.2.1</w:t>
        </w:r>
        <w:r w:rsidR="00974AFC" w:rsidRPr="00974AFC">
          <w:rPr>
            <w:rFonts w:eastAsiaTheme="minorEastAsia"/>
            <w:sz w:val="20"/>
            <w:szCs w:val="20"/>
          </w:rPr>
          <w:tab/>
        </w:r>
        <w:r w:rsidR="00974AFC" w:rsidRPr="00974AFC">
          <w:rPr>
            <w:rStyle w:val="Hyperlink"/>
            <w:sz w:val="20"/>
            <w:szCs w:val="20"/>
            <w:u w:val="none"/>
          </w:rPr>
          <w:t>Notice of Receipt of CRR Account Holder Application</w:t>
        </w:r>
        <w:r w:rsidR="00974AFC" w:rsidRPr="00974AFC">
          <w:rPr>
            <w:webHidden/>
            <w:sz w:val="20"/>
            <w:szCs w:val="20"/>
          </w:rPr>
          <w:tab/>
        </w:r>
        <w:r w:rsidR="00974AFC" w:rsidRPr="00974AFC">
          <w:rPr>
            <w:webHidden/>
            <w:sz w:val="20"/>
            <w:szCs w:val="20"/>
          </w:rPr>
          <w:fldChar w:fldCharType="begin"/>
        </w:r>
        <w:r w:rsidR="00974AFC" w:rsidRPr="00974AFC">
          <w:rPr>
            <w:webHidden/>
            <w:sz w:val="20"/>
            <w:szCs w:val="20"/>
          </w:rPr>
          <w:instrText xml:space="preserve"> PAGEREF _Toc70591622 \h </w:instrText>
        </w:r>
        <w:r w:rsidR="00974AFC" w:rsidRPr="00974AFC">
          <w:rPr>
            <w:webHidden/>
            <w:sz w:val="20"/>
            <w:szCs w:val="20"/>
          </w:rPr>
        </w:r>
        <w:r w:rsidR="00974AFC" w:rsidRPr="00974AFC">
          <w:rPr>
            <w:webHidden/>
            <w:sz w:val="20"/>
            <w:szCs w:val="20"/>
          </w:rPr>
          <w:fldChar w:fldCharType="separate"/>
        </w:r>
        <w:r>
          <w:rPr>
            <w:webHidden/>
            <w:sz w:val="20"/>
            <w:szCs w:val="20"/>
          </w:rPr>
          <w:t>16-30</w:t>
        </w:r>
        <w:r w:rsidR="00974AFC" w:rsidRPr="00974AFC">
          <w:rPr>
            <w:webHidden/>
            <w:sz w:val="20"/>
            <w:szCs w:val="20"/>
          </w:rPr>
          <w:fldChar w:fldCharType="end"/>
        </w:r>
      </w:hyperlink>
    </w:p>
    <w:p w14:paraId="6365995D" w14:textId="31C1B5AA" w:rsidR="00974AFC" w:rsidRPr="00974AFC" w:rsidRDefault="00AC6018">
      <w:pPr>
        <w:pStyle w:val="TOC4"/>
        <w:rPr>
          <w:rFonts w:eastAsiaTheme="minorEastAsia"/>
          <w:sz w:val="20"/>
          <w:szCs w:val="20"/>
        </w:rPr>
      </w:pPr>
      <w:hyperlink w:anchor="_Toc70591623" w:history="1">
        <w:r w:rsidR="00974AFC" w:rsidRPr="00974AFC">
          <w:rPr>
            <w:rStyle w:val="Hyperlink"/>
            <w:sz w:val="20"/>
            <w:szCs w:val="20"/>
            <w:u w:val="none"/>
          </w:rPr>
          <w:t>16.8.2.2</w:t>
        </w:r>
        <w:r w:rsidR="00974AFC" w:rsidRPr="00974AFC">
          <w:rPr>
            <w:rFonts w:eastAsiaTheme="minorEastAsia"/>
            <w:sz w:val="20"/>
            <w:szCs w:val="20"/>
          </w:rPr>
          <w:tab/>
        </w:r>
        <w:r w:rsidR="00974AFC" w:rsidRPr="00974AFC">
          <w:rPr>
            <w:rStyle w:val="Hyperlink"/>
            <w:sz w:val="20"/>
            <w:szCs w:val="20"/>
            <w:u w:val="none"/>
          </w:rPr>
          <w:t>Incomplete Applications</w:t>
        </w:r>
        <w:r w:rsidR="00974AFC" w:rsidRPr="00974AFC">
          <w:rPr>
            <w:webHidden/>
            <w:sz w:val="20"/>
            <w:szCs w:val="20"/>
          </w:rPr>
          <w:tab/>
        </w:r>
        <w:r w:rsidR="00974AFC" w:rsidRPr="00974AFC">
          <w:rPr>
            <w:webHidden/>
            <w:sz w:val="20"/>
            <w:szCs w:val="20"/>
          </w:rPr>
          <w:fldChar w:fldCharType="begin"/>
        </w:r>
        <w:r w:rsidR="00974AFC" w:rsidRPr="00974AFC">
          <w:rPr>
            <w:webHidden/>
            <w:sz w:val="20"/>
            <w:szCs w:val="20"/>
          </w:rPr>
          <w:instrText xml:space="preserve"> PAGEREF _Toc70591623 \h </w:instrText>
        </w:r>
        <w:r w:rsidR="00974AFC" w:rsidRPr="00974AFC">
          <w:rPr>
            <w:webHidden/>
            <w:sz w:val="20"/>
            <w:szCs w:val="20"/>
          </w:rPr>
        </w:r>
        <w:r w:rsidR="00974AFC" w:rsidRPr="00974AFC">
          <w:rPr>
            <w:webHidden/>
            <w:sz w:val="20"/>
            <w:szCs w:val="20"/>
          </w:rPr>
          <w:fldChar w:fldCharType="separate"/>
        </w:r>
        <w:r>
          <w:rPr>
            <w:webHidden/>
            <w:sz w:val="20"/>
            <w:szCs w:val="20"/>
          </w:rPr>
          <w:t>16-31</w:t>
        </w:r>
        <w:r w:rsidR="00974AFC" w:rsidRPr="00974AFC">
          <w:rPr>
            <w:webHidden/>
            <w:sz w:val="20"/>
            <w:szCs w:val="20"/>
          </w:rPr>
          <w:fldChar w:fldCharType="end"/>
        </w:r>
      </w:hyperlink>
    </w:p>
    <w:p w14:paraId="4BB9660B" w14:textId="792F88E7" w:rsidR="00974AFC" w:rsidRPr="00974AFC" w:rsidRDefault="00AC6018">
      <w:pPr>
        <w:pStyle w:val="TOC4"/>
        <w:rPr>
          <w:rFonts w:eastAsiaTheme="minorEastAsia"/>
          <w:sz w:val="20"/>
          <w:szCs w:val="20"/>
        </w:rPr>
      </w:pPr>
      <w:hyperlink w:anchor="_Toc70591624" w:history="1">
        <w:r w:rsidR="00974AFC" w:rsidRPr="00974AFC">
          <w:rPr>
            <w:rStyle w:val="Hyperlink"/>
            <w:sz w:val="20"/>
            <w:szCs w:val="20"/>
            <w:u w:val="none"/>
          </w:rPr>
          <w:t>16.8.2.3</w:t>
        </w:r>
        <w:r w:rsidR="00974AFC" w:rsidRPr="00974AFC">
          <w:rPr>
            <w:rFonts w:eastAsiaTheme="minorEastAsia"/>
            <w:sz w:val="20"/>
            <w:szCs w:val="20"/>
          </w:rPr>
          <w:tab/>
        </w:r>
        <w:r w:rsidR="00974AFC" w:rsidRPr="00974AFC">
          <w:rPr>
            <w:rStyle w:val="Hyperlink"/>
            <w:sz w:val="20"/>
            <w:szCs w:val="20"/>
            <w:u w:val="none"/>
          </w:rPr>
          <w:t>ERCOT Approval or Rejection of CRR Account Holder Application</w:t>
        </w:r>
        <w:r w:rsidR="00974AFC" w:rsidRPr="00974AFC">
          <w:rPr>
            <w:webHidden/>
            <w:sz w:val="20"/>
            <w:szCs w:val="20"/>
          </w:rPr>
          <w:tab/>
        </w:r>
        <w:r w:rsidR="00974AFC" w:rsidRPr="00974AFC">
          <w:rPr>
            <w:webHidden/>
            <w:sz w:val="20"/>
            <w:szCs w:val="20"/>
          </w:rPr>
          <w:fldChar w:fldCharType="begin"/>
        </w:r>
        <w:r w:rsidR="00974AFC" w:rsidRPr="00974AFC">
          <w:rPr>
            <w:webHidden/>
            <w:sz w:val="20"/>
            <w:szCs w:val="20"/>
          </w:rPr>
          <w:instrText xml:space="preserve"> PAGEREF _Toc70591624 \h </w:instrText>
        </w:r>
        <w:r w:rsidR="00974AFC" w:rsidRPr="00974AFC">
          <w:rPr>
            <w:webHidden/>
            <w:sz w:val="20"/>
            <w:szCs w:val="20"/>
          </w:rPr>
        </w:r>
        <w:r w:rsidR="00974AFC" w:rsidRPr="00974AFC">
          <w:rPr>
            <w:webHidden/>
            <w:sz w:val="20"/>
            <w:szCs w:val="20"/>
          </w:rPr>
          <w:fldChar w:fldCharType="separate"/>
        </w:r>
        <w:r>
          <w:rPr>
            <w:webHidden/>
            <w:sz w:val="20"/>
            <w:szCs w:val="20"/>
          </w:rPr>
          <w:t>16-31</w:t>
        </w:r>
        <w:r w:rsidR="00974AFC" w:rsidRPr="00974AFC">
          <w:rPr>
            <w:webHidden/>
            <w:sz w:val="20"/>
            <w:szCs w:val="20"/>
          </w:rPr>
          <w:fldChar w:fldCharType="end"/>
        </w:r>
      </w:hyperlink>
    </w:p>
    <w:p w14:paraId="228C84FF" w14:textId="31FF4E4E" w:rsidR="00974AFC" w:rsidRPr="00974AFC" w:rsidRDefault="00AC6018">
      <w:pPr>
        <w:pStyle w:val="TOC3"/>
        <w:rPr>
          <w:rFonts w:eastAsiaTheme="minorEastAsia"/>
          <w:i w:val="0"/>
          <w:iCs w:val="0"/>
          <w:noProof/>
        </w:rPr>
      </w:pPr>
      <w:hyperlink w:anchor="_Toc70591625" w:history="1">
        <w:r w:rsidR="00974AFC" w:rsidRPr="00974AFC">
          <w:rPr>
            <w:rStyle w:val="Hyperlink"/>
            <w:i w:val="0"/>
            <w:noProof/>
            <w:u w:val="none"/>
          </w:rPr>
          <w:t>16.8.3</w:t>
        </w:r>
        <w:r w:rsidR="00974AFC" w:rsidRPr="00974AFC">
          <w:rPr>
            <w:rFonts w:eastAsiaTheme="minorEastAsia"/>
            <w:i w:val="0"/>
            <w:iCs w:val="0"/>
            <w:noProof/>
          </w:rPr>
          <w:tab/>
        </w:r>
        <w:r w:rsidR="00974AFC" w:rsidRPr="00974AFC">
          <w:rPr>
            <w:rStyle w:val="Hyperlink"/>
            <w:i w:val="0"/>
            <w:noProof/>
            <w:u w:val="none"/>
          </w:rPr>
          <w:t>Remaining Steps for CRR Account Holder Registration</w:t>
        </w:r>
        <w:r w:rsidR="00974AFC" w:rsidRPr="00974AFC">
          <w:rPr>
            <w:i w:val="0"/>
            <w:noProof/>
            <w:webHidden/>
          </w:rPr>
          <w:tab/>
        </w:r>
        <w:r w:rsidR="00974AFC" w:rsidRPr="00974AFC">
          <w:rPr>
            <w:i w:val="0"/>
            <w:noProof/>
            <w:webHidden/>
          </w:rPr>
          <w:fldChar w:fldCharType="begin"/>
        </w:r>
        <w:r w:rsidR="00974AFC" w:rsidRPr="00974AFC">
          <w:rPr>
            <w:i w:val="0"/>
            <w:noProof/>
            <w:webHidden/>
          </w:rPr>
          <w:instrText xml:space="preserve"> PAGEREF _Toc70591625 \h </w:instrText>
        </w:r>
        <w:r w:rsidR="00974AFC" w:rsidRPr="00974AFC">
          <w:rPr>
            <w:i w:val="0"/>
            <w:noProof/>
            <w:webHidden/>
          </w:rPr>
        </w:r>
        <w:r w:rsidR="00974AFC" w:rsidRPr="00974AFC">
          <w:rPr>
            <w:i w:val="0"/>
            <w:noProof/>
            <w:webHidden/>
          </w:rPr>
          <w:fldChar w:fldCharType="separate"/>
        </w:r>
        <w:r>
          <w:rPr>
            <w:i w:val="0"/>
            <w:noProof/>
            <w:webHidden/>
          </w:rPr>
          <w:t>16-33</w:t>
        </w:r>
        <w:r w:rsidR="00974AFC" w:rsidRPr="00974AFC">
          <w:rPr>
            <w:i w:val="0"/>
            <w:noProof/>
            <w:webHidden/>
          </w:rPr>
          <w:fldChar w:fldCharType="end"/>
        </w:r>
      </w:hyperlink>
    </w:p>
    <w:p w14:paraId="03D6EBAE" w14:textId="59C315FD" w:rsidR="00974AFC" w:rsidRPr="00974AFC" w:rsidRDefault="00AC6018">
      <w:pPr>
        <w:pStyle w:val="TOC4"/>
        <w:rPr>
          <w:rFonts w:eastAsiaTheme="minorEastAsia"/>
          <w:sz w:val="20"/>
          <w:szCs w:val="20"/>
        </w:rPr>
      </w:pPr>
      <w:hyperlink w:anchor="_Toc70591626" w:history="1">
        <w:r w:rsidR="00974AFC" w:rsidRPr="00974AFC">
          <w:rPr>
            <w:rStyle w:val="Hyperlink"/>
            <w:sz w:val="20"/>
            <w:szCs w:val="20"/>
            <w:u w:val="none"/>
          </w:rPr>
          <w:t>16.8.3.1</w:t>
        </w:r>
        <w:r w:rsidR="00974AFC" w:rsidRPr="00974AFC">
          <w:rPr>
            <w:rFonts w:eastAsiaTheme="minorEastAsia"/>
            <w:sz w:val="20"/>
            <w:szCs w:val="20"/>
          </w:rPr>
          <w:tab/>
        </w:r>
        <w:r w:rsidR="00974AFC" w:rsidRPr="00974AFC">
          <w:rPr>
            <w:rStyle w:val="Hyperlink"/>
            <w:sz w:val="20"/>
            <w:szCs w:val="20"/>
            <w:u w:val="none"/>
          </w:rPr>
          <w:t>Maintaining and Updating CRR Account Holder Information</w:t>
        </w:r>
        <w:r w:rsidR="00974AFC" w:rsidRPr="00974AFC">
          <w:rPr>
            <w:webHidden/>
            <w:sz w:val="20"/>
            <w:szCs w:val="20"/>
          </w:rPr>
          <w:tab/>
        </w:r>
        <w:r w:rsidR="00974AFC" w:rsidRPr="00974AFC">
          <w:rPr>
            <w:webHidden/>
            <w:sz w:val="20"/>
            <w:szCs w:val="20"/>
          </w:rPr>
          <w:fldChar w:fldCharType="begin"/>
        </w:r>
        <w:r w:rsidR="00974AFC" w:rsidRPr="00974AFC">
          <w:rPr>
            <w:webHidden/>
            <w:sz w:val="20"/>
            <w:szCs w:val="20"/>
          </w:rPr>
          <w:instrText xml:space="preserve"> PAGEREF _Toc70591626 \h </w:instrText>
        </w:r>
        <w:r w:rsidR="00974AFC" w:rsidRPr="00974AFC">
          <w:rPr>
            <w:webHidden/>
            <w:sz w:val="20"/>
            <w:szCs w:val="20"/>
          </w:rPr>
        </w:r>
        <w:r w:rsidR="00974AFC" w:rsidRPr="00974AFC">
          <w:rPr>
            <w:webHidden/>
            <w:sz w:val="20"/>
            <w:szCs w:val="20"/>
          </w:rPr>
          <w:fldChar w:fldCharType="separate"/>
        </w:r>
        <w:r>
          <w:rPr>
            <w:webHidden/>
            <w:sz w:val="20"/>
            <w:szCs w:val="20"/>
          </w:rPr>
          <w:t>16-33</w:t>
        </w:r>
        <w:r w:rsidR="00974AFC" w:rsidRPr="00974AFC">
          <w:rPr>
            <w:webHidden/>
            <w:sz w:val="20"/>
            <w:szCs w:val="20"/>
          </w:rPr>
          <w:fldChar w:fldCharType="end"/>
        </w:r>
      </w:hyperlink>
    </w:p>
    <w:p w14:paraId="671C18CC" w14:textId="51CECA7D" w:rsidR="00974AFC" w:rsidRPr="00974AFC" w:rsidRDefault="00AC6018">
      <w:pPr>
        <w:pStyle w:val="TOC2"/>
        <w:rPr>
          <w:rFonts w:eastAsiaTheme="minorEastAsia"/>
        </w:rPr>
      </w:pPr>
      <w:hyperlink w:anchor="_Toc70591627" w:history="1">
        <w:r w:rsidR="00974AFC" w:rsidRPr="00974AFC">
          <w:rPr>
            <w:rStyle w:val="Hyperlink"/>
            <w:u w:val="none"/>
          </w:rPr>
          <w:t>16.9</w:t>
        </w:r>
        <w:r w:rsidR="00974AFC" w:rsidRPr="00974AFC">
          <w:rPr>
            <w:rFonts w:eastAsiaTheme="minorEastAsia"/>
          </w:rPr>
          <w:tab/>
        </w:r>
        <w:r w:rsidR="00974AFC" w:rsidRPr="00974AFC">
          <w:rPr>
            <w:rStyle w:val="Hyperlink"/>
            <w:u w:val="none"/>
          </w:rPr>
          <w:t>Resources Providing Reliability Must-Run Service</w:t>
        </w:r>
        <w:r w:rsidR="00974AFC" w:rsidRPr="00974AFC">
          <w:rPr>
            <w:webHidden/>
          </w:rPr>
          <w:tab/>
        </w:r>
        <w:r w:rsidR="00974AFC" w:rsidRPr="00974AFC">
          <w:rPr>
            <w:webHidden/>
          </w:rPr>
          <w:fldChar w:fldCharType="begin"/>
        </w:r>
        <w:r w:rsidR="00974AFC" w:rsidRPr="00974AFC">
          <w:rPr>
            <w:webHidden/>
          </w:rPr>
          <w:instrText xml:space="preserve"> PAGEREF _Toc70591627 \h </w:instrText>
        </w:r>
        <w:r w:rsidR="00974AFC" w:rsidRPr="00974AFC">
          <w:rPr>
            <w:webHidden/>
          </w:rPr>
        </w:r>
        <w:r w:rsidR="00974AFC" w:rsidRPr="00974AFC">
          <w:rPr>
            <w:webHidden/>
          </w:rPr>
          <w:fldChar w:fldCharType="separate"/>
        </w:r>
        <w:r>
          <w:rPr>
            <w:webHidden/>
          </w:rPr>
          <w:t>16-34</w:t>
        </w:r>
        <w:r w:rsidR="00974AFC" w:rsidRPr="00974AFC">
          <w:rPr>
            <w:webHidden/>
          </w:rPr>
          <w:fldChar w:fldCharType="end"/>
        </w:r>
      </w:hyperlink>
    </w:p>
    <w:p w14:paraId="3BF038DB" w14:textId="4BA0F762" w:rsidR="00974AFC" w:rsidRPr="00974AFC" w:rsidRDefault="00AC6018">
      <w:pPr>
        <w:pStyle w:val="TOC2"/>
        <w:rPr>
          <w:rFonts w:eastAsiaTheme="minorEastAsia"/>
        </w:rPr>
      </w:pPr>
      <w:hyperlink w:anchor="_Toc70591628" w:history="1">
        <w:r w:rsidR="00974AFC" w:rsidRPr="00974AFC">
          <w:rPr>
            <w:rStyle w:val="Hyperlink"/>
            <w:u w:val="none"/>
          </w:rPr>
          <w:t>16.10</w:t>
        </w:r>
        <w:r w:rsidR="00974AFC" w:rsidRPr="00974AFC">
          <w:rPr>
            <w:rFonts w:eastAsiaTheme="minorEastAsia"/>
          </w:rPr>
          <w:tab/>
        </w:r>
        <w:r w:rsidR="00974AFC" w:rsidRPr="00974AFC">
          <w:rPr>
            <w:rStyle w:val="Hyperlink"/>
            <w:u w:val="none"/>
          </w:rPr>
          <w:t>Resources Providing Black Start Service</w:t>
        </w:r>
        <w:r w:rsidR="00974AFC" w:rsidRPr="00974AFC">
          <w:rPr>
            <w:webHidden/>
          </w:rPr>
          <w:tab/>
        </w:r>
        <w:r w:rsidR="00974AFC" w:rsidRPr="00974AFC">
          <w:rPr>
            <w:webHidden/>
          </w:rPr>
          <w:fldChar w:fldCharType="begin"/>
        </w:r>
        <w:r w:rsidR="00974AFC" w:rsidRPr="00974AFC">
          <w:rPr>
            <w:webHidden/>
          </w:rPr>
          <w:instrText xml:space="preserve"> PAGEREF _Toc70591628 \h </w:instrText>
        </w:r>
        <w:r w:rsidR="00974AFC" w:rsidRPr="00974AFC">
          <w:rPr>
            <w:webHidden/>
          </w:rPr>
        </w:r>
        <w:r w:rsidR="00974AFC" w:rsidRPr="00974AFC">
          <w:rPr>
            <w:webHidden/>
          </w:rPr>
          <w:fldChar w:fldCharType="separate"/>
        </w:r>
        <w:r>
          <w:rPr>
            <w:webHidden/>
          </w:rPr>
          <w:t>16-34</w:t>
        </w:r>
        <w:r w:rsidR="00974AFC" w:rsidRPr="00974AFC">
          <w:rPr>
            <w:webHidden/>
          </w:rPr>
          <w:fldChar w:fldCharType="end"/>
        </w:r>
      </w:hyperlink>
    </w:p>
    <w:p w14:paraId="09C1EEDF" w14:textId="231C37DF" w:rsidR="00974AFC" w:rsidRPr="00974AFC" w:rsidRDefault="00AC6018">
      <w:pPr>
        <w:pStyle w:val="TOC2"/>
        <w:rPr>
          <w:rFonts w:eastAsiaTheme="minorEastAsia"/>
        </w:rPr>
      </w:pPr>
      <w:hyperlink w:anchor="_Toc70591629" w:history="1">
        <w:r w:rsidR="00974AFC" w:rsidRPr="00974AFC">
          <w:rPr>
            <w:rStyle w:val="Hyperlink"/>
            <w:u w:val="none"/>
          </w:rPr>
          <w:t>16.11</w:t>
        </w:r>
        <w:r w:rsidR="00974AFC" w:rsidRPr="00974AFC">
          <w:rPr>
            <w:rFonts w:eastAsiaTheme="minorEastAsia"/>
          </w:rPr>
          <w:tab/>
        </w:r>
        <w:r w:rsidR="00974AFC" w:rsidRPr="00974AFC">
          <w:rPr>
            <w:rStyle w:val="Hyperlink"/>
            <w:u w:val="none"/>
          </w:rPr>
          <w:t>Financial Security for Counter-Parties</w:t>
        </w:r>
        <w:r w:rsidR="00974AFC" w:rsidRPr="00974AFC">
          <w:rPr>
            <w:webHidden/>
          </w:rPr>
          <w:tab/>
        </w:r>
        <w:r w:rsidR="00974AFC" w:rsidRPr="00974AFC">
          <w:rPr>
            <w:webHidden/>
          </w:rPr>
          <w:fldChar w:fldCharType="begin"/>
        </w:r>
        <w:r w:rsidR="00974AFC" w:rsidRPr="00974AFC">
          <w:rPr>
            <w:webHidden/>
          </w:rPr>
          <w:instrText xml:space="preserve"> PAGEREF _Toc70591629 \h </w:instrText>
        </w:r>
        <w:r w:rsidR="00974AFC" w:rsidRPr="00974AFC">
          <w:rPr>
            <w:webHidden/>
          </w:rPr>
        </w:r>
        <w:r w:rsidR="00974AFC" w:rsidRPr="00974AFC">
          <w:rPr>
            <w:webHidden/>
          </w:rPr>
          <w:fldChar w:fldCharType="separate"/>
        </w:r>
        <w:r>
          <w:rPr>
            <w:webHidden/>
          </w:rPr>
          <w:t>16-34</w:t>
        </w:r>
        <w:r w:rsidR="00974AFC" w:rsidRPr="00974AFC">
          <w:rPr>
            <w:webHidden/>
          </w:rPr>
          <w:fldChar w:fldCharType="end"/>
        </w:r>
      </w:hyperlink>
    </w:p>
    <w:p w14:paraId="6FF59529" w14:textId="7CC549D2" w:rsidR="00974AFC" w:rsidRPr="00974AFC" w:rsidRDefault="00AC6018">
      <w:pPr>
        <w:pStyle w:val="TOC3"/>
        <w:rPr>
          <w:rFonts w:eastAsiaTheme="minorEastAsia"/>
          <w:i w:val="0"/>
          <w:iCs w:val="0"/>
          <w:noProof/>
        </w:rPr>
      </w:pPr>
      <w:hyperlink w:anchor="_Toc70591630" w:history="1">
        <w:r w:rsidR="00974AFC" w:rsidRPr="00974AFC">
          <w:rPr>
            <w:rStyle w:val="Hyperlink"/>
            <w:i w:val="0"/>
            <w:noProof/>
            <w:u w:val="none"/>
          </w:rPr>
          <w:t>16.11.1</w:t>
        </w:r>
        <w:r w:rsidR="00974AFC" w:rsidRPr="00974AFC">
          <w:rPr>
            <w:rFonts w:eastAsiaTheme="minorEastAsia"/>
            <w:i w:val="0"/>
            <w:iCs w:val="0"/>
            <w:noProof/>
          </w:rPr>
          <w:tab/>
        </w:r>
        <w:r w:rsidR="00974AFC" w:rsidRPr="00974AFC">
          <w:rPr>
            <w:rStyle w:val="Hyperlink"/>
            <w:i w:val="0"/>
            <w:noProof/>
            <w:u w:val="none"/>
          </w:rPr>
          <w:t>ERCOT Creditworthiness Requirements for Counter-Parties</w:t>
        </w:r>
        <w:r w:rsidR="00974AFC" w:rsidRPr="00974AFC">
          <w:rPr>
            <w:i w:val="0"/>
            <w:noProof/>
            <w:webHidden/>
          </w:rPr>
          <w:tab/>
        </w:r>
        <w:r w:rsidR="00974AFC" w:rsidRPr="00974AFC">
          <w:rPr>
            <w:i w:val="0"/>
            <w:noProof/>
            <w:webHidden/>
          </w:rPr>
          <w:fldChar w:fldCharType="begin"/>
        </w:r>
        <w:r w:rsidR="00974AFC" w:rsidRPr="00974AFC">
          <w:rPr>
            <w:i w:val="0"/>
            <w:noProof/>
            <w:webHidden/>
          </w:rPr>
          <w:instrText xml:space="preserve"> PAGEREF _Toc70591630 \h </w:instrText>
        </w:r>
        <w:r w:rsidR="00974AFC" w:rsidRPr="00974AFC">
          <w:rPr>
            <w:i w:val="0"/>
            <w:noProof/>
            <w:webHidden/>
          </w:rPr>
        </w:r>
        <w:r w:rsidR="00974AFC" w:rsidRPr="00974AFC">
          <w:rPr>
            <w:i w:val="0"/>
            <w:noProof/>
            <w:webHidden/>
          </w:rPr>
          <w:fldChar w:fldCharType="separate"/>
        </w:r>
        <w:r>
          <w:rPr>
            <w:i w:val="0"/>
            <w:noProof/>
            <w:webHidden/>
          </w:rPr>
          <w:t>16-34</w:t>
        </w:r>
        <w:r w:rsidR="00974AFC" w:rsidRPr="00974AFC">
          <w:rPr>
            <w:i w:val="0"/>
            <w:noProof/>
            <w:webHidden/>
          </w:rPr>
          <w:fldChar w:fldCharType="end"/>
        </w:r>
      </w:hyperlink>
    </w:p>
    <w:p w14:paraId="3B682FEB" w14:textId="4B84019E" w:rsidR="00974AFC" w:rsidRPr="00974AFC" w:rsidRDefault="00AC6018">
      <w:pPr>
        <w:pStyle w:val="TOC3"/>
        <w:rPr>
          <w:rFonts w:eastAsiaTheme="minorEastAsia"/>
          <w:i w:val="0"/>
          <w:iCs w:val="0"/>
          <w:noProof/>
        </w:rPr>
      </w:pPr>
      <w:hyperlink w:anchor="_Toc70591631" w:history="1">
        <w:r w:rsidR="00974AFC" w:rsidRPr="00974AFC">
          <w:rPr>
            <w:rStyle w:val="Hyperlink"/>
            <w:i w:val="0"/>
            <w:noProof/>
            <w:u w:val="none"/>
          </w:rPr>
          <w:t>16.11.2</w:t>
        </w:r>
        <w:r w:rsidR="00974AFC" w:rsidRPr="00974AFC">
          <w:rPr>
            <w:rFonts w:eastAsiaTheme="minorEastAsia"/>
            <w:i w:val="0"/>
            <w:iCs w:val="0"/>
            <w:noProof/>
          </w:rPr>
          <w:tab/>
        </w:r>
        <w:r w:rsidR="00974AFC" w:rsidRPr="00974AFC">
          <w:rPr>
            <w:rStyle w:val="Hyperlink"/>
            <w:i w:val="0"/>
            <w:noProof/>
            <w:u w:val="none"/>
          </w:rPr>
          <w:t>Requirements for Setting a Counter-Party’s Unsecured Credit Limit</w:t>
        </w:r>
        <w:r w:rsidR="00974AFC" w:rsidRPr="00974AFC">
          <w:rPr>
            <w:i w:val="0"/>
            <w:noProof/>
            <w:webHidden/>
          </w:rPr>
          <w:tab/>
        </w:r>
        <w:r w:rsidR="00974AFC" w:rsidRPr="00974AFC">
          <w:rPr>
            <w:i w:val="0"/>
            <w:noProof/>
            <w:webHidden/>
          </w:rPr>
          <w:fldChar w:fldCharType="begin"/>
        </w:r>
        <w:r w:rsidR="00974AFC" w:rsidRPr="00974AFC">
          <w:rPr>
            <w:i w:val="0"/>
            <w:noProof/>
            <w:webHidden/>
          </w:rPr>
          <w:instrText xml:space="preserve"> PAGEREF _Toc70591631 \h </w:instrText>
        </w:r>
        <w:r w:rsidR="00974AFC" w:rsidRPr="00974AFC">
          <w:rPr>
            <w:i w:val="0"/>
            <w:noProof/>
            <w:webHidden/>
          </w:rPr>
        </w:r>
        <w:r w:rsidR="00974AFC" w:rsidRPr="00974AFC">
          <w:rPr>
            <w:i w:val="0"/>
            <w:noProof/>
            <w:webHidden/>
          </w:rPr>
          <w:fldChar w:fldCharType="separate"/>
        </w:r>
        <w:r>
          <w:rPr>
            <w:i w:val="0"/>
            <w:noProof/>
            <w:webHidden/>
          </w:rPr>
          <w:t>16-35</w:t>
        </w:r>
        <w:r w:rsidR="00974AFC" w:rsidRPr="00974AFC">
          <w:rPr>
            <w:i w:val="0"/>
            <w:noProof/>
            <w:webHidden/>
          </w:rPr>
          <w:fldChar w:fldCharType="end"/>
        </w:r>
      </w:hyperlink>
    </w:p>
    <w:p w14:paraId="2703251C" w14:textId="1E2DC76E" w:rsidR="00974AFC" w:rsidRPr="00974AFC" w:rsidRDefault="00AC6018">
      <w:pPr>
        <w:pStyle w:val="TOC3"/>
        <w:rPr>
          <w:rFonts w:eastAsiaTheme="minorEastAsia"/>
          <w:i w:val="0"/>
          <w:iCs w:val="0"/>
          <w:noProof/>
        </w:rPr>
      </w:pPr>
      <w:hyperlink w:anchor="_Toc70591632" w:history="1">
        <w:r w:rsidR="00974AFC" w:rsidRPr="00974AFC">
          <w:rPr>
            <w:rStyle w:val="Hyperlink"/>
            <w:i w:val="0"/>
            <w:noProof/>
            <w:u w:val="none"/>
          </w:rPr>
          <w:t>16.11.3</w:t>
        </w:r>
        <w:r w:rsidR="00974AFC" w:rsidRPr="00974AFC">
          <w:rPr>
            <w:rFonts w:eastAsiaTheme="minorEastAsia"/>
            <w:i w:val="0"/>
            <w:iCs w:val="0"/>
            <w:noProof/>
          </w:rPr>
          <w:tab/>
        </w:r>
        <w:r w:rsidR="00974AFC" w:rsidRPr="00974AFC">
          <w:rPr>
            <w:rStyle w:val="Hyperlink"/>
            <w:i w:val="0"/>
            <w:noProof/>
            <w:u w:val="none"/>
          </w:rPr>
          <w:t>Alternative Means of Satisfying ERCOT Creditworthiness Requirements</w:t>
        </w:r>
        <w:r w:rsidR="00974AFC" w:rsidRPr="00974AFC">
          <w:rPr>
            <w:i w:val="0"/>
            <w:noProof/>
            <w:webHidden/>
          </w:rPr>
          <w:tab/>
        </w:r>
        <w:r w:rsidR="00974AFC" w:rsidRPr="00974AFC">
          <w:rPr>
            <w:i w:val="0"/>
            <w:noProof/>
            <w:webHidden/>
          </w:rPr>
          <w:fldChar w:fldCharType="begin"/>
        </w:r>
        <w:r w:rsidR="00974AFC" w:rsidRPr="00974AFC">
          <w:rPr>
            <w:i w:val="0"/>
            <w:noProof/>
            <w:webHidden/>
          </w:rPr>
          <w:instrText xml:space="preserve"> PAGEREF _Toc70591632 \h </w:instrText>
        </w:r>
        <w:r w:rsidR="00974AFC" w:rsidRPr="00974AFC">
          <w:rPr>
            <w:i w:val="0"/>
            <w:noProof/>
            <w:webHidden/>
          </w:rPr>
        </w:r>
        <w:r w:rsidR="00974AFC" w:rsidRPr="00974AFC">
          <w:rPr>
            <w:i w:val="0"/>
            <w:noProof/>
            <w:webHidden/>
          </w:rPr>
          <w:fldChar w:fldCharType="separate"/>
        </w:r>
        <w:r>
          <w:rPr>
            <w:i w:val="0"/>
            <w:noProof/>
            <w:webHidden/>
          </w:rPr>
          <w:t>16-38</w:t>
        </w:r>
        <w:r w:rsidR="00974AFC" w:rsidRPr="00974AFC">
          <w:rPr>
            <w:i w:val="0"/>
            <w:noProof/>
            <w:webHidden/>
          </w:rPr>
          <w:fldChar w:fldCharType="end"/>
        </w:r>
      </w:hyperlink>
    </w:p>
    <w:p w14:paraId="3EB37BBD" w14:textId="46D3360D" w:rsidR="00974AFC" w:rsidRPr="00974AFC" w:rsidRDefault="00AC6018">
      <w:pPr>
        <w:pStyle w:val="TOC3"/>
        <w:rPr>
          <w:rFonts w:eastAsiaTheme="minorEastAsia"/>
          <w:i w:val="0"/>
          <w:iCs w:val="0"/>
          <w:noProof/>
        </w:rPr>
      </w:pPr>
      <w:hyperlink w:anchor="_Toc70591633" w:history="1">
        <w:r w:rsidR="00974AFC" w:rsidRPr="00974AFC">
          <w:rPr>
            <w:rStyle w:val="Hyperlink"/>
            <w:i w:val="0"/>
            <w:noProof/>
            <w:u w:val="none"/>
          </w:rPr>
          <w:t>16.11.4</w:t>
        </w:r>
        <w:r w:rsidR="00974AFC" w:rsidRPr="00974AFC">
          <w:rPr>
            <w:rFonts w:eastAsiaTheme="minorEastAsia"/>
            <w:i w:val="0"/>
            <w:iCs w:val="0"/>
            <w:noProof/>
          </w:rPr>
          <w:tab/>
        </w:r>
        <w:r w:rsidR="00974AFC" w:rsidRPr="00974AFC">
          <w:rPr>
            <w:rStyle w:val="Hyperlink"/>
            <w:i w:val="0"/>
            <w:noProof/>
            <w:u w:val="none"/>
          </w:rPr>
          <w:t>Determination and Monitoring of Counter-Party Credit Exposure</w:t>
        </w:r>
        <w:r w:rsidR="00974AFC" w:rsidRPr="00974AFC">
          <w:rPr>
            <w:i w:val="0"/>
            <w:noProof/>
            <w:webHidden/>
          </w:rPr>
          <w:tab/>
        </w:r>
        <w:r w:rsidR="00974AFC" w:rsidRPr="00974AFC">
          <w:rPr>
            <w:i w:val="0"/>
            <w:noProof/>
            <w:webHidden/>
          </w:rPr>
          <w:fldChar w:fldCharType="begin"/>
        </w:r>
        <w:r w:rsidR="00974AFC" w:rsidRPr="00974AFC">
          <w:rPr>
            <w:i w:val="0"/>
            <w:noProof/>
            <w:webHidden/>
          </w:rPr>
          <w:instrText xml:space="preserve"> PAGEREF _Toc70591633 \h </w:instrText>
        </w:r>
        <w:r w:rsidR="00974AFC" w:rsidRPr="00974AFC">
          <w:rPr>
            <w:i w:val="0"/>
            <w:noProof/>
            <w:webHidden/>
          </w:rPr>
        </w:r>
        <w:r w:rsidR="00974AFC" w:rsidRPr="00974AFC">
          <w:rPr>
            <w:i w:val="0"/>
            <w:noProof/>
            <w:webHidden/>
          </w:rPr>
          <w:fldChar w:fldCharType="separate"/>
        </w:r>
        <w:r>
          <w:rPr>
            <w:i w:val="0"/>
            <w:noProof/>
            <w:webHidden/>
          </w:rPr>
          <w:t>16-42</w:t>
        </w:r>
        <w:r w:rsidR="00974AFC" w:rsidRPr="00974AFC">
          <w:rPr>
            <w:i w:val="0"/>
            <w:noProof/>
            <w:webHidden/>
          </w:rPr>
          <w:fldChar w:fldCharType="end"/>
        </w:r>
      </w:hyperlink>
    </w:p>
    <w:p w14:paraId="069ECFF7" w14:textId="496CD710" w:rsidR="00974AFC" w:rsidRPr="00974AFC" w:rsidRDefault="00AC6018">
      <w:pPr>
        <w:pStyle w:val="TOC4"/>
        <w:rPr>
          <w:rFonts w:eastAsiaTheme="minorEastAsia"/>
          <w:sz w:val="20"/>
          <w:szCs w:val="20"/>
        </w:rPr>
      </w:pPr>
      <w:hyperlink w:anchor="_Toc70591634" w:history="1">
        <w:r w:rsidR="00974AFC" w:rsidRPr="00974AFC">
          <w:rPr>
            <w:rStyle w:val="Hyperlink"/>
            <w:bCs/>
            <w:sz w:val="20"/>
            <w:szCs w:val="20"/>
            <w:u w:val="none"/>
          </w:rPr>
          <w:t>16.11.4.1</w:t>
        </w:r>
        <w:r w:rsidR="00974AFC" w:rsidRPr="00974AFC">
          <w:rPr>
            <w:rFonts w:eastAsiaTheme="minorEastAsia"/>
            <w:sz w:val="20"/>
            <w:szCs w:val="20"/>
          </w:rPr>
          <w:tab/>
        </w:r>
        <w:r w:rsidR="00974AFC" w:rsidRPr="00974AFC">
          <w:rPr>
            <w:rStyle w:val="Hyperlink"/>
            <w:bCs/>
            <w:sz w:val="20"/>
            <w:szCs w:val="20"/>
            <w:u w:val="none"/>
          </w:rPr>
          <w:t>Determination of Total Potential Exposure for a Counter-Party</w:t>
        </w:r>
        <w:r w:rsidR="00974AFC" w:rsidRPr="00974AFC">
          <w:rPr>
            <w:webHidden/>
            <w:sz w:val="20"/>
            <w:szCs w:val="20"/>
          </w:rPr>
          <w:tab/>
        </w:r>
        <w:r w:rsidR="00974AFC" w:rsidRPr="00974AFC">
          <w:rPr>
            <w:webHidden/>
            <w:sz w:val="20"/>
            <w:szCs w:val="20"/>
          </w:rPr>
          <w:fldChar w:fldCharType="begin"/>
        </w:r>
        <w:r w:rsidR="00974AFC" w:rsidRPr="00974AFC">
          <w:rPr>
            <w:webHidden/>
            <w:sz w:val="20"/>
            <w:szCs w:val="20"/>
          </w:rPr>
          <w:instrText xml:space="preserve"> PAGEREF _Toc70591634 \h </w:instrText>
        </w:r>
        <w:r w:rsidR="00974AFC" w:rsidRPr="00974AFC">
          <w:rPr>
            <w:webHidden/>
            <w:sz w:val="20"/>
            <w:szCs w:val="20"/>
          </w:rPr>
        </w:r>
        <w:r w:rsidR="00974AFC" w:rsidRPr="00974AFC">
          <w:rPr>
            <w:webHidden/>
            <w:sz w:val="20"/>
            <w:szCs w:val="20"/>
          </w:rPr>
          <w:fldChar w:fldCharType="separate"/>
        </w:r>
        <w:r>
          <w:rPr>
            <w:webHidden/>
            <w:sz w:val="20"/>
            <w:szCs w:val="20"/>
          </w:rPr>
          <w:t>16-42</w:t>
        </w:r>
        <w:r w:rsidR="00974AFC" w:rsidRPr="00974AFC">
          <w:rPr>
            <w:webHidden/>
            <w:sz w:val="20"/>
            <w:szCs w:val="20"/>
          </w:rPr>
          <w:fldChar w:fldCharType="end"/>
        </w:r>
      </w:hyperlink>
    </w:p>
    <w:p w14:paraId="159CE317" w14:textId="2821DD76" w:rsidR="00974AFC" w:rsidRPr="00974AFC" w:rsidRDefault="00AC6018">
      <w:pPr>
        <w:pStyle w:val="TOC4"/>
        <w:rPr>
          <w:rFonts w:eastAsiaTheme="minorEastAsia"/>
          <w:sz w:val="20"/>
          <w:szCs w:val="20"/>
        </w:rPr>
      </w:pPr>
      <w:hyperlink w:anchor="_Toc70591635" w:history="1">
        <w:r w:rsidR="00974AFC" w:rsidRPr="00974AFC">
          <w:rPr>
            <w:rStyle w:val="Hyperlink"/>
            <w:sz w:val="20"/>
            <w:szCs w:val="20"/>
            <w:u w:val="none"/>
          </w:rPr>
          <w:t>16.11.4.2</w:t>
        </w:r>
        <w:r w:rsidR="00974AFC" w:rsidRPr="00974AFC">
          <w:rPr>
            <w:rFonts w:eastAsiaTheme="minorEastAsia"/>
            <w:sz w:val="20"/>
            <w:szCs w:val="20"/>
          </w:rPr>
          <w:tab/>
        </w:r>
        <w:r w:rsidR="00974AFC" w:rsidRPr="00974AFC">
          <w:rPr>
            <w:rStyle w:val="Hyperlink"/>
            <w:sz w:val="20"/>
            <w:szCs w:val="20"/>
            <w:u w:val="none"/>
          </w:rPr>
          <w:t>Determination of Counter-Party Initial Estimated Liability</w:t>
        </w:r>
        <w:r w:rsidR="00974AFC" w:rsidRPr="00974AFC">
          <w:rPr>
            <w:webHidden/>
            <w:sz w:val="20"/>
            <w:szCs w:val="20"/>
          </w:rPr>
          <w:tab/>
        </w:r>
        <w:r w:rsidR="00974AFC" w:rsidRPr="00974AFC">
          <w:rPr>
            <w:webHidden/>
            <w:sz w:val="20"/>
            <w:szCs w:val="20"/>
          </w:rPr>
          <w:fldChar w:fldCharType="begin"/>
        </w:r>
        <w:r w:rsidR="00974AFC" w:rsidRPr="00974AFC">
          <w:rPr>
            <w:webHidden/>
            <w:sz w:val="20"/>
            <w:szCs w:val="20"/>
          </w:rPr>
          <w:instrText xml:space="preserve"> PAGEREF _Toc70591635 \h </w:instrText>
        </w:r>
        <w:r w:rsidR="00974AFC" w:rsidRPr="00974AFC">
          <w:rPr>
            <w:webHidden/>
            <w:sz w:val="20"/>
            <w:szCs w:val="20"/>
          </w:rPr>
        </w:r>
        <w:r w:rsidR="00974AFC" w:rsidRPr="00974AFC">
          <w:rPr>
            <w:webHidden/>
            <w:sz w:val="20"/>
            <w:szCs w:val="20"/>
          </w:rPr>
          <w:fldChar w:fldCharType="separate"/>
        </w:r>
        <w:r>
          <w:rPr>
            <w:webHidden/>
            <w:sz w:val="20"/>
            <w:szCs w:val="20"/>
          </w:rPr>
          <w:t>16-47</w:t>
        </w:r>
        <w:r w:rsidR="00974AFC" w:rsidRPr="00974AFC">
          <w:rPr>
            <w:webHidden/>
            <w:sz w:val="20"/>
            <w:szCs w:val="20"/>
          </w:rPr>
          <w:fldChar w:fldCharType="end"/>
        </w:r>
      </w:hyperlink>
    </w:p>
    <w:p w14:paraId="3EC0B136" w14:textId="5781BA46" w:rsidR="00974AFC" w:rsidRPr="00974AFC" w:rsidRDefault="00AC6018">
      <w:pPr>
        <w:pStyle w:val="TOC4"/>
        <w:rPr>
          <w:rFonts w:eastAsiaTheme="minorEastAsia"/>
          <w:sz w:val="20"/>
          <w:szCs w:val="20"/>
        </w:rPr>
      </w:pPr>
      <w:hyperlink w:anchor="_Toc70591636" w:history="1">
        <w:r w:rsidR="00974AFC" w:rsidRPr="00974AFC">
          <w:rPr>
            <w:rStyle w:val="Hyperlink"/>
            <w:bCs/>
            <w:sz w:val="20"/>
            <w:szCs w:val="20"/>
            <w:u w:val="none"/>
          </w:rPr>
          <w:t>16.11.4.3</w:t>
        </w:r>
        <w:r w:rsidR="00974AFC" w:rsidRPr="00974AFC">
          <w:rPr>
            <w:rFonts w:eastAsiaTheme="minorEastAsia"/>
            <w:sz w:val="20"/>
            <w:szCs w:val="20"/>
          </w:rPr>
          <w:tab/>
        </w:r>
        <w:r w:rsidR="00974AFC" w:rsidRPr="00974AFC">
          <w:rPr>
            <w:rStyle w:val="Hyperlink"/>
            <w:bCs/>
            <w:sz w:val="20"/>
            <w:szCs w:val="20"/>
            <w:u w:val="none"/>
          </w:rPr>
          <w:t>Determination of Counter-Party Estimated Aggregate Liability</w:t>
        </w:r>
        <w:r w:rsidR="00974AFC" w:rsidRPr="00974AFC">
          <w:rPr>
            <w:webHidden/>
            <w:sz w:val="20"/>
            <w:szCs w:val="20"/>
          </w:rPr>
          <w:tab/>
        </w:r>
        <w:r w:rsidR="00974AFC" w:rsidRPr="00974AFC">
          <w:rPr>
            <w:webHidden/>
            <w:sz w:val="20"/>
            <w:szCs w:val="20"/>
          </w:rPr>
          <w:fldChar w:fldCharType="begin"/>
        </w:r>
        <w:r w:rsidR="00974AFC" w:rsidRPr="00974AFC">
          <w:rPr>
            <w:webHidden/>
            <w:sz w:val="20"/>
            <w:szCs w:val="20"/>
          </w:rPr>
          <w:instrText xml:space="preserve"> PAGEREF _Toc70591636 \h </w:instrText>
        </w:r>
        <w:r w:rsidR="00974AFC" w:rsidRPr="00974AFC">
          <w:rPr>
            <w:webHidden/>
            <w:sz w:val="20"/>
            <w:szCs w:val="20"/>
          </w:rPr>
        </w:r>
        <w:r w:rsidR="00974AFC" w:rsidRPr="00974AFC">
          <w:rPr>
            <w:webHidden/>
            <w:sz w:val="20"/>
            <w:szCs w:val="20"/>
          </w:rPr>
          <w:fldChar w:fldCharType="separate"/>
        </w:r>
        <w:r>
          <w:rPr>
            <w:webHidden/>
            <w:sz w:val="20"/>
            <w:szCs w:val="20"/>
          </w:rPr>
          <w:t>16-49</w:t>
        </w:r>
        <w:r w:rsidR="00974AFC" w:rsidRPr="00974AFC">
          <w:rPr>
            <w:webHidden/>
            <w:sz w:val="20"/>
            <w:szCs w:val="20"/>
          </w:rPr>
          <w:fldChar w:fldCharType="end"/>
        </w:r>
      </w:hyperlink>
    </w:p>
    <w:p w14:paraId="015B45E1" w14:textId="47D45A80" w:rsidR="00974AFC" w:rsidRPr="00974AFC" w:rsidRDefault="00AC6018">
      <w:pPr>
        <w:pStyle w:val="TOC5"/>
        <w:tabs>
          <w:tab w:val="left" w:pos="3614"/>
        </w:tabs>
        <w:rPr>
          <w:rFonts w:eastAsiaTheme="minorEastAsia"/>
          <w:i w:val="0"/>
          <w:sz w:val="20"/>
          <w:szCs w:val="20"/>
        </w:rPr>
      </w:pPr>
      <w:hyperlink w:anchor="_Toc70591637" w:history="1">
        <w:r w:rsidR="00974AFC" w:rsidRPr="00974AFC">
          <w:rPr>
            <w:rStyle w:val="Hyperlink"/>
            <w:bCs/>
            <w:i w:val="0"/>
            <w:iCs/>
            <w:sz w:val="20"/>
            <w:szCs w:val="20"/>
            <w:u w:val="none"/>
          </w:rPr>
          <w:t>16.11.4.3.1</w:t>
        </w:r>
        <w:r w:rsidR="00974AFC" w:rsidRPr="00974AFC">
          <w:rPr>
            <w:rFonts w:eastAsiaTheme="minorEastAsia"/>
            <w:i w:val="0"/>
            <w:sz w:val="20"/>
            <w:szCs w:val="20"/>
          </w:rPr>
          <w:tab/>
        </w:r>
        <w:r w:rsidR="00974AFC" w:rsidRPr="00974AFC">
          <w:rPr>
            <w:rStyle w:val="Hyperlink"/>
            <w:bCs/>
            <w:i w:val="0"/>
            <w:iCs/>
            <w:sz w:val="20"/>
            <w:szCs w:val="20"/>
            <w:u w:val="none"/>
          </w:rPr>
          <w:t>Day-Ahead Liability Estimate</w:t>
        </w:r>
        <w:r w:rsidR="00974AFC" w:rsidRPr="00974AFC">
          <w:rPr>
            <w:i w:val="0"/>
            <w:webHidden/>
            <w:sz w:val="20"/>
            <w:szCs w:val="20"/>
          </w:rPr>
          <w:tab/>
        </w:r>
        <w:r w:rsidR="00974AFC" w:rsidRPr="00974AFC">
          <w:rPr>
            <w:i w:val="0"/>
            <w:webHidden/>
            <w:sz w:val="20"/>
            <w:szCs w:val="20"/>
          </w:rPr>
          <w:fldChar w:fldCharType="begin"/>
        </w:r>
        <w:r w:rsidR="00974AFC" w:rsidRPr="00974AFC">
          <w:rPr>
            <w:i w:val="0"/>
            <w:webHidden/>
            <w:sz w:val="20"/>
            <w:szCs w:val="20"/>
          </w:rPr>
          <w:instrText xml:space="preserve"> PAGEREF _Toc70591637 \h </w:instrText>
        </w:r>
        <w:r w:rsidR="00974AFC" w:rsidRPr="00974AFC">
          <w:rPr>
            <w:i w:val="0"/>
            <w:webHidden/>
            <w:sz w:val="20"/>
            <w:szCs w:val="20"/>
          </w:rPr>
        </w:r>
        <w:r w:rsidR="00974AFC" w:rsidRPr="00974AFC">
          <w:rPr>
            <w:i w:val="0"/>
            <w:webHidden/>
            <w:sz w:val="20"/>
            <w:szCs w:val="20"/>
          </w:rPr>
          <w:fldChar w:fldCharType="separate"/>
        </w:r>
        <w:r>
          <w:rPr>
            <w:i w:val="0"/>
            <w:webHidden/>
            <w:sz w:val="20"/>
            <w:szCs w:val="20"/>
          </w:rPr>
          <w:t>16-55</w:t>
        </w:r>
        <w:r w:rsidR="00974AFC" w:rsidRPr="00974AFC">
          <w:rPr>
            <w:i w:val="0"/>
            <w:webHidden/>
            <w:sz w:val="20"/>
            <w:szCs w:val="20"/>
          </w:rPr>
          <w:fldChar w:fldCharType="end"/>
        </w:r>
      </w:hyperlink>
    </w:p>
    <w:p w14:paraId="25947360" w14:textId="5EFA2C51" w:rsidR="00974AFC" w:rsidRPr="00974AFC" w:rsidRDefault="00AC6018">
      <w:pPr>
        <w:pStyle w:val="TOC5"/>
        <w:tabs>
          <w:tab w:val="left" w:pos="3614"/>
        </w:tabs>
        <w:rPr>
          <w:rFonts w:eastAsiaTheme="minorEastAsia"/>
          <w:i w:val="0"/>
          <w:sz w:val="20"/>
          <w:szCs w:val="20"/>
        </w:rPr>
      </w:pPr>
      <w:hyperlink w:anchor="_Toc70591638" w:history="1">
        <w:r w:rsidR="00974AFC" w:rsidRPr="00974AFC">
          <w:rPr>
            <w:rStyle w:val="Hyperlink"/>
            <w:bCs/>
            <w:i w:val="0"/>
            <w:iCs/>
            <w:sz w:val="20"/>
            <w:szCs w:val="20"/>
            <w:u w:val="none"/>
          </w:rPr>
          <w:t>16.11.4.3.2</w:t>
        </w:r>
        <w:r w:rsidR="00974AFC" w:rsidRPr="00974AFC">
          <w:rPr>
            <w:rFonts w:eastAsiaTheme="minorEastAsia"/>
            <w:i w:val="0"/>
            <w:sz w:val="20"/>
            <w:szCs w:val="20"/>
          </w:rPr>
          <w:tab/>
        </w:r>
        <w:r w:rsidR="00974AFC" w:rsidRPr="00974AFC">
          <w:rPr>
            <w:rStyle w:val="Hyperlink"/>
            <w:bCs/>
            <w:i w:val="0"/>
            <w:iCs/>
            <w:sz w:val="20"/>
            <w:szCs w:val="20"/>
            <w:u w:val="none"/>
          </w:rPr>
          <w:t>Real-Time Liability Estimate</w:t>
        </w:r>
        <w:r w:rsidR="00974AFC" w:rsidRPr="00974AFC">
          <w:rPr>
            <w:i w:val="0"/>
            <w:webHidden/>
            <w:sz w:val="20"/>
            <w:szCs w:val="20"/>
          </w:rPr>
          <w:tab/>
        </w:r>
        <w:r w:rsidR="00974AFC" w:rsidRPr="00974AFC">
          <w:rPr>
            <w:i w:val="0"/>
            <w:webHidden/>
            <w:sz w:val="20"/>
            <w:szCs w:val="20"/>
          </w:rPr>
          <w:fldChar w:fldCharType="begin"/>
        </w:r>
        <w:r w:rsidR="00974AFC" w:rsidRPr="00974AFC">
          <w:rPr>
            <w:i w:val="0"/>
            <w:webHidden/>
            <w:sz w:val="20"/>
            <w:szCs w:val="20"/>
          </w:rPr>
          <w:instrText xml:space="preserve"> PAGEREF _Toc70591638 \h </w:instrText>
        </w:r>
        <w:r w:rsidR="00974AFC" w:rsidRPr="00974AFC">
          <w:rPr>
            <w:i w:val="0"/>
            <w:webHidden/>
            <w:sz w:val="20"/>
            <w:szCs w:val="20"/>
          </w:rPr>
        </w:r>
        <w:r w:rsidR="00974AFC" w:rsidRPr="00974AFC">
          <w:rPr>
            <w:i w:val="0"/>
            <w:webHidden/>
            <w:sz w:val="20"/>
            <w:szCs w:val="20"/>
          </w:rPr>
          <w:fldChar w:fldCharType="separate"/>
        </w:r>
        <w:r>
          <w:rPr>
            <w:i w:val="0"/>
            <w:webHidden/>
            <w:sz w:val="20"/>
            <w:szCs w:val="20"/>
          </w:rPr>
          <w:t>16-57</w:t>
        </w:r>
        <w:r w:rsidR="00974AFC" w:rsidRPr="00974AFC">
          <w:rPr>
            <w:i w:val="0"/>
            <w:webHidden/>
            <w:sz w:val="20"/>
            <w:szCs w:val="20"/>
          </w:rPr>
          <w:fldChar w:fldCharType="end"/>
        </w:r>
      </w:hyperlink>
    </w:p>
    <w:p w14:paraId="4B1AEAEA" w14:textId="2CCB58EF" w:rsidR="00974AFC" w:rsidRPr="00974AFC" w:rsidRDefault="00AC6018">
      <w:pPr>
        <w:pStyle w:val="TOC5"/>
        <w:tabs>
          <w:tab w:val="left" w:pos="3614"/>
        </w:tabs>
        <w:rPr>
          <w:rFonts w:eastAsiaTheme="minorEastAsia"/>
          <w:i w:val="0"/>
          <w:sz w:val="20"/>
          <w:szCs w:val="20"/>
        </w:rPr>
      </w:pPr>
      <w:hyperlink w:anchor="_Toc70591639" w:history="1">
        <w:r w:rsidR="00974AFC" w:rsidRPr="00974AFC">
          <w:rPr>
            <w:rStyle w:val="Hyperlink"/>
            <w:bCs/>
            <w:i w:val="0"/>
            <w:iCs/>
            <w:sz w:val="20"/>
            <w:szCs w:val="20"/>
            <w:u w:val="none"/>
          </w:rPr>
          <w:t>16.11.4.3.3</w:t>
        </w:r>
        <w:r w:rsidR="00974AFC" w:rsidRPr="00974AFC">
          <w:rPr>
            <w:rFonts w:eastAsiaTheme="minorEastAsia"/>
            <w:i w:val="0"/>
            <w:sz w:val="20"/>
            <w:szCs w:val="20"/>
          </w:rPr>
          <w:tab/>
        </w:r>
        <w:r w:rsidR="00974AFC" w:rsidRPr="00974AFC">
          <w:rPr>
            <w:rStyle w:val="Hyperlink"/>
            <w:bCs/>
            <w:i w:val="0"/>
            <w:iCs/>
            <w:sz w:val="20"/>
            <w:szCs w:val="20"/>
            <w:u w:val="none"/>
          </w:rPr>
          <w:t>Forward Adjustment Factors</w:t>
        </w:r>
        <w:r w:rsidR="00974AFC" w:rsidRPr="00974AFC">
          <w:rPr>
            <w:i w:val="0"/>
            <w:webHidden/>
            <w:sz w:val="20"/>
            <w:szCs w:val="20"/>
          </w:rPr>
          <w:tab/>
        </w:r>
        <w:r w:rsidR="00974AFC" w:rsidRPr="00974AFC">
          <w:rPr>
            <w:i w:val="0"/>
            <w:webHidden/>
            <w:sz w:val="20"/>
            <w:szCs w:val="20"/>
          </w:rPr>
          <w:fldChar w:fldCharType="begin"/>
        </w:r>
        <w:r w:rsidR="00974AFC" w:rsidRPr="00974AFC">
          <w:rPr>
            <w:i w:val="0"/>
            <w:webHidden/>
            <w:sz w:val="20"/>
            <w:szCs w:val="20"/>
          </w:rPr>
          <w:instrText xml:space="preserve"> PAGEREF _Toc70591639 \h </w:instrText>
        </w:r>
        <w:r w:rsidR="00974AFC" w:rsidRPr="00974AFC">
          <w:rPr>
            <w:i w:val="0"/>
            <w:webHidden/>
            <w:sz w:val="20"/>
            <w:szCs w:val="20"/>
          </w:rPr>
        </w:r>
        <w:r w:rsidR="00974AFC" w:rsidRPr="00974AFC">
          <w:rPr>
            <w:i w:val="0"/>
            <w:webHidden/>
            <w:sz w:val="20"/>
            <w:szCs w:val="20"/>
          </w:rPr>
          <w:fldChar w:fldCharType="separate"/>
        </w:r>
        <w:r>
          <w:rPr>
            <w:i w:val="0"/>
            <w:webHidden/>
            <w:sz w:val="20"/>
            <w:szCs w:val="20"/>
          </w:rPr>
          <w:t>16-58</w:t>
        </w:r>
        <w:r w:rsidR="00974AFC" w:rsidRPr="00974AFC">
          <w:rPr>
            <w:i w:val="0"/>
            <w:webHidden/>
            <w:sz w:val="20"/>
            <w:szCs w:val="20"/>
          </w:rPr>
          <w:fldChar w:fldCharType="end"/>
        </w:r>
      </w:hyperlink>
    </w:p>
    <w:p w14:paraId="62B2EB75" w14:textId="6950B994" w:rsidR="00974AFC" w:rsidRPr="00974AFC" w:rsidRDefault="00AC6018">
      <w:pPr>
        <w:pStyle w:val="TOC4"/>
        <w:rPr>
          <w:rFonts w:eastAsiaTheme="minorEastAsia"/>
          <w:sz w:val="20"/>
          <w:szCs w:val="20"/>
        </w:rPr>
      </w:pPr>
      <w:hyperlink w:anchor="_Toc70591640" w:history="1">
        <w:r w:rsidR="00974AFC" w:rsidRPr="00974AFC">
          <w:rPr>
            <w:rStyle w:val="Hyperlink"/>
            <w:sz w:val="20"/>
            <w:szCs w:val="20"/>
            <w:u w:val="none"/>
          </w:rPr>
          <w:t>16.11.4.4</w:t>
        </w:r>
        <w:r w:rsidR="00974AFC" w:rsidRPr="00974AFC">
          <w:rPr>
            <w:rFonts w:eastAsiaTheme="minorEastAsia"/>
            <w:sz w:val="20"/>
            <w:szCs w:val="20"/>
          </w:rPr>
          <w:tab/>
        </w:r>
        <w:r w:rsidR="00974AFC" w:rsidRPr="00974AFC">
          <w:rPr>
            <w:rStyle w:val="Hyperlink"/>
            <w:sz w:val="20"/>
            <w:szCs w:val="20"/>
            <w:u w:val="none"/>
          </w:rPr>
          <w:t>[RESERVED]</w:t>
        </w:r>
        <w:r w:rsidR="00974AFC" w:rsidRPr="00974AFC">
          <w:rPr>
            <w:webHidden/>
            <w:sz w:val="20"/>
            <w:szCs w:val="20"/>
          </w:rPr>
          <w:tab/>
        </w:r>
        <w:r w:rsidR="00974AFC" w:rsidRPr="00974AFC">
          <w:rPr>
            <w:webHidden/>
            <w:sz w:val="20"/>
            <w:szCs w:val="20"/>
          </w:rPr>
          <w:fldChar w:fldCharType="begin"/>
        </w:r>
        <w:r w:rsidR="00974AFC" w:rsidRPr="00974AFC">
          <w:rPr>
            <w:webHidden/>
            <w:sz w:val="20"/>
            <w:szCs w:val="20"/>
          </w:rPr>
          <w:instrText xml:space="preserve"> PAGEREF _Toc70591640 \h </w:instrText>
        </w:r>
        <w:r w:rsidR="00974AFC" w:rsidRPr="00974AFC">
          <w:rPr>
            <w:webHidden/>
            <w:sz w:val="20"/>
            <w:szCs w:val="20"/>
          </w:rPr>
        </w:r>
        <w:r w:rsidR="00974AFC" w:rsidRPr="00974AFC">
          <w:rPr>
            <w:webHidden/>
            <w:sz w:val="20"/>
            <w:szCs w:val="20"/>
          </w:rPr>
          <w:fldChar w:fldCharType="separate"/>
        </w:r>
        <w:r>
          <w:rPr>
            <w:webHidden/>
            <w:sz w:val="20"/>
            <w:szCs w:val="20"/>
          </w:rPr>
          <w:t>16-60</w:t>
        </w:r>
        <w:r w:rsidR="00974AFC" w:rsidRPr="00974AFC">
          <w:rPr>
            <w:webHidden/>
            <w:sz w:val="20"/>
            <w:szCs w:val="20"/>
          </w:rPr>
          <w:fldChar w:fldCharType="end"/>
        </w:r>
      </w:hyperlink>
    </w:p>
    <w:p w14:paraId="04FFE4F0" w14:textId="0750C4B6" w:rsidR="00974AFC" w:rsidRPr="00974AFC" w:rsidRDefault="00AC6018">
      <w:pPr>
        <w:pStyle w:val="TOC4"/>
        <w:rPr>
          <w:rFonts w:eastAsiaTheme="minorEastAsia"/>
          <w:sz w:val="20"/>
          <w:szCs w:val="20"/>
        </w:rPr>
      </w:pPr>
      <w:hyperlink w:anchor="_Toc70591641" w:history="1">
        <w:r w:rsidR="00974AFC" w:rsidRPr="00974AFC">
          <w:rPr>
            <w:rStyle w:val="Hyperlink"/>
            <w:bCs/>
            <w:snapToGrid w:val="0"/>
            <w:sz w:val="20"/>
            <w:szCs w:val="20"/>
            <w:u w:val="none"/>
          </w:rPr>
          <w:t>16.11.4.5</w:t>
        </w:r>
        <w:r w:rsidR="00974AFC" w:rsidRPr="00974AFC">
          <w:rPr>
            <w:rFonts w:eastAsiaTheme="minorEastAsia"/>
            <w:sz w:val="20"/>
            <w:szCs w:val="20"/>
          </w:rPr>
          <w:tab/>
        </w:r>
        <w:r w:rsidR="00974AFC" w:rsidRPr="00974AFC">
          <w:rPr>
            <w:rStyle w:val="Hyperlink"/>
            <w:bCs/>
            <w:snapToGrid w:val="0"/>
            <w:sz w:val="20"/>
            <w:szCs w:val="20"/>
            <w:u w:val="none"/>
          </w:rPr>
          <w:t>Determination of the Counter-Party Future Credit Exposure</w:t>
        </w:r>
        <w:r w:rsidR="00974AFC" w:rsidRPr="00974AFC">
          <w:rPr>
            <w:webHidden/>
            <w:sz w:val="20"/>
            <w:szCs w:val="20"/>
          </w:rPr>
          <w:tab/>
        </w:r>
        <w:r w:rsidR="00974AFC" w:rsidRPr="00974AFC">
          <w:rPr>
            <w:webHidden/>
            <w:sz w:val="20"/>
            <w:szCs w:val="20"/>
          </w:rPr>
          <w:fldChar w:fldCharType="begin"/>
        </w:r>
        <w:r w:rsidR="00974AFC" w:rsidRPr="00974AFC">
          <w:rPr>
            <w:webHidden/>
            <w:sz w:val="20"/>
            <w:szCs w:val="20"/>
          </w:rPr>
          <w:instrText xml:space="preserve"> PAGEREF _Toc70591641 \h </w:instrText>
        </w:r>
        <w:r w:rsidR="00974AFC" w:rsidRPr="00974AFC">
          <w:rPr>
            <w:webHidden/>
            <w:sz w:val="20"/>
            <w:szCs w:val="20"/>
          </w:rPr>
        </w:r>
        <w:r w:rsidR="00974AFC" w:rsidRPr="00974AFC">
          <w:rPr>
            <w:webHidden/>
            <w:sz w:val="20"/>
            <w:szCs w:val="20"/>
          </w:rPr>
          <w:fldChar w:fldCharType="separate"/>
        </w:r>
        <w:r>
          <w:rPr>
            <w:webHidden/>
            <w:sz w:val="20"/>
            <w:szCs w:val="20"/>
          </w:rPr>
          <w:t>16-60</w:t>
        </w:r>
        <w:r w:rsidR="00974AFC" w:rsidRPr="00974AFC">
          <w:rPr>
            <w:webHidden/>
            <w:sz w:val="20"/>
            <w:szCs w:val="20"/>
          </w:rPr>
          <w:fldChar w:fldCharType="end"/>
        </w:r>
      </w:hyperlink>
    </w:p>
    <w:p w14:paraId="67FE8135" w14:textId="50A74DB1" w:rsidR="00974AFC" w:rsidRPr="00974AFC" w:rsidRDefault="00AC6018">
      <w:pPr>
        <w:pStyle w:val="TOC4"/>
        <w:rPr>
          <w:rFonts w:eastAsiaTheme="minorEastAsia"/>
          <w:sz w:val="20"/>
          <w:szCs w:val="20"/>
        </w:rPr>
      </w:pPr>
      <w:hyperlink w:anchor="_Toc70591642" w:history="1">
        <w:r w:rsidR="00974AFC" w:rsidRPr="00974AFC">
          <w:rPr>
            <w:rStyle w:val="Hyperlink"/>
            <w:bCs/>
            <w:sz w:val="20"/>
            <w:szCs w:val="20"/>
            <w:u w:val="none"/>
          </w:rPr>
          <w:t>16.11.4.6</w:t>
        </w:r>
        <w:r w:rsidR="00974AFC" w:rsidRPr="00974AFC">
          <w:rPr>
            <w:rFonts w:eastAsiaTheme="minorEastAsia"/>
            <w:sz w:val="20"/>
            <w:szCs w:val="20"/>
          </w:rPr>
          <w:tab/>
        </w:r>
        <w:r w:rsidR="00974AFC" w:rsidRPr="00974AFC">
          <w:rPr>
            <w:rStyle w:val="Hyperlink"/>
            <w:bCs/>
            <w:sz w:val="20"/>
            <w:szCs w:val="20"/>
            <w:u w:val="none"/>
          </w:rPr>
          <w:t>Determination of Counter-Party Available Credit Limits</w:t>
        </w:r>
        <w:r w:rsidR="00974AFC" w:rsidRPr="00974AFC">
          <w:rPr>
            <w:webHidden/>
            <w:sz w:val="20"/>
            <w:szCs w:val="20"/>
          </w:rPr>
          <w:tab/>
        </w:r>
        <w:r w:rsidR="00974AFC" w:rsidRPr="00974AFC">
          <w:rPr>
            <w:webHidden/>
            <w:sz w:val="20"/>
            <w:szCs w:val="20"/>
          </w:rPr>
          <w:fldChar w:fldCharType="begin"/>
        </w:r>
        <w:r w:rsidR="00974AFC" w:rsidRPr="00974AFC">
          <w:rPr>
            <w:webHidden/>
            <w:sz w:val="20"/>
            <w:szCs w:val="20"/>
          </w:rPr>
          <w:instrText xml:space="preserve"> PAGEREF _Toc70591642 \h </w:instrText>
        </w:r>
        <w:r w:rsidR="00974AFC" w:rsidRPr="00974AFC">
          <w:rPr>
            <w:webHidden/>
            <w:sz w:val="20"/>
            <w:szCs w:val="20"/>
          </w:rPr>
        </w:r>
        <w:r w:rsidR="00974AFC" w:rsidRPr="00974AFC">
          <w:rPr>
            <w:webHidden/>
            <w:sz w:val="20"/>
            <w:szCs w:val="20"/>
          </w:rPr>
          <w:fldChar w:fldCharType="separate"/>
        </w:r>
        <w:r>
          <w:rPr>
            <w:webHidden/>
            <w:sz w:val="20"/>
            <w:szCs w:val="20"/>
          </w:rPr>
          <w:t>16-62</w:t>
        </w:r>
        <w:r w:rsidR="00974AFC" w:rsidRPr="00974AFC">
          <w:rPr>
            <w:webHidden/>
            <w:sz w:val="20"/>
            <w:szCs w:val="20"/>
          </w:rPr>
          <w:fldChar w:fldCharType="end"/>
        </w:r>
      </w:hyperlink>
    </w:p>
    <w:p w14:paraId="29AFCD09" w14:textId="6CD5E770" w:rsidR="00974AFC" w:rsidRPr="00974AFC" w:rsidRDefault="00AC6018">
      <w:pPr>
        <w:pStyle w:val="TOC5"/>
        <w:tabs>
          <w:tab w:val="left" w:pos="3614"/>
        </w:tabs>
        <w:rPr>
          <w:rFonts w:eastAsiaTheme="minorEastAsia"/>
          <w:i w:val="0"/>
          <w:sz w:val="20"/>
          <w:szCs w:val="20"/>
        </w:rPr>
      </w:pPr>
      <w:hyperlink w:anchor="_Toc70591643" w:history="1">
        <w:r w:rsidR="00974AFC" w:rsidRPr="00974AFC">
          <w:rPr>
            <w:rStyle w:val="Hyperlink"/>
            <w:i w:val="0"/>
            <w:sz w:val="20"/>
            <w:szCs w:val="20"/>
            <w:u w:val="none"/>
          </w:rPr>
          <w:t>16.11.4.6.1</w:t>
        </w:r>
        <w:r w:rsidR="00974AFC" w:rsidRPr="00974AFC">
          <w:rPr>
            <w:rFonts w:eastAsiaTheme="minorEastAsia"/>
            <w:i w:val="0"/>
            <w:sz w:val="20"/>
            <w:szCs w:val="20"/>
          </w:rPr>
          <w:tab/>
        </w:r>
        <w:r w:rsidR="00974AFC" w:rsidRPr="00974AFC">
          <w:rPr>
            <w:rStyle w:val="Hyperlink"/>
            <w:i w:val="0"/>
            <w:sz w:val="20"/>
            <w:szCs w:val="20"/>
            <w:u w:val="none"/>
          </w:rPr>
          <w:t>Credit Requirements for CRR Auction Participation</w:t>
        </w:r>
        <w:r w:rsidR="00974AFC" w:rsidRPr="00974AFC">
          <w:rPr>
            <w:i w:val="0"/>
            <w:webHidden/>
            <w:sz w:val="20"/>
            <w:szCs w:val="20"/>
          </w:rPr>
          <w:tab/>
        </w:r>
        <w:r w:rsidR="00974AFC" w:rsidRPr="00974AFC">
          <w:rPr>
            <w:i w:val="0"/>
            <w:webHidden/>
            <w:sz w:val="20"/>
            <w:szCs w:val="20"/>
          </w:rPr>
          <w:fldChar w:fldCharType="begin"/>
        </w:r>
        <w:r w:rsidR="00974AFC" w:rsidRPr="00974AFC">
          <w:rPr>
            <w:i w:val="0"/>
            <w:webHidden/>
            <w:sz w:val="20"/>
            <w:szCs w:val="20"/>
          </w:rPr>
          <w:instrText xml:space="preserve"> PAGEREF _Toc70591643 \h </w:instrText>
        </w:r>
        <w:r w:rsidR="00974AFC" w:rsidRPr="00974AFC">
          <w:rPr>
            <w:i w:val="0"/>
            <w:webHidden/>
            <w:sz w:val="20"/>
            <w:szCs w:val="20"/>
          </w:rPr>
        </w:r>
        <w:r w:rsidR="00974AFC" w:rsidRPr="00974AFC">
          <w:rPr>
            <w:i w:val="0"/>
            <w:webHidden/>
            <w:sz w:val="20"/>
            <w:szCs w:val="20"/>
          </w:rPr>
          <w:fldChar w:fldCharType="separate"/>
        </w:r>
        <w:r>
          <w:rPr>
            <w:i w:val="0"/>
            <w:webHidden/>
            <w:sz w:val="20"/>
            <w:szCs w:val="20"/>
          </w:rPr>
          <w:t>16-63</w:t>
        </w:r>
        <w:r w:rsidR="00974AFC" w:rsidRPr="00974AFC">
          <w:rPr>
            <w:i w:val="0"/>
            <w:webHidden/>
            <w:sz w:val="20"/>
            <w:szCs w:val="20"/>
          </w:rPr>
          <w:fldChar w:fldCharType="end"/>
        </w:r>
      </w:hyperlink>
    </w:p>
    <w:p w14:paraId="585992A2" w14:textId="60F9082E" w:rsidR="00974AFC" w:rsidRPr="00974AFC" w:rsidRDefault="00AC6018">
      <w:pPr>
        <w:pStyle w:val="TOC5"/>
        <w:tabs>
          <w:tab w:val="left" w:pos="3614"/>
        </w:tabs>
        <w:rPr>
          <w:rFonts w:eastAsiaTheme="minorEastAsia"/>
          <w:i w:val="0"/>
          <w:sz w:val="20"/>
          <w:szCs w:val="20"/>
        </w:rPr>
      </w:pPr>
      <w:hyperlink w:anchor="_Toc70591644" w:history="1">
        <w:r w:rsidR="00974AFC" w:rsidRPr="00974AFC">
          <w:rPr>
            <w:rStyle w:val="Hyperlink"/>
            <w:i w:val="0"/>
            <w:sz w:val="20"/>
            <w:szCs w:val="20"/>
            <w:u w:val="none"/>
          </w:rPr>
          <w:t>16.11.4.6.2</w:t>
        </w:r>
        <w:r w:rsidR="00974AFC" w:rsidRPr="00974AFC">
          <w:rPr>
            <w:rFonts w:eastAsiaTheme="minorEastAsia"/>
            <w:i w:val="0"/>
            <w:sz w:val="20"/>
            <w:szCs w:val="20"/>
          </w:rPr>
          <w:tab/>
        </w:r>
        <w:r w:rsidR="00974AFC" w:rsidRPr="00974AFC">
          <w:rPr>
            <w:rStyle w:val="Hyperlink"/>
            <w:i w:val="0"/>
            <w:sz w:val="20"/>
            <w:szCs w:val="20"/>
            <w:u w:val="none"/>
          </w:rPr>
          <w:t>Credit Requirements for DAM Participation</w:t>
        </w:r>
        <w:r w:rsidR="00974AFC" w:rsidRPr="00974AFC">
          <w:rPr>
            <w:i w:val="0"/>
            <w:webHidden/>
            <w:sz w:val="20"/>
            <w:szCs w:val="20"/>
          </w:rPr>
          <w:tab/>
        </w:r>
        <w:r w:rsidR="00974AFC" w:rsidRPr="00974AFC">
          <w:rPr>
            <w:i w:val="0"/>
            <w:webHidden/>
            <w:sz w:val="20"/>
            <w:szCs w:val="20"/>
          </w:rPr>
          <w:fldChar w:fldCharType="begin"/>
        </w:r>
        <w:r w:rsidR="00974AFC" w:rsidRPr="00974AFC">
          <w:rPr>
            <w:i w:val="0"/>
            <w:webHidden/>
            <w:sz w:val="20"/>
            <w:szCs w:val="20"/>
          </w:rPr>
          <w:instrText xml:space="preserve"> PAGEREF _Toc70591644 \h </w:instrText>
        </w:r>
        <w:r w:rsidR="00974AFC" w:rsidRPr="00974AFC">
          <w:rPr>
            <w:i w:val="0"/>
            <w:webHidden/>
            <w:sz w:val="20"/>
            <w:szCs w:val="20"/>
          </w:rPr>
        </w:r>
        <w:r w:rsidR="00974AFC" w:rsidRPr="00974AFC">
          <w:rPr>
            <w:i w:val="0"/>
            <w:webHidden/>
            <w:sz w:val="20"/>
            <w:szCs w:val="20"/>
          </w:rPr>
          <w:fldChar w:fldCharType="separate"/>
        </w:r>
        <w:r>
          <w:rPr>
            <w:i w:val="0"/>
            <w:webHidden/>
            <w:sz w:val="20"/>
            <w:szCs w:val="20"/>
          </w:rPr>
          <w:t>16-64</w:t>
        </w:r>
        <w:r w:rsidR="00974AFC" w:rsidRPr="00974AFC">
          <w:rPr>
            <w:i w:val="0"/>
            <w:webHidden/>
            <w:sz w:val="20"/>
            <w:szCs w:val="20"/>
          </w:rPr>
          <w:fldChar w:fldCharType="end"/>
        </w:r>
      </w:hyperlink>
    </w:p>
    <w:p w14:paraId="7F5B2BD0" w14:textId="6814A4BD" w:rsidR="00974AFC" w:rsidRPr="00974AFC" w:rsidRDefault="00AC6018">
      <w:pPr>
        <w:pStyle w:val="TOC4"/>
        <w:rPr>
          <w:rFonts w:eastAsiaTheme="minorEastAsia"/>
          <w:sz w:val="20"/>
          <w:szCs w:val="20"/>
        </w:rPr>
      </w:pPr>
      <w:hyperlink w:anchor="_Toc70591645" w:history="1">
        <w:r w:rsidR="00974AFC" w:rsidRPr="00974AFC">
          <w:rPr>
            <w:rStyle w:val="Hyperlink"/>
            <w:sz w:val="20"/>
            <w:szCs w:val="20"/>
            <w:u w:val="none"/>
          </w:rPr>
          <w:t>16.11.4.7</w:t>
        </w:r>
        <w:r w:rsidR="00974AFC" w:rsidRPr="00974AFC">
          <w:rPr>
            <w:rFonts w:eastAsiaTheme="minorEastAsia"/>
            <w:sz w:val="20"/>
            <w:szCs w:val="20"/>
          </w:rPr>
          <w:tab/>
        </w:r>
        <w:r w:rsidR="00974AFC" w:rsidRPr="00974AFC">
          <w:rPr>
            <w:rStyle w:val="Hyperlink"/>
            <w:sz w:val="20"/>
            <w:szCs w:val="20"/>
            <w:u w:val="none"/>
          </w:rPr>
          <w:t>Credit Monitoring and Management Reports</w:t>
        </w:r>
        <w:r w:rsidR="00974AFC" w:rsidRPr="00974AFC">
          <w:rPr>
            <w:webHidden/>
            <w:sz w:val="20"/>
            <w:szCs w:val="20"/>
          </w:rPr>
          <w:tab/>
        </w:r>
        <w:r w:rsidR="00974AFC" w:rsidRPr="00974AFC">
          <w:rPr>
            <w:webHidden/>
            <w:sz w:val="20"/>
            <w:szCs w:val="20"/>
          </w:rPr>
          <w:fldChar w:fldCharType="begin"/>
        </w:r>
        <w:r w:rsidR="00974AFC" w:rsidRPr="00974AFC">
          <w:rPr>
            <w:webHidden/>
            <w:sz w:val="20"/>
            <w:szCs w:val="20"/>
          </w:rPr>
          <w:instrText xml:space="preserve"> PAGEREF _Toc70591645 \h </w:instrText>
        </w:r>
        <w:r w:rsidR="00974AFC" w:rsidRPr="00974AFC">
          <w:rPr>
            <w:webHidden/>
            <w:sz w:val="20"/>
            <w:szCs w:val="20"/>
          </w:rPr>
        </w:r>
        <w:r w:rsidR="00974AFC" w:rsidRPr="00974AFC">
          <w:rPr>
            <w:webHidden/>
            <w:sz w:val="20"/>
            <w:szCs w:val="20"/>
          </w:rPr>
          <w:fldChar w:fldCharType="separate"/>
        </w:r>
        <w:r>
          <w:rPr>
            <w:webHidden/>
            <w:sz w:val="20"/>
            <w:szCs w:val="20"/>
          </w:rPr>
          <w:t>16-64</w:t>
        </w:r>
        <w:r w:rsidR="00974AFC" w:rsidRPr="00974AFC">
          <w:rPr>
            <w:webHidden/>
            <w:sz w:val="20"/>
            <w:szCs w:val="20"/>
          </w:rPr>
          <w:fldChar w:fldCharType="end"/>
        </w:r>
      </w:hyperlink>
    </w:p>
    <w:p w14:paraId="67ACB808" w14:textId="2A2E3732" w:rsidR="00974AFC" w:rsidRPr="00974AFC" w:rsidRDefault="00AC6018">
      <w:pPr>
        <w:pStyle w:val="TOC3"/>
        <w:rPr>
          <w:rFonts w:eastAsiaTheme="minorEastAsia"/>
          <w:i w:val="0"/>
          <w:iCs w:val="0"/>
          <w:noProof/>
        </w:rPr>
      </w:pPr>
      <w:hyperlink w:anchor="_Toc70591646" w:history="1">
        <w:r w:rsidR="00974AFC" w:rsidRPr="00974AFC">
          <w:rPr>
            <w:rStyle w:val="Hyperlink"/>
            <w:i w:val="0"/>
            <w:noProof/>
            <w:u w:val="none"/>
          </w:rPr>
          <w:t>16.11.5</w:t>
        </w:r>
        <w:r w:rsidR="00974AFC" w:rsidRPr="00974AFC">
          <w:rPr>
            <w:rFonts w:eastAsiaTheme="minorEastAsia"/>
            <w:i w:val="0"/>
            <w:iCs w:val="0"/>
            <w:noProof/>
          </w:rPr>
          <w:tab/>
        </w:r>
        <w:r w:rsidR="00974AFC" w:rsidRPr="00974AFC">
          <w:rPr>
            <w:rStyle w:val="Hyperlink"/>
            <w:i w:val="0"/>
            <w:noProof/>
            <w:u w:val="none"/>
          </w:rPr>
          <w:t>Monitoring of a Counter-Party’s Creditworthiness and Credit Exposure by ERCOT</w:t>
        </w:r>
        <w:r w:rsidR="00974AFC" w:rsidRPr="00974AFC">
          <w:rPr>
            <w:i w:val="0"/>
            <w:noProof/>
            <w:webHidden/>
          </w:rPr>
          <w:tab/>
        </w:r>
        <w:r w:rsidR="00974AFC" w:rsidRPr="00974AFC">
          <w:rPr>
            <w:i w:val="0"/>
            <w:noProof/>
            <w:webHidden/>
          </w:rPr>
          <w:fldChar w:fldCharType="begin"/>
        </w:r>
        <w:r w:rsidR="00974AFC" w:rsidRPr="00974AFC">
          <w:rPr>
            <w:i w:val="0"/>
            <w:noProof/>
            <w:webHidden/>
          </w:rPr>
          <w:instrText xml:space="preserve"> PAGEREF _Toc70591646 \h </w:instrText>
        </w:r>
        <w:r w:rsidR="00974AFC" w:rsidRPr="00974AFC">
          <w:rPr>
            <w:i w:val="0"/>
            <w:noProof/>
            <w:webHidden/>
          </w:rPr>
        </w:r>
        <w:r w:rsidR="00974AFC" w:rsidRPr="00974AFC">
          <w:rPr>
            <w:i w:val="0"/>
            <w:noProof/>
            <w:webHidden/>
          </w:rPr>
          <w:fldChar w:fldCharType="separate"/>
        </w:r>
        <w:r>
          <w:rPr>
            <w:i w:val="0"/>
            <w:noProof/>
            <w:webHidden/>
          </w:rPr>
          <w:t>16-65</w:t>
        </w:r>
        <w:r w:rsidR="00974AFC" w:rsidRPr="00974AFC">
          <w:rPr>
            <w:i w:val="0"/>
            <w:noProof/>
            <w:webHidden/>
          </w:rPr>
          <w:fldChar w:fldCharType="end"/>
        </w:r>
      </w:hyperlink>
    </w:p>
    <w:p w14:paraId="681CF347" w14:textId="128F951C" w:rsidR="00974AFC" w:rsidRPr="00974AFC" w:rsidRDefault="00AC6018">
      <w:pPr>
        <w:pStyle w:val="TOC3"/>
        <w:rPr>
          <w:rFonts w:eastAsiaTheme="minorEastAsia"/>
          <w:i w:val="0"/>
          <w:iCs w:val="0"/>
          <w:noProof/>
        </w:rPr>
      </w:pPr>
      <w:hyperlink w:anchor="_Toc70591647" w:history="1">
        <w:r w:rsidR="00974AFC" w:rsidRPr="00974AFC">
          <w:rPr>
            <w:rStyle w:val="Hyperlink"/>
            <w:i w:val="0"/>
            <w:noProof/>
            <w:u w:val="none"/>
          </w:rPr>
          <w:t>16.11.6</w:t>
        </w:r>
        <w:r w:rsidR="00974AFC" w:rsidRPr="00974AFC">
          <w:rPr>
            <w:rFonts w:eastAsiaTheme="minorEastAsia"/>
            <w:i w:val="0"/>
            <w:iCs w:val="0"/>
            <w:noProof/>
          </w:rPr>
          <w:tab/>
        </w:r>
        <w:r w:rsidR="00974AFC" w:rsidRPr="00974AFC">
          <w:rPr>
            <w:rStyle w:val="Hyperlink"/>
            <w:i w:val="0"/>
            <w:noProof/>
            <w:u w:val="none"/>
          </w:rPr>
          <w:t>Payment Breach and Late Payments by Market Participants</w:t>
        </w:r>
        <w:r w:rsidR="00974AFC" w:rsidRPr="00974AFC">
          <w:rPr>
            <w:i w:val="0"/>
            <w:noProof/>
            <w:webHidden/>
          </w:rPr>
          <w:tab/>
        </w:r>
        <w:r w:rsidR="00974AFC" w:rsidRPr="00974AFC">
          <w:rPr>
            <w:i w:val="0"/>
            <w:noProof/>
            <w:webHidden/>
          </w:rPr>
          <w:fldChar w:fldCharType="begin"/>
        </w:r>
        <w:r w:rsidR="00974AFC" w:rsidRPr="00974AFC">
          <w:rPr>
            <w:i w:val="0"/>
            <w:noProof/>
            <w:webHidden/>
          </w:rPr>
          <w:instrText xml:space="preserve"> PAGEREF _Toc70591647 \h </w:instrText>
        </w:r>
        <w:r w:rsidR="00974AFC" w:rsidRPr="00974AFC">
          <w:rPr>
            <w:i w:val="0"/>
            <w:noProof/>
            <w:webHidden/>
          </w:rPr>
        </w:r>
        <w:r w:rsidR="00974AFC" w:rsidRPr="00974AFC">
          <w:rPr>
            <w:i w:val="0"/>
            <w:noProof/>
            <w:webHidden/>
          </w:rPr>
          <w:fldChar w:fldCharType="separate"/>
        </w:r>
        <w:r>
          <w:rPr>
            <w:i w:val="0"/>
            <w:noProof/>
            <w:webHidden/>
          </w:rPr>
          <w:t>16-68</w:t>
        </w:r>
        <w:r w:rsidR="00974AFC" w:rsidRPr="00974AFC">
          <w:rPr>
            <w:i w:val="0"/>
            <w:noProof/>
            <w:webHidden/>
          </w:rPr>
          <w:fldChar w:fldCharType="end"/>
        </w:r>
      </w:hyperlink>
    </w:p>
    <w:p w14:paraId="39ADEBF8" w14:textId="66916370" w:rsidR="00974AFC" w:rsidRPr="00974AFC" w:rsidRDefault="00AC6018">
      <w:pPr>
        <w:pStyle w:val="TOC4"/>
        <w:rPr>
          <w:rFonts w:eastAsiaTheme="minorEastAsia"/>
          <w:sz w:val="20"/>
          <w:szCs w:val="20"/>
        </w:rPr>
      </w:pPr>
      <w:hyperlink w:anchor="_Toc70591648" w:history="1">
        <w:r w:rsidR="00974AFC" w:rsidRPr="00974AFC">
          <w:rPr>
            <w:rStyle w:val="Hyperlink"/>
            <w:sz w:val="20"/>
            <w:szCs w:val="20"/>
            <w:u w:val="none"/>
          </w:rPr>
          <w:t>16.11.6.1</w:t>
        </w:r>
        <w:r w:rsidR="00974AFC" w:rsidRPr="00974AFC">
          <w:rPr>
            <w:rFonts w:eastAsiaTheme="minorEastAsia"/>
            <w:sz w:val="20"/>
            <w:szCs w:val="20"/>
          </w:rPr>
          <w:tab/>
        </w:r>
        <w:r w:rsidR="00974AFC" w:rsidRPr="00974AFC">
          <w:rPr>
            <w:rStyle w:val="Hyperlink"/>
            <w:sz w:val="20"/>
            <w:szCs w:val="20"/>
            <w:u w:val="none"/>
          </w:rPr>
          <w:t>ERCOT’s Remedies</w:t>
        </w:r>
        <w:r w:rsidR="00974AFC" w:rsidRPr="00974AFC">
          <w:rPr>
            <w:webHidden/>
            <w:sz w:val="20"/>
            <w:szCs w:val="20"/>
          </w:rPr>
          <w:tab/>
        </w:r>
        <w:r w:rsidR="00974AFC" w:rsidRPr="00974AFC">
          <w:rPr>
            <w:webHidden/>
            <w:sz w:val="20"/>
            <w:szCs w:val="20"/>
          </w:rPr>
          <w:fldChar w:fldCharType="begin"/>
        </w:r>
        <w:r w:rsidR="00974AFC" w:rsidRPr="00974AFC">
          <w:rPr>
            <w:webHidden/>
            <w:sz w:val="20"/>
            <w:szCs w:val="20"/>
          </w:rPr>
          <w:instrText xml:space="preserve"> PAGEREF _Toc70591648 \h </w:instrText>
        </w:r>
        <w:r w:rsidR="00974AFC" w:rsidRPr="00974AFC">
          <w:rPr>
            <w:webHidden/>
            <w:sz w:val="20"/>
            <w:szCs w:val="20"/>
          </w:rPr>
        </w:r>
        <w:r w:rsidR="00974AFC" w:rsidRPr="00974AFC">
          <w:rPr>
            <w:webHidden/>
            <w:sz w:val="20"/>
            <w:szCs w:val="20"/>
          </w:rPr>
          <w:fldChar w:fldCharType="separate"/>
        </w:r>
        <w:r>
          <w:rPr>
            <w:webHidden/>
            <w:sz w:val="20"/>
            <w:szCs w:val="20"/>
          </w:rPr>
          <w:t>16-69</w:t>
        </w:r>
        <w:r w:rsidR="00974AFC" w:rsidRPr="00974AFC">
          <w:rPr>
            <w:webHidden/>
            <w:sz w:val="20"/>
            <w:szCs w:val="20"/>
          </w:rPr>
          <w:fldChar w:fldCharType="end"/>
        </w:r>
      </w:hyperlink>
    </w:p>
    <w:p w14:paraId="604268A0" w14:textId="490666FF" w:rsidR="00974AFC" w:rsidRPr="00974AFC" w:rsidRDefault="00AC6018">
      <w:pPr>
        <w:pStyle w:val="TOC5"/>
        <w:tabs>
          <w:tab w:val="left" w:pos="3614"/>
        </w:tabs>
        <w:rPr>
          <w:rFonts w:eastAsiaTheme="minorEastAsia"/>
          <w:i w:val="0"/>
          <w:sz w:val="20"/>
          <w:szCs w:val="20"/>
        </w:rPr>
      </w:pPr>
      <w:hyperlink w:anchor="_Toc70591649" w:history="1">
        <w:r w:rsidR="00974AFC" w:rsidRPr="00974AFC">
          <w:rPr>
            <w:rStyle w:val="Hyperlink"/>
            <w:i w:val="0"/>
            <w:sz w:val="20"/>
            <w:szCs w:val="20"/>
            <w:u w:val="none"/>
          </w:rPr>
          <w:t>16.11.6.1.1</w:t>
        </w:r>
        <w:r w:rsidR="00974AFC" w:rsidRPr="00974AFC">
          <w:rPr>
            <w:rFonts w:eastAsiaTheme="minorEastAsia"/>
            <w:i w:val="0"/>
            <w:sz w:val="20"/>
            <w:szCs w:val="20"/>
          </w:rPr>
          <w:tab/>
        </w:r>
        <w:r w:rsidR="00974AFC" w:rsidRPr="00974AFC">
          <w:rPr>
            <w:rStyle w:val="Hyperlink"/>
            <w:i w:val="0"/>
            <w:sz w:val="20"/>
            <w:szCs w:val="20"/>
            <w:u w:val="none"/>
          </w:rPr>
          <w:t>No Payments by ERCOT to Market Participant</w:t>
        </w:r>
        <w:r w:rsidR="00974AFC" w:rsidRPr="00974AFC">
          <w:rPr>
            <w:i w:val="0"/>
            <w:webHidden/>
            <w:sz w:val="20"/>
            <w:szCs w:val="20"/>
          </w:rPr>
          <w:tab/>
        </w:r>
        <w:r w:rsidR="00974AFC" w:rsidRPr="00974AFC">
          <w:rPr>
            <w:i w:val="0"/>
            <w:webHidden/>
            <w:sz w:val="20"/>
            <w:szCs w:val="20"/>
          </w:rPr>
          <w:fldChar w:fldCharType="begin"/>
        </w:r>
        <w:r w:rsidR="00974AFC" w:rsidRPr="00974AFC">
          <w:rPr>
            <w:i w:val="0"/>
            <w:webHidden/>
            <w:sz w:val="20"/>
            <w:szCs w:val="20"/>
          </w:rPr>
          <w:instrText xml:space="preserve"> PAGEREF _Toc70591649 \h </w:instrText>
        </w:r>
        <w:r w:rsidR="00974AFC" w:rsidRPr="00974AFC">
          <w:rPr>
            <w:i w:val="0"/>
            <w:webHidden/>
            <w:sz w:val="20"/>
            <w:szCs w:val="20"/>
          </w:rPr>
        </w:r>
        <w:r w:rsidR="00974AFC" w:rsidRPr="00974AFC">
          <w:rPr>
            <w:i w:val="0"/>
            <w:webHidden/>
            <w:sz w:val="20"/>
            <w:szCs w:val="20"/>
          </w:rPr>
          <w:fldChar w:fldCharType="separate"/>
        </w:r>
        <w:r>
          <w:rPr>
            <w:i w:val="0"/>
            <w:webHidden/>
            <w:sz w:val="20"/>
            <w:szCs w:val="20"/>
          </w:rPr>
          <w:t>16-69</w:t>
        </w:r>
        <w:r w:rsidR="00974AFC" w:rsidRPr="00974AFC">
          <w:rPr>
            <w:i w:val="0"/>
            <w:webHidden/>
            <w:sz w:val="20"/>
            <w:szCs w:val="20"/>
          </w:rPr>
          <w:fldChar w:fldCharType="end"/>
        </w:r>
      </w:hyperlink>
    </w:p>
    <w:p w14:paraId="6EB4B2AA" w14:textId="4D3153AC" w:rsidR="00974AFC" w:rsidRPr="00974AFC" w:rsidRDefault="00AC6018">
      <w:pPr>
        <w:pStyle w:val="TOC5"/>
        <w:tabs>
          <w:tab w:val="left" w:pos="3614"/>
        </w:tabs>
        <w:rPr>
          <w:rFonts w:eastAsiaTheme="minorEastAsia"/>
          <w:i w:val="0"/>
          <w:sz w:val="20"/>
          <w:szCs w:val="20"/>
        </w:rPr>
      </w:pPr>
      <w:hyperlink w:anchor="_Toc70591650" w:history="1">
        <w:r w:rsidR="00974AFC" w:rsidRPr="00974AFC">
          <w:rPr>
            <w:rStyle w:val="Hyperlink"/>
            <w:i w:val="0"/>
            <w:sz w:val="20"/>
            <w:szCs w:val="20"/>
            <w:u w:val="none"/>
          </w:rPr>
          <w:t>16.11.6.1.2</w:t>
        </w:r>
        <w:r w:rsidR="00974AFC" w:rsidRPr="00974AFC">
          <w:rPr>
            <w:rFonts w:eastAsiaTheme="minorEastAsia"/>
            <w:i w:val="0"/>
            <w:sz w:val="20"/>
            <w:szCs w:val="20"/>
          </w:rPr>
          <w:tab/>
        </w:r>
        <w:r w:rsidR="00974AFC" w:rsidRPr="00974AFC">
          <w:rPr>
            <w:rStyle w:val="Hyperlink"/>
            <w:i w:val="0"/>
            <w:sz w:val="20"/>
            <w:szCs w:val="20"/>
            <w:u w:val="none"/>
          </w:rPr>
          <w:t>ERCOT May Draw On, Hold or Distribute Funds</w:t>
        </w:r>
        <w:r w:rsidR="00974AFC" w:rsidRPr="00974AFC">
          <w:rPr>
            <w:i w:val="0"/>
            <w:webHidden/>
            <w:sz w:val="20"/>
            <w:szCs w:val="20"/>
          </w:rPr>
          <w:tab/>
        </w:r>
        <w:r w:rsidR="00974AFC" w:rsidRPr="00974AFC">
          <w:rPr>
            <w:i w:val="0"/>
            <w:webHidden/>
            <w:sz w:val="20"/>
            <w:szCs w:val="20"/>
          </w:rPr>
          <w:fldChar w:fldCharType="begin"/>
        </w:r>
        <w:r w:rsidR="00974AFC" w:rsidRPr="00974AFC">
          <w:rPr>
            <w:i w:val="0"/>
            <w:webHidden/>
            <w:sz w:val="20"/>
            <w:szCs w:val="20"/>
          </w:rPr>
          <w:instrText xml:space="preserve"> PAGEREF _Toc70591650 \h </w:instrText>
        </w:r>
        <w:r w:rsidR="00974AFC" w:rsidRPr="00974AFC">
          <w:rPr>
            <w:i w:val="0"/>
            <w:webHidden/>
            <w:sz w:val="20"/>
            <w:szCs w:val="20"/>
          </w:rPr>
        </w:r>
        <w:r w:rsidR="00974AFC" w:rsidRPr="00974AFC">
          <w:rPr>
            <w:i w:val="0"/>
            <w:webHidden/>
            <w:sz w:val="20"/>
            <w:szCs w:val="20"/>
          </w:rPr>
          <w:fldChar w:fldCharType="separate"/>
        </w:r>
        <w:r>
          <w:rPr>
            <w:i w:val="0"/>
            <w:webHidden/>
            <w:sz w:val="20"/>
            <w:szCs w:val="20"/>
          </w:rPr>
          <w:t>16-70</w:t>
        </w:r>
        <w:r w:rsidR="00974AFC" w:rsidRPr="00974AFC">
          <w:rPr>
            <w:i w:val="0"/>
            <w:webHidden/>
            <w:sz w:val="20"/>
            <w:szCs w:val="20"/>
          </w:rPr>
          <w:fldChar w:fldCharType="end"/>
        </w:r>
      </w:hyperlink>
    </w:p>
    <w:p w14:paraId="25371D38" w14:textId="639EAA15" w:rsidR="00974AFC" w:rsidRPr="00974AFC" w:rsidRDefault="00AC6018">
      <w:pPr>
        <w:pStyle w:val="TOC5"/>
        <w:tabs>
          <w:tab w:val="left" w:pos="3614"/>
        </w:tabs>
        <w:rPr>
          <w:rFonts w:eastAsiaTheme="minorEastAsia"/>
          <w:i w:val="0"/>
          <w:sz w:val="20"/>
          <w:szCs w:val="20"/>
        </w:rPr>
      </w:pPr>
      <w:hyperlink w:anchor="_Toc70591651" w:history="1">
        <w:r w:rsidR="00974AFC" w:rsidRPr="00974AFC">
          <w:rPr>
            <w:rStyle w:val="Hyperlink"/>
            <w:i w:val="0"/>
            <w:sz w:val="20"/>
            <w:szCs w:val="20"/>
            <w:u w:val="none"/>
          </w:rPr>
          <w:t>16.11.6.1.3</w:t>
        </w:r>
        <w:r w:rsidR="00974AFC" w:rsidRPr="00974AFC">
          <w:rPr>
            <w:rFonts w:eastAsiaTheme="minorEastAsia"/>
            <w:i w:val="0"/>
            <w:sz w:val="20"/>
            <w:szCs w:val="20"/>
          </w:rPr>
          <w:tab/>
        </w:r>
        <w:r w:rsidR="00974AFC" w:rsidRPr="00974AFC">
          <w:rPr>
            <w:rStyle w:val="Hyperlink"/>
            <w:i w:val="0"/>
            <w:sz w:val="20"/>
            <w:szCs w:val="20"/>
            <w:u w:val="none"/>
          </w:rPr>
          <w:t>Aggregate Amount Owed by Breaching Market Participant Immediately Due</w:t>
        </w:r>
        <w:r w:rsidR="00974AFC" w:rsidRPr="00974AFC">
          <w:rPr>
            <w:i w:val="0"/>
            <w:webHidden/>
            <w:sz w:val="20"/>
            <w:szCs w:val="20"/>
          </w:rPr>
          <w:tab/>
        </w:r>
        <w:r w:rsidR="00974AFC" w:rsidRPr="00974AFC">
          <w:rPr>
            <w:i w:val="0"/>
            <w:webHidden/>
            <w:sz w:val="20"/>
            <w:szCs w:val="20"/>
          </w:rPr>
          <w:fldChar w:fldCharType="begin"/>
        </w:r>
        <w:r w:rsidR="00974AFC" w:rsidRPr="00974AFC">
          <w:rPr>
            <w:i w:val="0"/>
            <w:webHidden/>
            <w:sz w:val="20"/>
            <w:szCs w:val="20"/>
          </w:rPr>
          <w:instrText xml:space="preserve"> PAGEREF _Toc70591651 \h </w:instrText>
        </w:r>
        <w:r w:rsidR="00974AFC" w:rsidRPr="00974AFC">
          <w:rPr>
            <w:i w:val="0"/>
            <w:webHidden/>
            <w:sz w:val="20"/>
            <w:szCs w:val="20"/>
          </w:rPr>
        </w:r>
        <w:r w:rsidR="00974AFC" w:rsidRPr="00974AFC">
          <w:rPr>
            <w:i w:val="0"/>
            <w:webHidden/>
            <w:sz w:val="20"/>
            <w:szCs w:val="20"/>
          </w:rPr>
          <w:fldChar w:fldCharType="separate"/>
        </w:r>
        <w:r>
          <w:rPr>
            <w:i w:val="0"/>
            <w:webHidden/>
            <w:sz w:val="20"/>
            <w:szCs w:val="20"/>
          </w:rPr>
          <w:t>16-70</w:t>
        </w:r>
        <w:r w:rsidR="00974AFC" w:rsidRPr="00974AFC">
          <w:rPr>
            <w:i w:val="0"/>
            <w:webHidden/>
            <w:sz w:val="20"/>
            <w:szCs w:val="20"/>
          </w:rPr>
          <w:fldChar w:fldCharType="end"/>
        </w:r>
      </w:hyperlink>
    </w:p>
    <w:p w14:paraId="4E68B1C1" w14:textId="22FA0D36" w:rsidR="00974AFC" w:rsidRPr="00974AFC" w:rsidRDefault="00AC6018">
      <w:pPr>
        <w:pStyle w:val="TOC5"/>
        <w:tabs>
          <w:tab w:val="left" w:pos="3614"/>
        </w:tabs>
        <w:rPr>
          <w:rFonts w:eastAsiaTheme="minorEastAsia"/>
          <w:i w:val="0"/>
          <w:sz w:val="20"/>
          <w:szCs w:val="20"/>
        </w:rPr>
      </w:pPr>
      <w:hyperlink w:anchor="_Toc70591652" w:history="1">
        <w:r w:rsidR="00974AFC" w:rsidRPr="00974AFC">
          <w:rPr>
            <w:rStyle w:val="Hyperlink"/>
            <w:i w:val="0"/>
            <w:sz w:val="20"/>
            <w:szCs w:val="20"/>
            <w:u w:val="none"/>
          </w:rPr>
          <w:t>16.11.6.1.4</w:t>
        </w:r>
        <w:r w:rsidR="00974AFC" w:rsidRPr="00974AFC">
          <w:rPr>
            <w:rFonts w:eastAsiaTheme="minorEastAsia"/>
            <w:i w:val="0"/>
            <w:sz w:val="20"/>
            <w:szCs w:val="20"/>
          </w:rPr>
          <w:tab/>
        </w:r>
        <w:r w:rsidR="00974AFC" w:rsidRPr="00974AFC">
          <w:rPr>
            <w:rStyle w:val="Hyperlink"/>
            <w:i w:val="0"/>
            <w:sz w:val="20"/>
            <w:szCs w:val="20"/>
            <w:u w:val="none"/>
          </w:rPr>
          <w:t>Repossession of CRRs by ERCOT</w:t>
        </w:r>
        <w:r w:rsidR="00974AFC" w:rsidRPr="00974AFC">
          <w:rPr>
            <w:i w:val="0"/>
            <w:webHidden/>
            <w:sz w:val="20"/>
            <w:szCs w:val="20"/>
          </w:rPr>
          <w:tab/>
        </w:r>
        <w:r w:rsidR="00974AFC" w:rsidRPr="00974AFC">
          <w:rPr>
            <w:i w:val="0"/>
            <w:webHidden/>
            <w:sz w:val="20"/>
            <w:szCs w:val="20"/>
          </w:rPr>
          <w:fldChar w:fldCharType="begin"/>
        </w:r>
        <w:r w:rsidR="00974AFC" w:rsidRPr="00974AFC">
          <w:rPr>
            <w:i w:val="0"/>
            <w:webHidden/>
            <w:sz w:val="20"/>
            <w:szCs w:val="20"/>
          </w:rPr>
          <w:instrText xml:space="preserve"> PAGEREF _Toc70591652 \h </w:instrText>
        </w:r>
        <w:r w:rsidR="00974AFC" w:rsidRPr="00974AFC">
          <w:rPr>
            <w:i w:val="0"/>
            <w:webHidden/>
            <w:sz w:val="20"/>
            <w:szCs w:val="20"/>
          </w:rPr>
        </w:r>
        <w:r w:rsidR="00974AFC" w:rsidRPr="00974AFC">
          <w:rPr>
            <w:i w:val="0"/>
            <w:webHidden/>
            <w:sz w:val="20"/>
            <w:szCs w:val="20"/>
          </w:rPr>
          <w:fldChar w:fldCharType="separate"/>
        </w:r>
        <w:r>
          <w:rPr>
            <w:i w:val="0"/>
            <w:webHidden/>
            <w:sz w:val="20"/>
            <w:szCs w:val="20"/>
          </w:rPr>
          <w:t>16-70</w:t>
        </w:r>
        <w:r w:rsidR="00974AFC" w:rsidRPr="00974AFC">
          <w:rPr>
            <w:i w:val="0"/>
            <w:webHidden/>
            <w:sz w:val="20"/>
            <w:szCs w:val="20"/>
          </w:rPr>
          <w:fldChar w:fldCharType="end"/>
        </w:r>
      </w:hyperlink>
    </w:p>
    <w:p w14:paraId="21780CBC" w14:textId="44B4949A" w:rsidR="00974AFC" w:rsidRPr="00974AFC" w:rsidRDefault="00AC6018">
      <w:pPr>
        <w:pStyle w:val="TOC5"/>
        <w:tabs>
          <w:tab w:val="left" w:pos="3614"/>
        </w:tabs>
        <w:rPr>
          <w:rFonts w:eastAsiaTheme="minorEastAsia"/>
          <w:i w:val="0"/>
          <w:sz w:val="20"/>
          <w:szCs w:val="20"/>
        </w:rPr>
      </w:pPr>
      <w:hyperlink w:anchor="_Toc70591653" w:history="1">
        <w:r w:rsidR="00974AFC" w:rsidRPr="00974AFC">
          <w:rPr>
            <w:rStyle w:val="Hyperlink"/>
            <w:i w:val="0"/>
            <w:sz w:val="20"/>
            <w:szCs w:val="20"/>
            <w:u w:val="none"/>
          </w:rPr>
          <w:t>16.11.6.1.5</w:t>
        </w:r>
        <w:r w:rsidR="00974AFC" w:rsidRPr="00974AFC">
          <w:rPr>
            <w:rFonts w:eastAsiaTheme="minorEastAsia"/>
            <w:i w:val="0"/>
            <w:sz w:val="20"/>
            <w:szCs w:val="20"/>
          </w:rPr>
          <w:tab/>
        </w:r>
        <w:r w:rsidR="00974AFC" w:rsidRPr="00974AFC">
          <w:rPr>
            <w:rStyle w:val="Hyperlink"/>
            <w:i w:val="0"/>
            <w:sz w:val="20"/>
            <w:szCs w:val="20"/>
            <w:u w:val="none"/>
          </w:rPr>
          <w:t>Declaration of Forfeit of CRRs</w:t>
        </w:r>
        <w:r w:rsidR="00974AFC" w:rsidRPr="00974AFC">
          <w:rPr>
            <w:i w:val="0"/>
            <w:webHidden/>
            <w:sz w:val="20"/>
            <w:szCs w:val="20"/>
          </w:rPr>
          <w:tab/>
        </w:r>
        <w:r w:rsidR="00974AFC" w:rsidRPr="00974AFC">
          <w:rPr>
            <w:i w:val="0"/>
            <w:webHidden/>
            <w:sz w:val="20"/>
            <w:szCs w:val="20"/>
          </w:rPr>
          <w:fldChar w:fldCharType="begin"/>
        </w:r>
        <w:r w:rsidR="00974AFC" w:rsidRPr="00974AFC">
          <w:rPr>
            <w:i w:val="0"/>
            <w:webHidden/>
            <w:sz w:val="20"/>
            <w:szCs w:val="20"/>
          </w:rPr>
          <w:instrText xml:space="preserve"> PAGEREF _Toc70591653 \h </w:instrText>
        </w:r>
        <w:r w:rsidR="00974AFC" w:rsidRPr="00974AFC">
          <w:rPr>
            <w:i w:val="0"/>
            <w:webHidden/>
            <w:sz w:val="20"/>
            <w:szCs w:val="20"/>
          </w:rPr>
        </w:r>
        <w:r w:rsidR="00974AFC" w:rsidRPr="00974AFC">
          <w:rPr>
            <w:i w:val="0"/>
            <w:webHidden/>
            <w:sz w:val="20"/>
            <w:szCs w:val="20"/>
          </w:rPr>
          <w:fldChar w:fldCharType="separate"/>
        </w:r>
        <w:r>
          <w:rPr>
            <w:i w:val="0"/>
            <w:webHidden/>
            <w:sz w:val="20"/>
            <w:szCs w:val="20"/>
          </w:rPr>
          <w:t>16-71</w:t>
        </w:r>
        <w:r w:rsidR="00974AFC" w:rsidRPr="00974AFC">
          <w:rPr>
            <w:i w:val="0"/>
            <w:webHidden/>
            <w:sz w:val="20"/>
            <w:szCs w:val="20"/>
          </w:rPr>
          <w:fldChar w:fldCharType="end"/>
        </w:r>
      </w:hyperlink>
    </w:p>
    <w:p w14:paraId="158D570D" w14:textId="1646BAC4" w:rsidR="00974AFC" w:rsidRPr="00974AFC" w:rsidRDefault="00AC6018">
      <w:pPr>
        <w:pStyle w:val="TOC5"/>
        <w:tabs>
          <w:tab w:val="left" w:pos="3614"/>
        </w:tabs>
        <w:rPr>
          <w:rFonts w:eastAsiaTheme="minorEastAsia"/>
          <w:i w:val="0"/>
          <w:sz w:val="20"/>
          <w:szCs w:val="20"/>
        </w:rPr>
      </w:pPr>
      <w:hyperlink w:anchor="_Toc70591654" w:history="1">
        <w:r w:rsidR="00974AFC" w:rsidRPr="00974AFC">
          <w:rPr>
            <w:rStyle w:val="Hyperlink"/>
            <w:bCs/>
            <w:i w:val="0"/>
            <w:iCs/>
            <w:sz w:val="20"/>
            <w:szCs w:val="20"/>
            <w:u w:val="none"/>
          </w:rPr>
          <w:t>16.11.6.1.6</w:t>
        </w:r>
        <w:r w:rsidR="00974AFC" w:rsidRPr="00974AFC">
          <w:rPr>
            <w:rFonts w:eastAsiaTheme="minorEastAsia"/>
            <w:i w:val="0"/>
            <w:sz w:val="20"/>
            <w:szCs w:val="20"/>
          </w:rPr>
          <w:tab/>
        </w:r>
        <w:r w:rsidR="00974AFC" w:rsidRPr="00974AFC">
          <w:rPr>
            <w:rStyle w:val="Hyperlink"/>
            <w:bCs/>
            <w:i w:val="0"/>
            <w:iCs/>
            <w:sz w:val="20"/>
            <w:szCs w:val="20"/>
            <w:u w:val="none"/>
          </w:rPr>
          <w:t>Liquidation of Repossessed or Forfeited CRRs</w:t>
        </w:r>
        <w:r w:rsidR="00974AFC" w:rsidRPr="00974AFC">
          <w:rPr>
            <w:i w:val="0"/>
            <w:webHidden/>
            <w:sz w:val="20"/>
            <w:szCs w:val="20"/>
          </w:rPr>
          <w:tab/>
        </w:r>
        <w:r w:rsidR="00974AFC" w:rsidRPr="00974AFC">
          <w:rPr>
            <w:i w:val="0"/>
            <w:webHidden/>
            <w:sz w:val="20"/>
            <w:szCs w:val="20"/>
          </w:rPr>
          <w:fldChar w:fldCharType="begin"/>
        </w:r>
        <w:r w:rsidR="00974AFC" w:rsidRPr="00974AFC">
          <w:rPr>
            <w:i w:val="0"/>
            <w:webHidden/>
            <w:sz w:val="20"/>
            <w:szCs w:val="20"/>
          </w:rPr>
          <w:instrText xml:space="preserve"> PAGEREF _Toc70591654 \h </w:instrText>
        </w:r>
        <w:r w:rsidR="00974AFC" w:rsidRPr="00974AFC">
          <w:rPr>
            <w:i w:val="0"/>
            <w:webHidden/>
            <w:sz w:val="20"/>
            <w:szCs w:val="20"/>
          </w:rPr>
        </w:r>
        <w:r w:rsidR="00974AFC" w:rsidRPr="00974AFC">
          <w:rPr>
            <w:i w:val="0"/>
            <w:webHidden/>
            <w:sz w:val="20"/>
            <w:szCs w:val="20"/>
          </w:rPr>
          <w:fldChar w:fldCharType="separate"/>
        </w:r>
        <w:r>
          <w:rPr>
            <w:i w:val="0"/>
            <w:webHidden/>
            <w:sz w:val="20"/>
            <w:szCs w:val="20"/>
          </w:rPr>
          <w:t>16-72</w:t>
        </w:r>
        <w:r w:rsidR="00974AFC" w:rsidRPr="00974AFC">
          <w:rPr>
            <w:i w:val="0"/>
            <w:webHidden/>
            <w:sz w:val="20"/>
            <w:szCs w:val="20"/>
          </w:rPr>
          <w:fldChar w:fldCharType="end"/>
        </w:r>
      </w:hyperlink>
    </w:p>
    <w:p w14:paraId="49B23989" w14:textId="239390A0" w:rsidR="00974AFC" w:rsidRPr="00974AFC" w:rsidRDefault="00AC6018">
      <w:pPr>
        <w:pStyle w:val="TOC4"/>
        <w:rPr>
          <w:rFonts w:eastAsiaTheme="minorEastAsia"/>
          <w:sz w:val="20"/>
          <w:szCs w:val="20"/>
        </w:rPr>
      </w:pPr>
      <w:hyperlink w:anchor="_Toc70591656" w:history="1">
        <w:r w:rsidR="00974AFC" w:rsidRPr="00974AFC">
          <w:rPr>
            <w:rStyle w:val="Hyperlink"/>
            <w:sz w:val="20"/>
            <w:szCs w:val="20"/>
            <w:u w:val="none"/>
          </w:rPr>
          <w:t>16.11.6.2</w:t>
        </w:r>
        <w:r w:rsidR="00974AFC" w:rsidRPr="00974AFC">
          <w:rPr>
            <w:rFonts w:eastAsiaTheme="minorEastAsia"/>
            <w:sz w:val="20"/>
            <w:szCs w:val="20"/>
          </w:rPr>
          <w:tab/>
        </w:r>
        <w:r w:rsidR="00974AFC" w:rsidRPr="00974AFC">
          <w:rPr>
            <w:rStyle w:val="Hyperlink"/>
            <w:sz w:val="20"/>
            <w:szCs w:val="20"/>
            <w:u w:val="none"/>
          </w:rPr>
          <w:t>ERCOT’s Remedies for Late Payments by a Market Participant</w:t>
        </w:r>
        <w:r w:rsidR="00974AFC" w:rsidRPr="00974AFC">
          <w:rPr>
            <w:webHidden/>
            <w:sz w:val="20"/>
            <w:szCs w:val="20"/>
          </w:rPr>
          <w:tab/>
        </w:r>
        <w:r w:rsidR="00974AFC" w:rsidRPr="00974AFC">
          <w:rPr>
            <w:webHidden/>
            <w:sz w:val="20"/>
            <w:szCs w:val="20"/>
          </w:rPr>
          <w:fldChar w:fldCharType="begin"/>
        </w:r>
        <w:r w:rsidR="00974AFC" w:rsidRPr="00974AFC">
          <w:rPr>
            <w:webHidden/>
            <w:sz w:val="20"/>
            <w:szCs w:val="20"/>
          </w:rPr>
          <w:instrText xml:space="preserve"> PAGEREF _Toc70591656 \h </w:instrText>
        </w:r>
        <w:r w:rsidR="00974AFC" w:rsidRPr="00974AFC">
          <w:rPr>
            <w:webHidden/>
            <w:sz w:val="20"/>
            <w:szCs w:val="20"/>
          </w:rPr>
        </w:r>
        <w:r w:rsidR="00974AFC" w:rsidRPr="00974AFC">
          <w:rPr>
            <w:webHidden/>
            <w:sz w:val="20"/>
            <w:szCs w:val="20"/>
          </w:rPr>
          <w:fldChar w:fldCharType="separate"/>
        </w:r>
        <w:r>
          <w:rPr>
            <w:webHidden/>
            <w:sz w:val="20"/>
            <w:szCs w:val="20"/>
          </w:rPr>
          <w:t>16-75</w:t>
        </w:r>
        <w:r w:rsidR="00974AFC" w:rsidRPr="00974AFC">
          <w:rPr>
            <w:webHidden/>
            <w:sz w:val="20"/>
            <w:szCs w:val="20"/>
          </w:rPr>
          <w:fldChar w:fldCharType="end"/>
        </w:r>
      </w:hyperlink>
    </w:p>
    <w:p w14:paraId="55562046" w14:textId="05A6BD72" w:rsidR="00974AFC" w:rsidRPr="00974AFC" w:rsidRDefault="00AC6018">
      <w:pPr>
        <w:pStyle w:val="TOC5"/>
        <w:tabs>
          <w:tab w:val="left" w:pos="3614"/>
        </w:tabs>
        <w:rPr>
          <w:rFonts w:eastAsiaTheme="minorEastAsia"/>
          <w:i w:val="0"/>
          <w:sz w:val="20"/>
          <w:szCs w:val="20"/>
        </w:rPr>
      </w:pPr>
      <w:hyperlink w:anchor="_Toc70591657" w:history="1">
        <w:r w:rsidR="00974AFC" w:rsidRPr="00974AFC">
          <w:rPr>
            <w:rStyle w:val="Hyperlink"/>
            <w:i w:val="0"/>
            <w:sz w:val="20"/>
            <w:szCs w:val="20"/>
            <w:u w:val="none"/>
          </w:rPr>
          <w:t>16.11.6.2.1</w:t>
        </w:r>
        <w:r w:rsidR="00974AFC" w:rsidRPr="00974AFC">
          <w:rPr>
            <w:rFonts w:eastAsiaTheme="minorEastAsia"/>
            <w:i w:val="0"/>
            <w:sz w:val="20"/>
            <w:szCs w:val="20"/>
          </w:rPr>
          <w:tab/>
        </w:r>
        <w:r w:rsidR="00974AFC" w:rsidRPr="00974AFC">
          <w:rPr>
            <w:rStyle w:val="Hyperlink"/>
            <w:i w:val="0"/>
            <w:sz w:val="20"/>
            <w:szCs w:val="20"/>
            <w:u w:val="none"/>
          </w:rPr>
          <w:t>First Late Payment in Any Rolling 12-Month Period</w:t>
        </w:r>
        <w:r w:rsidR="00974AFC" w:rsidRPr="00974AFC">
          <w:rPr>
            <w:i w:val="0"/>
            <w:webHidden/>
            <w:sz w:val="20"/>
            <w:szCs w:val="20"/>
          </w:rPr>
          <w:tab/>
        </w:r>
        <w:r w:rsidR="00974AFC" w:rsidRPr="00974AFC">
          <w:rPr>
            <w:i w:val="0"/>
            <w:webHidden/>
            <w:sz w:val="20"/>
            <w:szCs w:val="20"/>
          </w:rPr>
          <w:fldChar w:fldCharType="begin"/>
        </w:r>
        <w:r w:rsidR="00974AFC" w:rsidRPr="00974AFC">
          <w:rPr>
            <w:i w:val="0"/>
            <w:webHidden/>
            <w:sz w:val="20"/>
            <w:szCs w:val="20"/>
          </w:rPr>
          <w:instrText xml:space="preserve"> PAGEREF _Toc70591657 \h </w:instrText>
        </w:r>
        <w:r w:rsidR="00974AFC" w:rsidRPr="00974AFC">
          <w:rPr>
            <w:i w:val="0"/>
            <w:webHidden/>
            <w:sz w:val="20"/>
            <w:szCs w:val="20"/>
          </w:rPr>
        </w:r>
        <w:r w:rsidR="00974AFC" w:rsidRPr="00974AFC">
          <w:rPr>
            <w:i w:val="0"/>
            <w:webHidden/>
            <w:sz w:val="20"/>
            <w:szCs w:val="20"/>
          </w:rPr>
          <w:fldChar w:fldCharType="separate"/>
        </w:r>
        <w:r>
          <w:rPr>
            <w:i w:val="0"/>
            <w:webHidden/>
            <w:sz w:val="20"/>
            <w:szCs w:val="20"/>
          </w:rPr>
          <w:t>16-75</w:t>
        </w:r>
        <w:r w:rsidR="00974AFC" w:rsidRPr="00974AFC">
          <w:rPr>
            <w:i w:val="0"/>
            <w:webHidden/>
            <w:sz w:val="20"/>
            <w:szCs w:val="20"/>
          </w:rPr>
          <w:fldChar w:fldCharType="end"/>
        </w:r>
      </w:hyperlink>
    </w:p>
    <w:p w14:paraId="6420FFA9" w14:textId="65608A8F" w:rsidR="00974AFC" w:rsidRPr="00974AFC" w:rsidRDefault="00AC6018">
      <w:pPr>
        <w:pStyle w:val="TOC5"/>
        <w:tabs>
          <w:tab w:val="left" w:pos="3614"/>
        </w:tabs>
        <w:rPr>
          <w:rFonts w:eastAsiaTheme="minorEastAsia"/>
          <w:i w:val="0"/>
          <w:sz w:val="20"/>
          <w:szCs w:val="20"/>
        </w:rPr>
      </w:pPr>
      <w:hyperlink w:anchor="_Toc70591658" w:history="1">
        <w:r w:rsidR="00974AFC" w:rsidRPr="00974AFC">
          <w:rPr>
            <w:rStyle w:val="Hyperlink"/>
            <w:i w:val="0"/>
            <w:sz w:val="20"/>
            <w:szCs w:val="20"/>
            <w:u w:val="none"/>
          </w:rPr>
          <w:t>16.11.6.2.2</w:t>
        </w:r>
        <w:r w:rsidR="00974AFC" w:rsidRPr="00974AFC">
          <w:rPr>
            <w:rFonts w:eastAsiaTheme="minorEastAsia"/>
            <w:i w:val="0"/>
            <w:sz w:val="20"/>
            <w:szCs w:val="20"/>
          </w:rPr>
          <w:tab/>
        </w:r>
        <w:r w:rsidR="00974AFC" w:rsidRPr="00974AFC">
          <w:rPr>
            <w:rStyle w:val="Hyperlink"/>
            <w:i w:val="0"/>
            <w:sz w:val="20"/>
            <w:szCs w:val="20"/>
            <w:u w:val="none"/>
          </w:rPr>
          <w:t>Second Late Payment in Any Rolling 12-Month Period</w:t>
        </w:r>
        <w:r w:rsidR="00974AFC" w:rsidRPr="00974AFC">
          <w:rPr>
            <w:i w:val="0"/>
            <w:webHidden/>
            <w:sz w:val="20"/>
            <w:szCs w:val="20"/>
          </w:rPr>
          <w:tab/>
        </w:r>
        <w:r w:rsidR="00974AFC" w:rsidRPr="00974AFC">
          <w:rPr>
            <w:i w:val="0"/>
            <w:webHidden/>
            <w:sz w:val="20"/>
            <w:szCs w:val="20"/>
          </w:rPr>
          <w:fldChar w:fldCharType="begin"/>
        </w:r>
        <w:r w:rsidR="00974AFC" w:rsidRPr="00974AFC">
          <w:rPr>
            <w:i w:val="0"/>
            <w:webHidden/>
            <w:sz w:val="20"/>
            <w:szCs w:val="20"/>
          </w:rPr>
          <w:instrText xml:space="preserve"> PAGEREF _Toc70591658 \h </w:instrText>
        </w:r>
        <w:r w:rsidR="00974AFC" w:rsidRPr="00974AFC">
          <w:rPr>
            <w:i w:val="0"/>
            <w:webHidden/>
            <w:sz w:val="20"/>
            <w:szCs w:val="20"/>
          </w:rPr>
        </w:r>
        <w:r w:rsidR="00974AFC" w:rsidRPr="00974AFC">
          <w:rPr>
            <w:i w:val="0"/>
            <w:webHidden/>
            <w:sz w:val="20"/>
            <w:szCs w:val="20"/>
          </w:rPr>
          <w:fldChar w:fldCharType="separate"/>
        </w:r>
        <w:r>
          <w:rPr>
            <w:i w:val="0"/>
            <w:webHidden/>
            <w:sz w:val="20"/>
            <w:szCs w:val="20"/>
          </w:rPr>
          <w:t>16-75</w:t>
        </w:r>
        <w:r w:rsidR="00974AFC" w:rsidRPr="00974AFC">
          <w:rPr>
            <w:i w:val="0"/>
            <w:webHidden/>
            <w:sz w:val="20"/>
            <w:szCs w:val="20"/>
          </w:rPr>
          <w:fldChar w:fldCharType="end"/>
        </w:r>
      </w:hyperlink>
    </w:p>
    <w:p w14:paraId="60FCD541" w14:textId="57799DCD" w:rsidR="00974AFC" w:rsidRPr="00974AFC" w:rsidRDefault="00AC6018">
      <w:pPr>
        <w:pStyle w:val="TOC5"/>
        <w:tabs>
          <w:tab w:val="left" w:pos="3614"/>
        </w:tabs>
        <w:rPr>
          <w:rFonts w:eastAsiaTheme="minorEastAsia"/>
          <w:i w:val="0"/>
          <w:sz w:val="20"/>
          <w:szCs w:val="20"/>
        </w:rPr>
      </w:pPr>
      <w:hyperlink w:anchor="_Toc70591659" w:history="1">
        <w:r w:rsidR="00974AFC" w:rsidRPr="00974AFC">
          <w:rPr>
            <w:rStyle w:val="Hyperlink"/>
            <w:i w:val="0"/>
            <w:sz w:val="20"/>
            <w:szCs w:val="20"/>
            <w:u w:val="none"/>
          </w:rPr>
          <w:t>16.11.6.2.3</w:t>
        </w:r>
        <w:r w:rsidR="00974AFC" w:rsidRPr="00974AFC">
          <w:rPr>
            <w:rFonts w:eastAsiaTheme="minorEastAsia"/>
            <w:i w:val="0"/>
            <w:sz w:val="20"/>
            <w:szCs w:val="20"/>
          </w:rPr>
          <w:tab/>
        </w:r>
        <w:r w:rsidR="00974AFC" w:rsidRPr="00974AFC">
          <w:rPr>
            <w:rStyle w:val="Hyperlink"/>
            <w:i w:val="0"/>
            <w:sz w:val="20"/>
            <w:szCs w:val="20"/>
            <w:u w:val="none"/>
          </w:rPr>
          <w:t>Third Late Payment in Any Rolling 12-Month Period</w:t>
        </w:r>
        <w:r w:rsidR="00974AFC" w:rsidRPr="00974AFC">
          <w:rPr>
            <w:i w:val="0"/>
            <w:webHidden/>
            <w:sz w:val="20"/>
            <w:szCs w:val="20"/>
          </w:rPr>
          <w:tab/>
        </w:r>
        <w:r w:rsidR="00974AFC" w:rsidRPr="00974AFC">
          <w:rPr>
            <w:i w:val="0"/>
            <w:webHidden/>
            <w:sz w:val="20"/>
            <w:szCs w:val="20"/>
          </w:rPr>
          <w:fldChar w:fldCharType="begin"/>
        </w:r>
        <w:r w:rsidR="00974AFC" w:rsidRPr="00974AFC">
          <w:rPr>
            <w:i w:val="0"/>
            <w:webHidden/>
            <w:sz w:val="20"/>
            <w:szCs w:val="20"/>
          </w:rPr>
          <w:instrText xml:space="preserve"> PAGEREF _Toc70591659 \h </w:instrText>
        </w:r>
        <w:r w:rsidR="00974AFC" w:rsidRPr="00974AFC">
          <w:rPr>
            <w:i w:val="0"/>
            <w:webHidden/>
            <w:sz w:val="20"/>
            <w:szCs w:val="20"/>
          </w:rPr>
        </w:r>
        <w:r w:rsidR="00974AFC" w:rsidRPr="00974AFC">
          <w:rPr>
            <w:i w:val="0"/>
            <w:webHidden/>
            <w:sz w:val="20"/>
            <w:szCs w:val="20"/>
          </w:rPr>
          <w:fldChar w:fldCharType="separate"/>
        </w:r>
        <w:r>
          <w:rPr>
            <w:i w:val="0"/>
            <w:webHidden/>
            <w:sz w:val="20"/>
            <w:szCs w:val="20"/>
          </w:rPr>
          <w:t>16-75</w:t>
        </w:r>
        <w:r w:rsidR="00974AFC" w:rsidRPr="00974AFC">
          <w:rPr>
            <w:i w:val="0"/>
            <w:webHidden/>
            <w:sz w:val="20"/>
            <w:szCs w:val="20"/>
          </w:rPr>
          <w:fldChar w:fldCharType="end"/>
        </w:r>
      </w:hyperlink>
    </w:p>
    <w:p w14:paraId="5E8DF6CD" w14:textId="7B437648" w:rsidR="00974AFC" w:rsidRPr="00974AFC" w:rsidRDefault="00AC6018">
      <w:pPr>
        <w:pStyle w:val="TOC5"/>
        <w:tabs>
          <w:tab w:val="left" w:pos="3614"/>
        </w:tabs>
        <w:rPr>
          <w:rFonts w:eastAsiaTheme="minorEastAsia"/>
          <w:i w:val="0"/>
          <w:sz w:val="20"/>
          <w:szCs w:val="20"/>
        </w:rPr>
      </w:pPr>
      <w:hyperlink w:anchor="_Toc70591660" w:history="1">
        <w:r w:rsidR="00974AFC" w:rsidRPr="00974AFC">
          <w:rPr>
            <w:rStyle w:val="Hyperlink"/>
            <w:i w:val="0"/>
            <w:sz w:val="20"/>
            <w:szCs w:val="20"/>
            <w:u w:val="none"/>
          </w:rPr>
          <w:t>16.11.6.2.4</w:t>
        </w:r>
        <w:r w:rsidR="00974AFC" w:rsidRPr="00974AFC">
          <w:rPr>
            <w:rFonts w:eastAsiaTheme="minorEastAsia"/>
            <w:i w:val="0"/>
            <w:sz w:val="20"/>
            <w:szCs w:val="20"/>
          </w:rPr>
          <w:tab/>
        </w:r>
        <w:r w:rsidR="00974AFC" w:rsidRPr="00974AFC">
          <w:rPr>
            <w:rStyle w:val="Hyperlink"/>
            <w:i w:val="0"/>
            <w:sz w:val="20"/>
            <w:szCs w:val="20"/>
            <w:u w:val="none"/>
          </w:rPr>
          <w:t>Fourth Late Payment in Any Rolling 12-Month Period</w:t>
        </w:r>
        <w:r w:rsidR="00974AFC" w:rsidRPr="00974AFC">
          <w:rPr>
            <w:i w:val="0"/>
            <w:webHidden/>
            <w:sz w:val="20"/>
            <w:szCs w:val="20"/>
          </w:rPr>
          <w:tab/>
        </w:r>
        <w:r w:rsidR="00974AFC" w:rsidRPr="00974AFC">
          <w:rPr>
            <w:i w:val="0"/>
            <w:webHidden/>
            <w:sz w:val="20"/>
            <w:szCs w:val="20"/>
          </w:rPr>
          <w:fldChar w:fldCharType="begin"/>
        </w:r>
        <w:r w:rsidR="00974AFC" w:rsidRPr="00974AFC">
          <w:rPr>
            <w:i w:val="0"/>
            <w:webHidden/>
            <w:sz w:val="20"/>
            <w:szCs w:val="20"/>
          </w:rPr>
          <w:instrText xml:space="preserve"> PAGEREF _Toc70591660 \h </w:instrText>
        </w:r>
        <w:r w:rsidR="00974AFC" w:rsidRPr="00974AFC">
          <w:rPr>
            <w:i w:val="0"/>
            <w:webHidden/>
            <w:sz w:val="20"/>
            <w:szCs w:val="20"/>
          </w:rPr>
        </w:r>
        <w:r w:rsidR="00974AFC" w:rsidRPr="00974AFC">
          <w:rPr>
            <w:i w:val="0"/>
            <w:webHidden/>
            <w:sz w:val="20"/>
            <w:szCs w:val="20"/>
          </w:rPr>
          <w:fldChar w:fldCharType="separate"/>
        </w:r>
        <w:r>
          <w:rPr>
            <w:i w:val="0"/>
            <w:webHidden/>
            <w:sz w:val="20"/>
            <w:szCs w:val="20"/>
          </w:rPr>
          <w:t>16-76</w:t>
        </w:r>
        <w:r w:rsidR="00974AFC" w:rsidRPr="00974AFC">
          <w:rPr>
            <w:i w:val="0"/>
            <w:webHidden/>
            <w:sz w:val="20"/>
            <w:szCs w:val="20"/>
          </w:rPr>
          <w:fldChar w:fldCharType="end"/>
        </w:r>
      </w:hyperlink>
    </w:p>
    <w:p w14:paraId="07420EA9" w14:textId="00C9B934" w:rsidR="00974AFC" w:rsidRPr="00974AFC" w:rsidRDefault="00AC6018">
      <w:pPr>
        <w:pStyle w:val="TOC5"/>
        <w:tabs>
          <w:tab w:val="left" w:pos="3614"/>
        </w:tabs>
        <w:rPr>
          <w:rFonts w:eastAsiaTheme="minorEastAsia"/>
          <w:i w:val="0"/>
          <w:sz w:val="20"/>
          <w:szCs w:val="20"/>
        </w:rPr>
      </w:pPr>
      <w:hyperlink w:anchor="_Toc70591661" w:history="1">
        <w:r w:rsidR="00974AFC" w:rsidRPr="00974AFC">
          <w:rPr>
            <w:rStyle w:val="Hyperlink"/>
            <w:i w:val="0"/>
            <w:sz w:val="20"/>
            <w:szCs w:val="20"/>
            <w:u w:val="none"/>
          </w:rPr>
          <w:t>16.11.6.2.5</w:t>
        </w:r>
        <w:r w:rsidR="00974AFC" w:rsidRPr="00974AFC">
          <w:rPr>
            <w:rFonts w:eastAsiaTheme="minorEastAsia"/>
            <w:i w:val="0"/>
            <w:sz w:val="20"/>
            <w:szCs w:val="20"/>
          </w:rPr>
          <w:tab/>
        </w:r>
        <w:r w:rsidR="00974AFC" w:rsidRPr="00974AFC">
          <w:rPr>
            <w:rStyle w:val="Hyperlink"/>
            <w:i w:val="0"/>
            <w:sz w:val="20"/>
            <w:szCs w:val="20"/>
            <w:u w:val="none"/>
          </w:rPr>
          <w:t>Level I Enforcement</w:t>
        </w:r>
        <w:r w:rsidR="00974AFC" w:rsidRPr="00974AFC">
          <w:rPr>
            <w:i w:val="0"/>
            <w:webHidden/>
            <w:sz w:val="20"/>
            <w:szCs w:val="20"/>
          </w:rPr>
          <w:tab/>
        </w:r>
        <w:r w:rsidR="00974AFC" w:rsidRPr="00974AFC">
          <w:rPr>
            <w:i w:val="0"/>
            <w:webHidden/>
            <w:sz w:val="20"/>
            <w:szCs w:val="20"/>
          </w:rPr>
          <w:fldChar w:fldCharType="begin"/>
        </w:r>
        <w:r w:rsidR="00974AFC" w:rsidRPr="00974AFC">
          <w:rPr>
            <w:i w:val="0"/>
            <w:webHidden/>
            <w:sz w:val="20"/>
            <w:szCs w:val="20"/>
          </w:rPr>
          <w:instrText xml:space="preserve"> PAGEREF _Toc70591661 \h </w:instrText>
        </w:r>
        <w:r w:rsidR="00974AFC" w:rsidRPr="00974AFC">
          <w:rPr>
            <w:i w:val="0"/>
            <w:webHidden/>
            <w:sz w:val="20"/>
            <w:szCs w:val="20"/>
          </w:rPr>
        </w:r>
        <w:r w:rsidR="00974AFC" w:rsidRPr="00974AFC">
          <w:rPr>
            <w:i w:val="0"/>
            <w:webHidden/>
            <w:sz w:val="20"/>
            <w:szCs w:val="20"/>
          </w:rPr>
          <w:fldChar w:fldCharType="separate"/>
        </w:r>
        <w:r>
          <w:rPr>
            <w:i w:val="0"/>
            <w:webHidden/>
            <w:sz w:val="20"/>
            <w:szCs w:val="20"/>
          </w:rPr>
          <w:t>16-76</w:t>
        </w:r>
        <w:r w:rsidR="00974AFC" w:rsidRPr="00974AFC">
          <w:rPr>
            <w:i w:val="0"/>
            <w:webHidden/>
            <w:sz w:val="20"/>
            <w:szCs w:val="20"/>
          </w:rPr>
          <w:fldChar w:fldCharType="end"/>
        </w:r>
      </w:hyperlink>
    </w:p>
    <w:p w14:paraId="0C392A5C" w14:textId="5DF91FED" w:rsidR="00974AFC" w:rsidRPr="00974AFC" w:rsidRDefault="00AC6018">
      <w:pPr>
        <w:pStyle w:val="TOC5"/>
        <w:tabs>
          <w:tab w:val="left" w:pos="3614"/>
        </w:tabs>
        <w:rPr>
          <w:rFonts w:eastAsiaTheme="minorEastAsia"/>
          <w:i w:val="0"/>
          <w:sz w:val="20"/>
          <w:szCs w:val="20"/>
        </w:rPr>
      </w:pPr>
      <w:hyperlink w:anchor="_Toc70591662" w:history="1">
        <w:r w:rsidR="00974AFC" w:rsidRPr="00974AFC">
          <w:rPr>
            <w:rStyle w:val="Hyperlink"/>
            <w:i w:val="0"/>
            <w:sz w:val="20"/>
            <w:szCs w:val="20"/>
            <w:u w:val="none"/>
          </w:rPr>
          <w:t>16.11.6.2.6</w:t>
        </w:r>
        <w:r w:rsidR="00974AFC" w:rsidRPr="00974AFC">
          <w:rPr>
            <w:rFonts w:eastAsiaTheme="minorEastAsia"/>
            <w:i w:val="0"/>
            <w:sz w:val="20"/>
            <w:szCs w:val="20"/>
          </w:rPr>
          <w:tab/>
        </w:r>
        <w:r w:rsidR="00974AFC" w:rsidRPr="00974AFC">
          <w:rPr>
            <w:rStyle w:val="Hyperlink"/>
            <w:i w:val="0"/>
            <w:sz w:val="20"/>
            <w:szCs w:val="20"/>
            <w:u w:val="none"/>
          </w:rPr>
          <w:t>Level II Enforcement</w:t>
        </w:r>
        <w:r w:rsidR="00974AFC" w:rsidRPr="00974AFC">
          <w:rPr>
            <w:i w:val="0"/>
            <w:webHidden/>
            <w:sz w:val="20"/>
            <w:szCs w:val="20"/>
          </w:rPr>
          <w:tab/>
        </w:r>
        <w:r w:rsidR="00974AFC" w:rsidRPr="00974AFC">
          <w:rPr>
            <w:i w:val="0"/>
            <w:webHidden/>
            <w:sz w:val="20"/>
            <w:szCs w:val="20"/>
          </w:rPr>
          <w:fldChar w:fldCharType="begin"/>
        </w:r>
        <w:r w:rsidR="00974AFC" w:rsidRPr="00974AFC">
          <w:rPr>
            <w:i w:val="0"/>
            <w:webHidden/>
            <w:sz w:val="20"/>
            <w:szCs w:val="20"/>
          </w:rPr>
          <w:instrText xml:space="preserve"> PAGEREF _Toc70591662 \h </w:instrText>
        </w:r>
        <w:r w:rsidR="00974AFC" w:rsidRPr="00974AFC">
          <w:rPr>
            <w:i w:val="0"/>
            <w:webHidden/>
            <w:sz w:val="20"/>
            <w:szCs w:val="20"/>
          </w:rPr>
        </w:r>
        <w:r w:rsidR="00974AFC" w:rsidRPr="00974AFC">
          <w:rPr>
            <w:i w:val="0"/>
            <w:webHidden/>
            <w:sz w:val="20"/>
            <w:szCs w:val="20"/>
          </w:rPr>
          <w:fldChar w:fldCharType="separate"/>
        </w:r>
        <w:r>
          <w:rPr>
            <w:i w:val="0"/>
            <w:webHidden/>
            <w:sz w:val="20"/>
            <w:szCs w:val="20"/>
          </w:rPr>
          <w:t>16-76</w:t>
        </w:r>
        <w:r w:rsidR="00974AFC" w:rsidRPr="00974AFC">
          <w:rPr>
            <w:i w:val="0"/>
            <w:webHidden/>
            <w:sz w:val="20"/>
            <w:szCs w:val="20"/>
          </w:rPr>
          <w:fldChar w:fldCharType="end"/>
        </w:r>
      </w:hyperlink>
    </w:p>
    <w:p w14:paraId="081AD169" w14:textId="780239E0" w:rsidR="00974AFC" w:rsidRPr="00974AFC" w:rsidRDefault="00AC6018">
      <w:pPr>
        <w:pStyle w:val="TOC5"/>
        <w:tabs>
          <w:tab w:val="left" w:pos="3614"/>
        </w:tabs>
        <w:rPr>
          <w:rFonts w:eastAsiaTheme="minorEastAsia"/>
          <w:i w:val="0"/>
          <w:sz w:val="20"/>
          <w:szCs w:val="20"/>
        </w:rPr>
      </w:pPr>
      <w:hyperlink w:anchor="_Toc70591663" w:history="1">
        <w:r w:rsidR="00974AFC" w:rsidRPr="00974AFC">
          <w:rPr>
            <w:rStyle w:val="Hyperlink"/>
            <w:i w:val="0"/>
            <w:sz w:val="20"/>
            <w:szCs w:val="20"/>
            <w:u w:val="none"/>
          </w:rPr>
          <w:t>16.11.6.2.7</w:t>
        </w:r>
        <w:r w:rsidR="00974AFC" w:rsidRPr="00974AFC">
          <w:rPr>
            <w:rFonts w:eastAsiaTheme="minorEastAsia"/>
            <w:i w:val="0"/>
            <w:sz w:val="20"/>
            <w:szCs w:val="20"/>
          </w:rPr>
          <w:tab/>
        </w:r>
        <w:r w:rsidR="00974AFC" w:rsidRPr="00974AFC">
          <w:rPr>
            <w:rStyle w:val="Hyperlink"/>
            <w:i w:val="0"/>
            <w:sz w:val="20"/>
            <w:szCs w:val="20"/>
            <w:u w:val="none"/>
          </w:rPr>
          <w:t>Level III Enforcement</w:t>
        </w:r>
        <w:r w:rsidR="00974AFC" w:rsidRPr="00974AFC">
          <w:rPr>
            <w:i w:val="0"/>
            <w:webHidden/>
            <w:sz w:val="20"/>
            <w:szCs w:val="20"/>
          </w:rPr>
          <w:tab/>
        </w:r>
        <w:r w:rsidR="00974AFC" w:rsidRPr="00974AFC">
          <w:rPr>
            <w:i w:val="0"/>
            <w:webHidden/>
            <w:sz w:val="20"/>
            <w:szCs w:val="20"/>
          </w:rPr>
          <w:fldChar w:fldCharType="begin"/>
        </w:r>
        <w:r w:rsidR="00974AFC" w:rsidRPr="00974AFC">
          <w:rPr>
            <w:i w:val="0"/>
            <w:webHidden/>
            <w:sz w:val="20"/>
            <w:szCs w:val="20"/>
          </w:rPr>
          <w:instrText xml:space="preserve"> PAGEREF _Toc70591663 \h </w:instrText>
        </w:r>
        <w:r w:rsidR="00974AFC" w:rsidRPr="00974AFC">
          <w:rPr>
            <w:i w:val="0"/>
            <w:webHidden/>
            <w:sz w:val="20"/>
            <w:szCs w:val="20"/>
          </w:rPr>
        </w:r>
        <w:r w:rsidR="00974AFC" w:rsidRPr="00974AFC">
          <w:rPr>
            <w:i w:val="0"/>
            <w:webHidden/>
            <w:sz w:val="20"/>
            <w:szCs w:val="20"/>
          </w:rPr>
          <w:fldChar w:fldCharType="separate"/>
        </w:r>
        <w:r>
          <w:rPr>
            <w:i w:val="0"/>
            <w:webHidden/>
            <w:sz w:val="20"/>
            <w:szCs w:val="20"/>
          </w:rPr>
          <w:t>16-77</w:t>
        </w:r>
        <w:r w:rsidR="00974AFC" w:rsidRPr="00974AFC">
          <w:rPr>
            <w:i w:val="0"/>
            <w:webHidden/>
            <w:sz w:val="20"/>
            <w:szCs w:val="20"/>
          </w:rPr>
          <w:fldChar w:fldCharType="end"/>
        </w:r>
      </w:hyperlink>
    </w:p>
    <w:p w14:paraId="07E04F49" w14:textId="32364298" w:rsidR="00974AFC" w:rsidRPr="00974AFC" w:rsidRDefault="00AC6018">
      <w:pPr>
        <w:pStyle w:val="TOC3"/>
        <w:rPr>
          <w:rFonts w:eastAsiaTheme="minorEastAsia"/>
          <w:i w:val="0"/>
          <w:iCs w:val="0"/>
          <w:noProof/>
        </w:rPr>
      </w:pPr>
      <w:hyperlink w:anchor="_Toc70591664" w:history="1">
        <w:r w:rsidR="00974AFC" w:rsidRPr="00974AFC">
          <w:rPr>
            <w:rStyle w:val="Hyperlink"/>
            <w:i w:val="0"/>
            <w:noProof/>
            <w:u w:val="none"/>
          </w:rPr>
          <w:t>16.11.7</w:t>
        </w:r>
        <w:r w:rsidR="00974AFC" w:rsidRPr="00974AFC">
          <w:rPr>
            <w:rFonts w:eastAsiaTheme="minorEastAsia"/>
            <w:i w:val="0"/>
            <w:iCs w:val="0"/>
            <w:noProof/>
          </w:rPr>
          <w:tab/>
        </w:r>
        <w:r w:rsidR="00974AFC" w:rsidRPr="00974AFC">
          <w:rPr>
            <w:rStyle w:val="Hyperlink"/>
            <w:i w:val="0"/>
            <w:noProof/>
            <w:u w:val="none"/>
          </w:rPr>
          <w:t>Release of Market Participant’s Financial Security Requirement</w:t>
        </w:r>
        <w:r w:rsidR="00974AFC" w:rsidRPr="00974AFC">
          <w:rPr>
            <w:i w:val="0"/>
            <w:noProof/>
            <w:webHidden/>
          </w:rPr>
          <w:tab/>
        </w:r>
        <w:r w:rsidR="00974AFC" w:rsidRPr="00974AFC">
          <w:rPr>
            <w:i w:val="0"/>
            <w:noProof/>
            <w:webHidden/>
          </w:rPr>
          <w:fldChar w:fldCharType="begin"/>
        </w:r>
        <w:r w:rsidR="00974AFC" w:rsidRPr="00974AFC">
          <w:rPr>
            <w:i w:val="0"/>
            <w:noProof/>
            <w:webHidden/>
          </w:rPr>
          <w:instrText xml:space="preserve"> PAGEREF _Toc70591664 \h </w:instrText>
        </w:r>
        <w:r w:rsidR="00974AFC" w:rsidRPr="00974AFC">
          <w:rPr>
            <w:i w:val="0"/>
            <w:noProof/>
            <w:webHidden/>
          </w:rPr>
        </w:r>
        <w:r w:rsidR="00974AFC" w:rsidRPr="00974AFC">
          <w:rPr>
            <w:i w:val="0"/>
            <w:noProof/>
            <w:webHidden/>
          </w:rPr>
          <w:fldChar w:fldCharType="separate"/>
        </w:r>
        <w:r>
          <w:rPr>
            <w:i w:val="0"/>
            <w:noProof/>
            <w:webHidden/>
          </w:rPr>
          <w:t>16-77</w:t>
        </w:r>
        <w:r w:rsidR="00974AFC" w:rsidRPr="00974AFC">
          <w:rPr>
            <w:i w:val="0"/>
            <w:noProof/>
            <w:webHidden/>
          </w:rPr>
          <w:fldChar w:fldCharType="end"/>
        </w:r>
      </w:hyperlink>
    </w:p>
    <w:p w14:paraId="434E6874" w14:textId="38E89FE4" w:rsidR="00974AFC" w:rsidRPr="00974AFC" w:rsidRDefault="00AC6018">
      <w:pPr>
        <w:pStyle w:val="TOC3"/>
        <w:rPr>
          <w:rFonts w:eastAsiaTheme="minorEastAsia"/>
          <w:i w:val="0"/>
          <w:iCs w:val="0"/>
          <w:noProof/>
        </w:rPr>
      </w:pPr>
      <w:hyperlink w:anchor="_Toc70591665" w:history="1">
        <w:r w:rsidR="00974AFC" w:rsidRPr="00974AFC">
          <w:rPr>
            <w:rStyle w:val="Hyperlink"/>
            <w:i w:val="0"/>
            <w:noProof/>
            <w:u w:val="none"/>
          </w:rPr>
          <w:t>16.11.8</w:t>
        </w:r>
        <w:r w:rsidR="00974AFC" w:rsidRPr="00974AFC">
          <w:rPr>
            <w:rFonts w:eastAsiaTheme="minorEastAsia"/>
            <w:i w:val="0"/>
            <w:iCs w:val="0"/>
            <w:noProof/>
          </w:rPr>
          <w:tab/>
        </w:r>
        <w:r w:rsidR="00974AFC" w:rsidRPr="00974AFC">
          <w:rPr>
            <w:rStyle w:val="Hyperlink"/>
            <w:i w:val="0"/>
            <w:noProof/>
            <w:u w:val="none"/>
          </w:rPr>
          <w:t>Acceleration</w:t>
        </w:r>
        <w:r w:rsidR="00974AFC" w:rsidRPr="00974AFC">
          <w:rPr>
            <w:i w:val="0"/>
            <w:noProof/>
            <w:webHidden/>
          </w:rPr>
          <w:tab/>
        </w:r>
        <w:r w:rsidR="00974AFC" w:rsidRPr="00974AFC">
          <w:rPr>
            <w:i w:val="0"/>
            <w:noProof/>
            <w:webHidden/>
          </w:rPr>
          <w:fldChar w:fldCharType="begin"/>
        </w:r>
        <w:r w:rsidR="00974AFC" w:rsidRPr="00974AFC">
          <w:rPr>
            <w:i w:val="0"/>
            <w:noProof/>
            <w:webHidden/>
          </w:rPr>
          <w:instrText xml:space="preserve"> PAGEREF _Toc70591665 \h </w:instrText>
        </w:r>
        <w:r w:rsidR="00974AFC" w:rsidRPr="00974AFC">
          <w:rPr>
            <w:i w:val="0"/>
            <w:noProof/>
            <w:webHidden/>
          </w:rPr>
        </w:r>
        <w:r w:rsidR="00974AFC" w:rsidRPr="00974AFC">
          <w:rPr>
            <w:i w:val="0"/>
            <w:noProof/>
            <w:webHidden/>
          </w:rPr>
          <w:fldChar w:fldCharType="separate"/>
        </w:r>
        <w:r>
          <w:rPr>
            <w:i w:val="0"/>
            <w:noProof/>
            <w:webHidden/>
          </w:rPr>
          <w:t>16-78</w:t>
        </w:r>
        <w:r w:rsidR="00974AFC" w:rsidRPr="00974AFC">
          <w:rPr>
            <w:i w:val="0"/>
            <w:noProof/>
            <w:webHidden/>
          </w:rPr>
          <w:fldChar w:fldCharType="end"/>
        </w:r>
      </w:hyperlink>
    </w:p>
    <w:p w14:paraId="320A082D" w14:textId="2A947C3A" w:rsidR="00974AFC" w:rsidRPr="00974AFC" w:rsidRDefault="00AC6018">
      <w:pPr>
        <w:pStyle w:val="TOC2"/>
        <w:rPr>
          <w:rFonts w:eastAsiaTheme="minorEastAsia"/>
        </w:rPr>
      </w:pPr>
      <w:hyperlink w:anchor="_Toc70591666" w:history="1">
        <w:r w:rsidR="00974AFC" w:rsidRPr="00974AFC">
          <w:rPr>
            <w:rStyle w:val="Hyperlink"/>
            <w:u w:val="none"/>
          </w:rPr>
          <w:t>16.12</w:t>
        </w:r>
        <w:r w:rsidR="00974AFC" w:rsidRPr="00974AFC">
          <w:rPr>
            <w:rFonts w:eastAsiaTheme="minorEastAsia"/>
          </w:rPr>
          <w:tab/>
        </w:r>
        <w:r w:rsidR="00974AFC" w:rsidRPr="00974AFC">
          <w:rPr>
            <w:rStyle w:val="Hyperlink"/>
            <w:u w:val="none"/>
          </w:rPr>
          <w:t>User Security Administrator and Digital Certificates</w:t>
        </w:r>
        <w:r w:rsidR="00974AFC" w:rsidRPr="00974AFC">
          <w:rPr>
            <w:webHidden/>
          </w:rPr>
          <w:tab/>
        </w:r>
        <w:r w:rsidR="00974AFC" w:rsidRPr="00974AFC">
          <w:rPr>
            <w:webHidden/>
          </w:rPr>
          <w:fldChar w:fldCharType="begin"/>
        </w:r>
        <w:r w:rsidR="00974AFC" w:rsidRPr="00974AFC">
          <w:rPr>
            <w:webHidden/>
          </w:rPr>
          <w:instrText xml:space="preserve"> PAGEREF _Toc70591666 \h </w:instrText>
        </w:r>
        <w:r w:rsidR="00974AFC" w:rsidRPr="00974AFC">
          <w:rPr>
            <w:webHidden/>
          </w:rPr>
        </w:r>
        <w:r w:rsidR="00974AFC" w:rsidRPr="00974AFC">
          <w:rPr>
            <w:webHidden/>
          </w:rPr>
          <w:fldChar w:fldCharType="separate"/>
        </w:r>
        <w:r>
          <w:rPr>
            <w:webHidden/>
          </w:rPr>
          <w:t>16-79</w:t>
        </w:r>
        <w:r w:rsidR="00974AFC" w:rsidRPr="00974AFC">
          <w:rPr>
            <w:webHidden/>
          </w:rPr>
          <w:fldChar w:fldCharType="end"/>
        </w:r>
      </w:hyperlink>
    </w:p>
    <w:p w14:paraId="45E87E9D" w14:textId="4C0B8D5F" w:rsidR="00974AFC" w:rsidRPr="00974AFC" w:rsidRDefault="00AC6018">
      <w:pPr>
        <w:pStyle w:val="TOC3"/>
        <w:rPr>
          <w:rFonts w:eastAsiaTheme="minorEastAsia"/>
          <w:i w:val="0"/>
          <w:iCs w:val="0"/>
          <w:noProof/>
        </w:rPr>
      </w:pPr>
      <w:hyperlink w:anchor="_Toc70591667" w:history="1">
        <w:r w:rsidR="00974AFC" w:rsidRPr="00974AFC">
          <w:rPr>
            <w:rStyle w:val="Hyperlink"/>
            <w:i w:val="0"/>
            <w:noProof/>
            <w:u w:val="none"/>
          </w:rPr>
          <w:t>16.12.1</w:t>
        </w:r>
        <w:r w:rsidR="00974AFC" w:rsidRPr="00974AFC">
          <w:rPr>
            <w:rFonts w:eastAsiaTheme="minorEastAsia"/>
            <w:i w:val="0"/>
            <w:iCs w:val="0"/>
            <w:noProof/>
          </w:rPr>
          <w:tab/>
        </w:r>
        <w:r w:rsidR="00974AFC" w:rsidRPr="00974AFC">
          <w:rPr>
            <w:rStyle w:val="Hyperlink"/>
            <w:i w:val="0"/>
            <w:noProof/>
            <w:u w:val="none"/>
          </w:rPr>
          <w:t>USA Responsibilities and Qualifications for Digital Certificate Holders</w:t>
        </w:r>
        <w:r w:rsidR="00974AFC" w:rsidRPr="00974AFC">
          <w:rPr>
            <w:i w:val="0"/>
            <w:noProof/>
            <w:webHidden/>
          </w:rPr>
          <w:tab/>
        </w:r>
        <w:r w:rsidR="00974AFC" w:rsidRPr="00974AFC">
          <w:rPr>
            <w:i w:val="0"/>
            <w:noProof/>
            <w:webHidden/>
          </w:rPr>
          <w:fldChar w:fldCharType="begin"/>
        </w:r>
        <w:r w:rsidR="00974AFC" w:rsidRPr="00974AFC">
          <w:rPr>
            <w:i w:val="0"/>
            <w:noProof/>
            <w:webHidden/>
          </w:rPr>
          <w:instrText xml:space="preserve"> PAGEREF _Toc70591667 \h </w:instrText>
        </w:r>
        <w:r w:rsidR="00974AFC" w:rsidRPr="00974AFC">
          <w:rPr>
            <w:i w:val="0"/>
            <w:noProof/>
            <w:webHidden/>
          </w:rPr>
        </w:r>
        <w:r w:rsidR="00974AFC" w:rsidRPr="00974AFC">
          <w:rPr>
            <w:i w:val="0"/>
            <w:noProof/>
            <w:webHidden/>
          </w:rPr>
          <w:fldChar w:fldCharType="separate"/>
        </w:r>
        <w:r>
          <w:rPr>
            <w:i w:val="0"/>
            <w:noProof/>
            <w:webHidden/>
          </w:rPr>
          <w:t>16-80</w:t>
        </w:r>
        <w:r w:rsidR="00974AFC" w:rsidRPr="00974AFC">
          <w:rPr>
            <w:i w:val="0"/>
            <w:noProof/>
            <w:webHidden/>
          </w:rPr>
          <w:fldChar w:fldCharType="end"/>
        </w:r>
      </w:hyperlink>
    </w:p>
    <w:p w14:paraId="034E25D4" w14:textId="5B5C5217" w:rsidR="00974AFC" w:rsidRPr="00974AFC" w:rsidRDefault="00AC6018">
      <w:pPr>
        <w:pStyle w:val="TOC3"/>
        <w:rPr>
          <w:rFonts w:eastAsiaTheme="minorEastAsia"/>
          <w:i w:val="0"/>
          <w:iCs w:val="0"/>
          <w:noProof/>
        </w:rPr>
      </w:pPr>
      <w:hyperlink w:anchor="_Toc70591668" w:history="1">
        <w:r w:rsidR="00974AFC" w:rsidRPr="00974AFC">
          <w:rPr>
            <w:rStyle w:val="Hyperlink"/>
            <w:i w:val="0"/>
            <w:noProof/>
            <w:u w:val="none"/>
          </w:rPr>
          <w:t>16.12.2</w:t>
        </w:r>
        <w:r w:rsidR="00974AFC" w:rsidRPr="00974AFC">
          <w:rPr>
            <w:rFonts w:eastAsiaTheme="minorEastAsia"/>
            <w:i w:val="0"/>
            <w:iCs w:val="0"/>
            <w:noProof/>
          </w:rPr>
          <w:tab/>
        </w:r>
        <w:r w:rsidR="00974AFC" w:rsidRPr="00974AFC">
          <w:rPr>
            <w:rStyle w:val="Hyperlink"/>
            <w:i w:val="0"/>
            <w:noProof/>
            <w:u w:val="none"/>
          </w:rPr>
          <w:t>Requirements for Use of Digital Certificates</w:t>
        </w:r>
        <w:r w:rsidR="00974AFC" w:rsidRPr="00974AFC">
          <w:rPr>
            <w:i w:val="0"/>
            <w:noProof/>
            <w:webHidden/>
          </w:rPr>
          <w:tab/>
        </w:r>
        <w:r w:rsidR="00974AFC" w:rsidRPr="00974AFC">
          <w:rPr>
            <w:i w:val="0"/>
            <w:noProof/>
            <w:webHidden/>
          </w:rPr>
          <w:fldChar w:fldCharType="begin"/>
        </w:r>
        <w:r w:rsidR="00974AFC" w:rsidRPr="00974AFC">
          <w:rPr>
            <w:i w:val="0"/>
            <w:noProof/>
            <w:webHidden/>
          </w:rPr>
          <w:instrText xml:space="preserve"> PAGEREF _Toc70591668 \h </w:instrText>
        </w:r>
        <w:r w:rsidR="00974AFC" w:rsidRPr="00974AFC">
          <w:rPr>
            <w:i w:val="0"/>
            <w:noProof/>
            <w:webHidden/>
          </w:rPr>
        </w:r>
        <w:r w:rsidR="00974AFC" w:rsidRPr="00974AFC">
          <w:rPr>
            <w:i w:val="0"/>
            <w:noProof/>
            <w:webHidden/>
          </w:rPr>
          <w:fldChar w:fldCharType="separate"/>
        </w:r>
        <w:r>
          <w:rPr>
            <w:i w:val="0"/>
            <w:noProof/>
            <w:webHidden/>
          </w:rPr>
          <w:t>16-82</w:t>
        </w:r>
        <w:r w:rsidR="00974AFC" w:rsidRPr="00974AFC">
          <w:rPr>
            <w:i w:val="0"/>
            <w:noProof/>
            <w:webHidden/>
          </w:rPr>
          <w:fldChar w:fldCharType="end"/>
        </w:r>
      </w:hyperlink>
    </w:p>
    <w:p w14:paraId="680DF2DB" w14:textId="772C001B" w:rsidR="00974AFC" w:rsidRPr="00974AFC" w:rsidRDefault="00AC6018">
      <w:pPr>
        <w:pStyle w:val="TOC3"/>
        <w:rPr>
          <w:rFonts w:eastAsiaTheme="minorEastAsia"/>
          <w:i w:val="0"/>
          <w:iCs w:val="0"/>
          <w:noProof/>
        </w:rPr>
      </w:pPr>
      <w:hyperlink w:anchor="_Toc70591669" w:history="1">
        <w:r w:rsidR="00974AFC" w:rsidRPr="00974AFC">
          <w:rPr>
            <w:rStyle w:val="Hyperlink"/>
            <w:i w:val="0"/>
            <w:noProof/>
            <w:u w:val="none"/>
          </w:rPr>
          <w:t>16.12.3</w:t>
        </w:r>
        <w:r w:rsidR="00974AFC" w:rsidRPr="00974AFC">
          <w:rPr>
            <w:rFonts w:eastAsiaTheme="minorEastAsia"/>
            <w:i w:val="0"/>
            <w:iCs w:val="0"/>
            <w:noProof/>
          </w:rPr>
          <w:tab/>
        </w:r>
        <w:r w:rsidR="00974AFC" w:rsidRPr="00974AFC">
          <w:rPr>
            <w:rStyle w:val="Hyperlink"/>
            <w:i w:val="0"/>
            <w:noProof/>
            <w:u w:val="none"/>
          </w:rPr>
          <w:t>Market Participant Audits of User Security Administrators and Digital Certificates</w:t>
        </w:r>
        <w:r w:rsidR="00974AFC" w:rsidRPr="00974AFC">
          <w:rPr>
            <w:i w:val="0"/>
            <w:noProof/>
            <w:webHidden/>
          </w:rPr>
          <w:tab/>
        </w:r>
        <w:r w:rsidR="00974AFC" w:rsidRPr="00974AFC">
          <w:rPr>
            <w:i w:val="0"/>
            <w:noProof/>
            <w:webHidden/>
          </w:rPr>
          <w:fldChar w:fldCharType="begin"/>
        </w:r>
        <w:r w:rsidR="00974AFC" w:rsidRPr="00974AFC">
          <w:rPr>
            <w:i w:val="0"/>
            <w:noProof/>
            <w:webHidden/>
          </w:rPr>
          <w:instrText xml:space="preserve"> PAGEREF _Toc70591669 \h </w:instrText>
        </w:r>
        <w:r w:rsidR="00974AFC" w:rsidRPr="00974AFC">
          <w:rPr>
            <w:i w:val="0"/>
            <w:noProof/>
            <w:webHidden/>
          </w:rPr>
        </w:r>
        <w:r w:rsidR="00974AFC" w:rsidRPr="00974AFC">
          <w:rPr>
            <w:i w:val="0"/>
            <w:noProof/>
            <w:webHidden/>
          </w:rPr>
          <w:fldChar w:fldCharType="separate"/>
        </w:r>
        <w:r>
          <w:rPr>
            <w:i w:val="0"/>
            <w:noProof/>
            <w:webHidden/>
          </w:rPr>
          <w:t>16-82</w:t>
        </w:r>
        <w:r w:rsidR="00974AFC" w:rsidRPr="00974AFC">
          <w:rPr>
            <w:i w:val="0"/>
            <w:noProof/>
            <w:webHidden/>
          </w:rPr>
          <w:fldChar w:fldCharType="end"/>
        </w:r>
      </w:hyperlink>
    </w:p>
    <w:p w14:paraId="7A2AA847" w14:textId="1E4AB9BD" w:rsidR="00974AFC" w:rsidRPr="00974AFC" w:rsidRDefault="00AC6018">
      <w:pPr>
        <w:pStyle w:val="TOC2"/>
        <w:rPr>
          <w:rFonts w:eastAsiaTheme="minorEastAsia"/>
        </w:rPr>
      </w:pPr>
      <w:hyperlink w:anchor="_Toc70591670" w:history="1">
        <w:r w:rsidR="00974AFC" w:rsidRPr="00974AFC">
          <w:rPr>
            <w:rStyle w:val="Hyperlink"/>
            <w:u w:val="none"/>
          </w:rPr>
          <w:t>16.13</w:t>
        </w:r>
        <w:r w:rsidR="00974AFC" w:rsidRPr="00974AFC">
          <w:rPr>
            <w:rFonts w:eastAsiaTheme="minorEastAsia"/>
          </w:rPr>
          <w:tab/>
        </w:r>
        <w:r w:rsidR="00974AFC" w:rsidRPr="00974AFC">
          <w:rPr>
            <w:rStyle w:val="Hyperlink"/>
            <w:u w:val="none"/>
          </w:rPr>
          <w:t>Registration of Emergency Response Service Resources</w:t>
        </w:r>
        <w:r w:rsidR="00974AFC" w:rsidRPr="00974AFC">
          <w:rPr>
            <w:webHidden/>
          </w:rPr>
          <w:tab/>
        </w:r>
        <w:r w:rsidR="00974AFC" w:rsidRPr="00974AFC">
          <w:rPr>
            <w:webHidden/>
          </w:rPr>
          <w:fldChar w:fldCharType="begin"/>
        </w:r>
        <w:r w:rsidR="00974AFC" w:rsidRPr="00974AFC">
          <w:rPr>
            <w:webHidden/>
          </w:rPr>
          <w:instrText xml:space="preserve"> PAGEREF _Toc70591670 \h </w:instrText>
        </w:r>
        <w:r w:rsidR="00974AFC" w:rsidRPr="00974AFC">
          <w:rPr>
            <w:webHidden/>
          </w:rPr>
        </w:r>
        <w:r w:rsidR="00974AFC" w:rsidRPr="00974AFC">
          <w:rPr>
            <w:webHidden/>
          </w:rPr>
          <w:fldChar w:fldCharType="separate"/>
        </w:r>
        <w:r>
          <w:rPr>
            <w:webHidden/>
          </w:rPr>
          <w:t>16-84</w:t>
        </w:r>
        <w:r w:rsidR="00974AFC" w:rsidRPr="00974AFC">
          <w:rPr>
            <w:webHidden/>
          </w:rPr>
          <w:fldChar w:fldCharType="end"/>
        </w:r>
      </w:hyperlink>
    </w:p>
    <w:p w14:paraId="5186B223" w14:textId="6CD27AFA" w:rsidR="00974AFC" w:rsidRPr="00974AFC" w:rsidRDefault="00AC6018">
      <w:pPr>
        <w:pStyle w:val="TOC2"/>
        <w:rPr>
          <w:rFonts w:eastAsiaTheme="minorEastAsia"/>
        </w:rPr>
      </w:pPr>
      <w:hyperlink w:anchor="_Toc70591671" w:history="1">
        <w:r w:rsidR="00974AFC" w:rsidRPr="00974AFC">
          <w:rPr>
            <w:rStyle w:val="Hyperlink"/>
            <w:u w:val="none"/>
          </w:rPr>
          <w:t>16.14</w:t>
        </w:r>
        <w:r w:rsidR="00974AFC" w:rsidRPr="00974AFC">
          <w:rPr>
            <w:rFonts w:eastAsiaTheme="minorEastAsia"/>
          </w:rPr>
          <w:tab/>
        </w:r>
        <w:r w:rsidR="00974AFC" w:rsidRPr="00974AFC">
          <w:rPr>
            <w:rStyle w:val="Hyperlink"/>
            <w:u w:val="none"/>
          </w:rPr>
          <w:t>Termination of Access Privileges to Restricted Computer Systems and Control Systems</w:t>
        </w:r>
        <w:r w:rsidR="00974AFC" w:rsidRPr="00974AFC">
          <w:rPr>
            <w:webHidden/>
          </w:rPr>
          <w:tab/>
        </w:r>
        <w:r w:rsidR="00974AFC" w:rsidRPr="00974AFC">
          <w:rPr>
            <w:webHidden/>
          </w:rPr>
          <w:fldChar w:fldCharType="begin"/>
        </w:r>
        <w:r w:rsidR="00974AFC" w:rsidRPr="00974AFC">
          <w:rPr>
            <w:webHidden/>
          </w:rPr>
          <w:instrText xml:space="preserve"> PAGEREF _Toc70591671 \h </w:instrText>
        </w:r>
        <w:r w:rsidR="00974AFC" w:rsidRPr="00974AFC">
          <w:rPr>
            <w:webHidden/>
          </w:rPr>
        </w:r>
        <w:r w:rsidR="00974AFC" w:rsidRPr="00974AFC">
          <w:rPr>
            <w:webHidden/>
          </w:rPr>
          <w:fldChar w:fldCharType="separate"/>
        </w:r>
        <w:r>
          <w:rPr>
            <w:webHidden/>
          </w:rPr>
          <w:t>16-84</w:t>
        </w:r>
        <w:r w:rsidR="00974AFC" w:rsidRPr="00974AFC">
          <w:rPr>
            <w:webHidden/>
          </w:rPr>
          <w:fldChar w:fldCharType="end"/>
        </w:r>
      </w:hyperlink>
    </w:p>
    <w:p w14:paraId="376CDCC8" w14:textId="5807BE73" w:rsidR="00974AFC" w:rsidRPr="00974AFC" w:rsidRDefault="00AC6018">
      <w:pPr>
        <w:pStyle w:val="TOC2"/>
        <w:rPr>
          <w:rFonts w:eastAsiaTheme="minorEastAsia"/>
        </w:rPr>
      </w:pPr>
      <w:hyperlink w:anchor="_Toc70591672" w:history="1">
        <w:r w:rsidR="00974AFC" w:rsidRPr="00974AFC">
          <w:rPr>
            <w:rStyle w:val="Hyperlink"/>
            <w:u w:val="none"/>
          </w:rPr>
          <w:t>16.15</w:t>
        </w:r>
        <w:r w:rsidR="00974AFC" w:rsidRPr="00974AFC">
          <w:rPr>
            <w:rFonts w:eastAsiaTheme="minorEastAsia"/>
          </w:rPr>
          <w:tab/>
        </w:r>
        <w:r w:rsidR="00974AFC" w:rsidRPr="00974AFC">
          <w:rPr>
            <w:rStyle w:val="Hyperlink"/>
            <w:u w:val="none"/>
          </w:rPr>
          <w:t>Registration of Independent Market Information System Registered Entity</w:t>
        </w:r>
        <w:r w:rsidR="00974AFC" w:rsidRPr="00974AFC">
          <w:rPr>
            <w:webHidden/>
          </w:rPr>
          <w:tab/>
        </w:r>
        <w:r w:rsidR="00974AFC" w:rsidRPr="00974AFC">
          <w:rPr>
            <w:webHidden/>
          </w:rPr>
          <w:fldChar w:fldCharType="begin"/>
        </w:r>
        <w:r w:rsidR="00974AFC" w:rsidRPr="00974AFC">
          <w:rPr>
            <w:webHidden/>
          </w:rPr>
          <w:instrText xml:space="preserve"> PAGEREF _Toc70591672 \h </w:instrText>
        </w:r>
        <w:r w:rsidR="00974AFC" w:rsidRPr="00974AFC">
          <w:rPr>
            <w:webHidden/>
          </w:rPr>
        </w:r>
        <w:r w:rsidR="00974AFC" w:rsidRPr="00974AFC">
          <w:rPr>
            <w:webHidden/>
          </w:rPr>
          <w:fldChar w:fldCharType="separate"/>
        </w:r>
        <w:r>
          <w:rPr>
            <w:webHidden/>
          </w:rPr>
          <w:t>16-85</w:t>
        </w:r>
        <w:r w:rsidR="00974AFC" w:rsidRPr="00974AFC">
          <w:rPr>
            <w:webHidden/>
          </w:rPr>
          <w:fldChar w:fldCharType="end"/>
        </w:r>
      </w:hyperlink>
    </w:p>
    <w:p w14:paraId="665EA5FE" w14:textId="5FBDDAE7" w:rsidR="00974AFC" w:rsidRPr="00974AFC" w:rsidRDefault="00AC6018">
      <w:pPr>
        <w:pStyle w:val="TOC2"/>
        <w:rPr>
          <w:rFonts w:eastAsiaTheme="minorEastAsia"/>
        </w:rPr>
      </w:pPr>
      <w:hyperlink w:anchor="_Toc70591673" w:history="1">
        <w:r w:rsidR="00974AFC" w:rsidRPr="00974AFC">
          <w:rPr>
            <w:rStyle w:val="Hyperlink"/>
            <w:u w:val="none"/>
          </w:rPr>
          <w:t>16.16</w:t>
        </w:r>
        <w:r w:rsidR="00974AFC" w:rsidRPr="00974AFC">
          <w:rPr>
            <w:rFonts w:eastAsiaTheme="minorEastAsia"/>
          </w:rPr>
          <w:tab/>
        </w:r>
        <w:r w:rsidR="00974AFC" w:rsidRPr="00974AFC">
          <w:rPr>
            <w:rStyle w:val="Hyperlink"/>
            <w:u w:val="none"/>
          </w:rPr>
          <w:t>Additional Counter-Party Qualification Requirements</w:t>
        </w:r>
        <w:r w:rsidR="00974AFC" w:rsidRPr="00974AFC">
          <w:rPr>
            <w:webHidden/>
          </w:rPr>
          <w:tab/>
        </w:r>
        <w:r w:rsidR="00974AFC" w:rsidRPr="00974AFC">
          <w:rPr>
            <w:webHidden/>
          </w:rPr>
          <w:fldChar w:fldCharType="begin"/>
        </w:r>
        <w:r w:rsidR="00974AFC" w:rsidRPr="00974AFC">
          <w:rPr>
            <w:webHidden/>
          </w:rPr>
          <w:instrText xml:space="preserve"> PAGEREF _Toc70591673 \h </w:instrText>
        </w:r>
        <w:r w:rsidR="00974AFC" w:rsidRPr="00974AFC">
          <w:rPr>
            <w:webHidden/>
          </w:rPr>
        </w:r>
        <w:r w:rsidR="00974AFC" w:rsidRPr="00974AFC">
          <w:rPr>
            <w:webHidden/>
          </w:rPr>
          <w:fldChar w:fldCharType="separate"/>
        </w:r>
        <w:r>
          <w:rPr>
            <w:webHidden/>
          </w:rPr>
          <w:t>16-86</w:t>
        </w:r>
        <w:r w:rsidR="00974AFC" w:rsidRPr="00974AFC">
          <w:rPr>
            <w:webHidden/>
          </w:rPr>
          <w:fldChar w:fldCharType="end"/>
        </w:r>
      </w:hyperlink>
    </w:p>
    <w:p w14:paraId="5812EA19" w14:textId="2E1D0800" w:rsidR="00974AFC" w:rsidRPr="00974AFC" w:rsidRDefault="00AC6018">
      <w:pPr>
        <w:pStyle w:val="TOC3"/>
        <w:rPr>
          <w:rFonts w:eastAsiaTheme="minorEastAsia"/>
          <w:i w:val="0"/>
          <w:iCs w:val="0"/>
          <w:noProof/>
        </w:rPr>
      </w:pPr>
      <w:hyperlink w:anchor="_Toc70591674" w:history="1">
        <w:r w:rsidR="00974AFC" w:rsidRPr="00974AFC">
          <w:rPr>
            <w:rStyle w:val="Hyperlink"/>
            <w:i w:val="0"/>
            <w:noProof/>
            <w:u w:val="none"/>
          </w:rPr>
          <w:t>16.16.1</w:t>
        </w:r>
        <w:r w:rsidR="00974AFC" w:rsidRPr="00974AFC">
          <w:rPr>
            <w:rFonts w:eastAsiaTheme="minorEastAsia"/>
            <w:i w:val="0"/>
            <w:iCs w:val="0"/>
            <w:noProof/>
          </w:rPr>
          <w:tab/>
        </w:r>
        <w:r w:rsidR="00974AFC" w:rsidRPr="00974AFC">
          <w:rPr>
            <w:rStyle w:val="Hyperlink"/>
            <w:i w:val="0"/>
            <w:noProof/>
            <w:u w:val="none"/>
          </w:rPr>
          <w:t>Counter-Party Criteria</w:t>
        </w:r>
        <w:r w:rsidR="00974AFC" w:rsidRPr="00974AFC">
          <w:rPr>
            <w:i w:val="0"/>
            <w:noProof/>
            <w:webHidden/>
          </w:rPr>
          <w:tab/>
        </w:r>
        <w:r w:rsidR="00974AFC" w:rsidRPr="00974AFC">
          <w:rPr>
            <w:i w:val="0"/>
            <w:noProof/>
            <w:webHidden/>
          </w:rPr>
          <w:fldChar w:fldCharType="begin"/>
        </w:r>
        <w:r w:rsidR="00974AFC" w:rsidRPr="00974AFC">
          <w:rPr>
            <w:i w:val="0"/>
            <w:noProof/>
            <w:webHidden/>
          </w:rPr>
          <w:instrText xml:space="preserve"> PAGEREF _Toc70591674 \h </w:instrText>
        </w:r>
        <w:r w:rsidR="00974AFC" w:rsidRPr="00974AFC">
          <w:rPr>
            <w:i w:val="0"/>
            <w:noProof/>
            <w:webHidden/>
          </w:rPr>
        </w:r>
        <w:r w:rsidR="00974AFC" w:rsidRPr="00974AFC">
          <w:rPr>
            <w:i w:val="0"/>
            <w:noProof/>
            <w:webHidden/>
          </w:rPr>
          <w:fldChar w:fldCharType="separate"/>
        </w:r>
        <w:r>
          <w:rPr>
            <w:i w:val="0"/>
            <w:noProof/>
            <w:webHidden/>
          </w:rPr>
          <w:t>16-86</w:t>
        </w:r>
        <w:r w:rsidR="00974AFC" w:rsidRPr="00974AFC">
          <w:rPr>
            <w:i w:val="0"/>
            <w:noProof/>
            <w:webHidden/>
          </w:rPr>
          <w:fldChar w:fldCharType="end"/>
        </w:r>
      </w:hyperlink>
    </w:p>
    <w:p w14:paraId="68AB9F57" w14:textId="51DDA39D" w:rsidR="00974AFC" w:rsidRPr="00974AFC" w:rsidRDefault="00AC6018">
      <w:pPr>
        <w:pStyle w:val="TOC3"/>
        <w:rPr>
          <w:rFonts w:eastAsiaTheme="minorEastAsia"/>
          <w:i w:val="0"/>
          <w:iCs w:val="0"/>
          <w:noProof/>
        </w:rPr>
      </w:pPr>
      <w:hyperlink w:anchor="_Toc70591675" w:history="1">
        <w:r w:rsidR="00974AFC" w:rsidRPr="00974AFC">
          <w:rPr>
            <w:rStyle w:val="Hyperlink"/>
            <w:i w:val="0"/>
            <w:noProof/>
            <w:u w:val="none"/>
          </w:rPr>
          <w:t>16.16.2</w:t>
        </w:r>
        <w:r w:rsidR="00974AFC" w:rsidRPr="00974AFC">
          <w:rPr>
            <w:rFonts w:eastAsiaTheme="minorEastAsia"/>
            <w:i w:val="0"/>
            <w:iCs w:val="0"/>
            <w:noProof/>
          </w:rPr>
          <w:tab/>
        </w:r>
        <w:r w:rsidR="00974AFC" w:rsidRPr="00974AFC">
          <w:rPr>
            <w:rStyle w:val="Hyperlink"/>
            <w:i w:val="0"/>
            <w:noProof/>
            <w:u w:val="none"/>
          </w:rPr>
          <w:t>Annual Certification</w:t>
        </w:r>
        <w:r w:rsidR="00974AFC" w:rsidRPr="00974AFC">
          <w:rPr>
            <w:i w:val="0"/>
            <w:noProof/>
            <w:webHidden/>
          </w:rPr>
          <w:tab/>
        </w:r>
        <w:r w:rsidR="00974AFC" w:rsidRPr="00974AFC">
          <w:rPr>
            <w:i w:val="0"/>
            <w:noProof/>
            <w:webHidden/>
          </w:rPr>
          <w:fldChar w:fldCharType="begin"/>
        </w:r>
        <w:r w:rsidR="00974AFC" w:rsidRPr="00974AFC">
          <w:rPr>
            <w:i w:val="0"/>
            <w:noProof/>
            <w:webHidden/>
          </w:rPr>
          <w:instrText xml:space="preserve"> PAGEREF _Toc70591675 \h </w:instrText>
        </w:r>
        <w:r w:rsidR="00974AFC" w:rsidRPr="00974AFC">
          <w:rPr>
            <w:i w:val="0"/>
            <w:noProof/>
            <w:webHidden/>
          </w:rPr>
        </w:r>
        <w:r w:rsidR="00974AFC" w:rsidRPr="00974AFC">
          <w:rPr>
            <w:i w:val="0"/>
            <w:noProof/>
            <w:webHidden/>
          </w:rPr>
          <w:fldChar w:fldCharType="separate"/>
        </w:r>
        <w:r>
          <w:rPr>
            <w:i w:val="0"/>
            <w:noProof/>
            <w:webHidden/>
          </w:rPr>
          <w:t>16-88</w:t>
        </w:r>
        <w:r w:rsidR="00974AFC" w:rsidRPr="00974AFC">
          <w:rPr>
            <w:i w:val="0"/>
            <w:noProof/>
            <w:webHidden/>
          </w:rPr>
          <w:fldChar w:fldCharType="end"/>
        </w:r>
      </w:hyperlink>
    </w:p>
    <w:p w14:paraId="1B0CB9C7" w14:textId="4B76DA48" w:rsidR="00974AFC" w:rsidRPr="00974AFC" w:rsidRDefault="00AC6018">
      <w:pPr>
        <w:pStyle w:val="TOC3"/>
        <w:rPr>
          <w:rFonts w:eastAsiaTheme="minorEastAsia"/>
          <w:i w:val="0"/>
          <w:iCs w:val="0"/>
          <w:noProof/>
        </w:rPr>
      </w:pPr>
      <w:hyperlink w:anchor="_Toc70591676" w:history="1">
        <w:r w:rsidR="00974AFC" w:rsidRPr="00974AFC">
          <w:rPr>
            <w:rStyle w:val="Hyperlink"/>
            <w:i w:val="0"/>
            <w:noProof/>
            <w:u w:val="none"/>
          </w:rPr>
          <w:t>16.16.3</w:t>
        </w:r>
        <w:r w:rsidR="00974AFC" w:rsidRPr="00974AFC">
          <w:rPr>
            <w:rFonts w:eastAsiaTheme="minorEastAsia"/>
            <w:i w:val="0"/>
            <w:iCs w:val="0"/>
            <w:noProof/>
          </w:rPr>
          <w:tab/>
        </w:r>
        <w:r w:rsidR="00974AFC" w:rsidRPr="00974AFC">
          <w:rPr>
            <w:rStyle w:val="Hyperlink"/>
            <w:i w:val="0"/>
            <w:noProof/>
            <w:u w:val="none"/>
          </w:rPr>
          <w:t>Verification of Risk Management Framework</w:t>
        </w:r>
        <w:r w:rsidR="00974AFC" w:rsidRPr="00974AFC">
          <w:rPr>
            <w:i w:val="0"/>
            <w:noProof/>
            <w:webHidden/>
          </w:rPr>
          <w:tab/>
        </w:r>
        <w:r w:rsidR="00974AFC" w:rsidRPr="00974AFC">
          <w:rPr>
            <w:i w:val="0"/>
            <w:noProof/>
            <w:webHidden/>
          </w:rPr>
          <w:fldChar w:fldCharType="begin"/>
        </w:r>
        <w:r w:rsidR="00974AFC" w:rsidRPr="00974AFC">
          <w:rPr>
            <w:i w:val="0"/>
            <w:noProof/>
            <w:webHidden/>
          </w:rPr>
          <w:instrText xml:space="preserve"> PAGEREF _Toc70591676 \h </w:instrText>
        </w:r>
        <w:r w:rsidR="00974AFC" w:rsidRPr="00974AFC">
          <w:rPr>
            <w:i w:val="0"/>
            <w:noProof/>
            <w:webHidden/>
          </w:rPr>
        </w:r>
        <w:r w:rsidR="00974AFC" w:rsidRPr="00974AFC">
          <w:rPr>
            <w:i w:val="0"/>
            <w:noProof/>
            <w:webHidden/>
          </w:rPr>
          <w:fldChar w:fldCharType="separate"/>
        </w:r>
        <w:r>
          <w:rPr>
            <w:i w:val="0"/>
            <w:noProof/>
            <w:webHidden/>
          </w:rPr>
          <w:t>16-89</w:t>
        </w:r>
        <w:r w:rsidR="00974AFC" w:rsidRPr="00974AFC">
          <w:rPr>
            <w:i w:val="0"/>
            <w:noProof/>
            <w:webHidden/>
          </w:rPr>
          <w:fldChar w:fldCharType="end"/>
        </w:r>
      </w:hyperlink>
    </w:p>
    <w:p w14:paraId="523FD3B8" w14:textId="537C20B3" w:rsidR="00974AFC" w:rsidRPr="00974AFC" w:rsidRDefault="00AC6018">
      <w:pPr>
        <w:pStyle w:val="TOC2"/>
        <w:rPr>
          <w:rFonts w:eastAsiaTheme="minorEastAsia"/>
        </w:rPr>
      </w:pPr>
      <w:hyperlink w:anchor="_Toc70591677" w:history="1">
        <w:r w:rsidR="00974AFC" w:rsidRPr="00974AFC">
          <w:rPr>
            <w:rStyle w:val="Hyperlink"/>
            <w:u w:val="none"/>
          </w:rPr>
          <w:t xml:space="preserve">16.17 </w:t>
        </w:r>
        <w:r w:rsidR="00974AFC" w:rsidRPr="00974AFC">
          <w:rPr>
            <w:rFonts w:eastAsiaTheme="minorEastAsia"/>
          </w:rPr>
          <w:tab/>
        </w:r>
        <w:r w:rsidR="00974AFC" w:rsidRPr="00974AFC">
          <w:rPr>
            <w:rStyle w:val="Hyperlink"/>
            <w:u w:val="none"/>
          </w:rPr>
          <w:t>Exemption for Qualified Scheduling Entities Participating Only in Emergency Response Service</w:t>
        </w:r>
        <w:r w:rsidR="00974AFC" w:rsidRPr="00974AFC">
          <w:rPr>
            <w:webHidden/>
          </w:rPr>
          <w:tab/>
        </w:r>
        <w:r w:rsidR="00974AFC" w:rsidRPr="00974AFC">
          <w:rPr>
            <w:webHidden/>
          </w:rPr>
          <w:fldChar w:fldCharType="begin"/>
        </w:r>
        <w:r w:rsidR="00974AFC" w:rsidRPr="00974AFC">
          <w:rPr>
            <w:webHidden/>
          </w:rPr>
          <w:instrText xml:space="preserve"> PAGEREF _Toc70591677 \h </w:instrText>
        </w:r>
        <w:r w:rsidR="00974AFC" w:rsidRPr="00974AFC">
          <w:rPr>
            <w:webHidden/>
          </w:rPr>
        </w:r>
        <w:r w:rsidR="00974AFC" w:rsidRPr="00974AFC">
          <w:rPr>
            <w:webHidden/>
          </w:rPr>
          <w:fldChar w:fldCharType="separate"/>
        </w:r>
        <w:r>
          <w:rPr>
            <w:webHidden/>
          </w:rPr>
          <w:t>16-91</w:t>
        </w:r>
        <w:r w:rsidR="00974AFC" w:rsidRPr="00974AFC">
          <w:rPr>
            <w:webHidden/>
          </w:rPr>
          <w:fldChar w:fldCharType="end"/>
        </w:r>
      </w:hyperlink>
    </w:p>
    <w:p w14:paraId="75AA1E2B" w14:textId="14AE2A32" w:rsidR="00974AFC" w:rsidRPr="00974AFC" w:rsidRDefault="00AC6018">
      <w:pPr>
        <w:pStyle w:val="TOC2"/>
        <w:rPr>
          <w:rFonts w:eastAsiaTheme="minorEastAsia"/>
        </w:rPr>
      </w:pPr>
      <w:hyperlink w:anchor="_Toc70591678" w:history="1">
        <w:r w:rsidR="00974AFC" w:rsidRPr="00974AFC">
          <w:rPr>
            <w:rStyle w:val="Hyperlink"/>
            <w:u w:val="none"/>
          </w:rPr>
          <w:t>16.18</w:t>
        </w:r>
        <w:r w:rsidR="00974AFC" w:rsidRPr="00974AFC">
          <w:rPr>
            <w:rFonts w:eastAsiaTheme="minorEastAsia"/>
          </w:rPr>
          <w:tab/>
        </w:r>
        <w:r w:rsidR="00974AFC" w:rsidRPr="00974AFC">
          <w:rPr>
            <w:rStyle w:val="Hyperlink"/>
            <w:u w:val="none"/>
          </w:rPr>
          <w:t>Registration of a Direct Current Tie Operator</w:t>
        </w:r>
        <w:r w:rsidR="00974AFC" w:rsidRPr="00974AFC">
          <w:rPr>
            <w:webHidden/>
          </w:rPr>
          <w:tab/>
        </w:r>
        <w:r w:rsidR="00974AFC" w:rsidRPr="00974AFC">
          <w:rPr>
            <w:webHidden/>
          </w:rPr>
          <w:fldChar w:fldCharType="begin"/>
        </w:r>
        <w:r w:rsidR="00974AFC" w:rsidRPr="00974AFC">
          <w:rPr>
            <w:webHidden/>
          </w:rPr>
          <w:instrText xml:space="preserve"> PAGEREF _Toc70591678 \h </w:instrText>
        </w:r>
        <w:r w:rsidR="00974AFC" w:rsidRPr="00974AFC">
          <w:rPr>
            <w:webHidden/>
          </w:rPr>
        </w:r>
        <w:r w:rsidR="00974AFC" w:rsidRPr="00974AFC">
          <w:rPr>
            <w:webHidden/>
          </w:rPr>
          <w:fldChar w:fldCharType="separate"/>
        </w:r>
        <w:r>
          <w:rPr>
            <w:webHidden/>
          </w:rPr>
          <w:t>16-92</w:t>
        </w:r>
        <w:r w:rsidR="00974AFC" w:rsidRPr="00974AFC">
          <w:rPr>
            <w:webHidden/>
          </w:rPr>
          <w:fldChar w:fldCharType="end"/>
        </w:r>
      </w:hyperlink>
    </w:p>
    <w:p w14:paraId="31F91D1F" w14:textId="1027327C" w:rsidR="00974AFC" w:rsidRPr="00974AFC" w:rsidRDefault="00AC6018">
      <w:pPr>
        <w:pStyle w:val="TOC2"/>
        <w:rPr>
          <w:rFonts w:eastAsiaTheme="minorEastAsia"/>
        </w:rPr>
      </w:pPr>
      <w:hyperlink w:anchor="_Toc70591680" w:history="1">
        <w:r w:rsidR="00974AFC" w:rsidRPr="00974AFC">
          <w:rPr>
            <w:rStyle w:val="Hyperlink"/>
            <w:bCs/>
            <w:snapToGrid w:val="0"/>
            <w:u w:val="none"/>
          </w:rPr>
          <w:t>16.19</w:t>
        </w:r>
        <w:r w:rsidR="00974AFC" w:rsidRPr="00974AFC">
          <w:rPr>
            <w:rFonts w:eastAsiaTheme="minorEastAsia"/>
          </w:rPr>
          <w:tab/>
        </w:r>
        <w:r w:rsidR="00974AFC" w:rsidRPr="00974AFC">
          <w:rPr>
            <w:rStyle w:val="Hyperlink"/>
            <w:u w:val="none"/>
          </w:rPr>
          <w:t>Designation</w:t>
        </w:r>
        <w:r w:rsidR="00974AFC" w:rsidRPr="00974AFC">
          <w:rPr>
            <w:rStyle w:val="Hyperlink"/>
            <w:bCs/>
            <w:snapToGrid w:val="0"/>
            <w:u w:val="none"/>
          </w:rPr>
          <w:t xml:space="preserve"> of Transmission Operators</w:t>
        </w:r>
        <w:r w:rsidR="00974AFC" w:rsidRPr="00974AFC">
          <w:rPr>
            <w:webHidden/>
          </w:rPr>
          <w:tab/>
        </w:r>
        <w:r w:rsidR="00974AFC" w:rsidRPr="00974AFC">
          <w:rPr>
            <w:webHidden/>
          </w:rPr>
          <w:fldChar w:fldCharType="begin"/>
        </w:r>
        <w:r w:rsidR="00974AFC" w:rsidRPr="00974AFC">
          <w:rPr>
            <w:webHidden/>
          </w:rPr>
          <w:instrText xml:space="preserve"> PAGEREF _Toc70591680 \h </w:instrText>
        </w:r>
        <w:r w:rsidR="00974AFC" w:rsidRPr="00974AFC">
          <w:rPr>
            <w:webHidden/>
          </w:rPr>
        </w:r>
        <w:r w:rsidR="00974AFC" w:rsidRPr="00974AFC">
          <w:rPr>
            <w:webHidden/>
          </w:rPr>
          <w:fldChar w:fldCharType="separate"/>
        </w:r>
        <w:r>
          <w:rPr>
            <w:webHidden/>
          </w:rPr>
          <w:t>16-94</w:t>
        </w:r>
        <w:r w:rsidR="00974AFC" w:rsidRPr="00974AFC">
          <w:rPr>
            <w:webHidden/>
          </w:rPr>
          <w:fldChar w:fldCharType="end"/>
        </w:r>
      </w:hyperlink>
    </w:p>
    <w:p w14:paraId="3CDEF226" w14:textId="53F8A7F3" w:rsidR="00974AFC" w:rsidRPr="00974AFC" w:rsidRDefault="00974AFC" w:rsidP="00974AFC">
      <w:pPr>
        <w:pStyle w:val="TOC2"/>
        <w:ind w:left="0" w:firstLine="0"/>
        <w:rPr>
          <w:rFonts w:eastAsiaTheme="minorEastAsia"/>
        </w:rPr>
      </w:pPr>
    </w:p>
    <w:p w14:paraId="5217AED2" w14:textId="77777777" w:rsidR="00FC1C5F" w:rsidRDefault="00816A7E">
      <w:pPr>
        <w:pStyle w:val="Heading1"/>
        <w:numPr>
          <w:ilvl w:val="0"/>
          <w:numId w:val="0"/>
        </w:numPr>
        <w:rPr>
          <w:bCs/>
          <w:i/>
          <w:caps w:val="0"/>
          <w:szCs w:val="24"/>
        </w:rPr>
        <w:sectPr w:rsidR="00FC1C5F">
          <w:headerReference w:type="default" r:id="rId12"/>
          <w:footerReference w:type="default" r:id="rId13"/>
          <w:headerReference w:type="first" r:id="rId14"/>
          <w:footerReference w:type="first" r:id="rId15"/>
          <w:pgSz w:w="12240" w:h="15840" w:code="1"/>
          <w:pgMar w:top="1440" w:right="1440" w:bottom="1440" w:left="1440" w:header="720" w:footer="720" w:gutter="0"/>
          <w:pgNumType w:start="0"/>
          <w:cols w:space="720"/>
        </w:sectPr>
      </w:pPr>
      <w:r w:rsidRPr="005250EA">
        <w:rPr>
          <w:b w:val="0"/>
          <w:szCs w:val="24"/>
        </w:rPr>
        <w:fldChar w:fldCharType="end"/>
      </w:r>
    </w:p>
    <w:p w14:paraId="719A87FA" w14:textId="77777777" w:rsidR="00FC1C5F" w:rsidRDefault="00727E32">
      <w:pPr>
        <w:pStyle w:val="Heading1"/>
      </w:pPr>
      <w:bookmarkStart w:id="0" w:name="_Toc71369169"/>
      <w:bookmarkStart w:id="1" w:name="_Toc71539385"/>
      <w:bookmarkStart w:id="2" w:name="_Toc390438909"/>
      <w:bookmarkStart w:id="3" w:name="_Toc405897606"/>
      <w:bookmarkStart w:id="4" w:name="_Toc415055710"/>
      <w:bookmarkStart w:id="5" w:name="_Toc415055836"/>
      <w:bookmarkStart w:id="6" w:name="_Toc415055935"/>
      <w:bookmarkStart w:id="7" w:name="_Toc415056036"/>
      <w:bookmarkStart w:id="8" w:name="_Toc70591576"/>
      <w:r>
        <w:lastRenderedPageBreak/>
        <w:t xml:space="preserve">REGISTRATION </w:t>
      </w:r>
      <w:smartTag w:uri="urn:schemas-microsoft-com:office:smarttags" w:element="stockticker">
        <w:r>
          <w:t>AND</w:t>
        </w:r>
      </w:smartTag>
      <w:r>
        <w:t xml:space="preserve"> QUALIFICATION OF MARKET PARTICIPANTS</w:t>
      </w:r>
      <w:bookmarkEnd w:id="0"/>
      <w:bookmarkEnd w:id="1"/>
      <w:bookmarkEnd w:id="2"/>
      <w:bookmarkEnd w:id="3"/>
      <w:bookmarkEnd w:id="4"/>
      <w:bookmarkEnd w:id="5"/>
      <w:bookmarkEnd w:id="6"/>
      <w:bookmarkEnd w:id="7"/>
      <w:bookmarkEnd w:id="8"/>
      <w:r>
        <w:t xml:space="preserve"> </w:t>
      </w:r>
    </w:p>
    <w:p w14:paraId="505F6BEB" w14:textId="77777777" w:rsidR="00FC1C5F" w:rsidRDefault="00727E32">
      <w:pPr>
        <w:pStyle w:val="H2"/>
      </w:pPr>
      <w:bookmarkStart w:id="9" w:name="_Toc71369170"/>
      <w:bookmarkStart w:id="10" w:name="_Toc71539386"/>
      <w:bookmarkStart w:id="11" w:name="_Toc390438910"/>
      <w:bookmarkStart w:id="12" w:name="_Toc405897607"/>
      <w:bookmarkStart w:id="13" w:name="_Toc415055711"/>
      <w:bookmarkStart w:id="14" w:name="_Toc415055837"/>
      <w:bookmarkStart w:id="15" w:name="_Toc415055936"/>
      <w:bookmarkStart w:id="16" w:name="_Toc415056037"/>
      <w:bookmarkStart w:id="17" w:name="_Toc70591577"/>
      <w:r>
        <w:t>16.1</w:t>
      </w:r>
      <w:r>
        <w:tab/>
        <w:t>Registration and Execution of Agreements</w:t>
      </w:r>
      <w:bookmarkEnd w:id="9"/>
      <w:bookmarkEnd w:id="10"/>
      <w:bookmarkEnd w:id="11"/>
      <w:bookmarkEnd w:id="12"/>
      <w:bookmarkEnd w:id="13"/>
      <w:bookmarkEnd w:id="14"/>
      <w:bookmarkEnd w:id="15"/>
      <w:bookmarkEnd w:id="16"/>
      <w:bookmarkEnd w:id="17"/>
    </w:p>
    <w:p w14:paraId="77BBF800" w14:textId="7498E5D1" w:rsidR="00FC1C5F" w:rsidRDefault="00727E32">
      <w:pPr>
        <w:pStyle w:val="List"/>
        <w:ind w:left="720"/>
      </w:pPr>
      <w:r>
        <w:t>(1)</w:t>
      </w:r>
      <w:r>
        <w:tab/>
        <w:t xml:space="preserve">ERCOT shall require each Market Participant to register and execute the Standard Form Market Participant Agreement and, as applicable, </w:t>
      </w:r>
      <w:r w:rsidR="00081A43">
        <w:t xml:space="preserve">Standard Form </w:t>
      </w:r>
      <w:r>
        <w:t>Reliability Must-Run Agreement</w:t>
      </w:r>
      <w:r w:rsidR="00573E18">
        <w:t xml:space="preserve">, </w:t>
      </w:r>
      <w:r>
        <w:t xml:space="preserve">and </w:t>
      </w:r>
      <w:r w:rsidR="00081A43">
        <w:t xml:space="preserve">Standard Form </w:t>
      </w:r>
      <w:r>
        <w:t>Black Start Agreement.</w:t>
      </w:r>
    </w:p>
    <w:p w14:paraId="01260BD8" w14:textId="5EC6866C" w:rsidR="00FC1C5F" w:rsidRDefault="00727E32">
      <w:pPr>
        <w:pStyle w:val="BodyText"/>
        <w:ind w:left="720" w:hanging="720"/>
      </w:pPr>
      <w:r>
        <w:t>(2)</w:t>
      </w:r>
      <w:r>
        <w:tab/>
        <w:t xml:space="preserve">A Standard Form Market Participant Agreement is in Section 22, </w:t>
      </w:r>
      <w:r w:rsidR="008E0107">
        <w:t>Attachments</w:t>
      </w:r>
      <w:r>
        <w:t xml:space="preserve">, and ERCOT shall also post this agreement on the </w:t>
      </w:r>
      <w:r w:rsidR="00F13002">
        <w:t>ERCOT website</w:t>
      </w:r>
      <w:r>
        <w:t>.</w:t>
      </w:r>
    </w:p>
    <w:p w14:paraId="2BA10A0D" w14:textId="011FC9A9" w:rsidR="00FC1C5F" w:rsidRDefault="00727E32">
      <w:pPr>
        <w:pStyle w:val="BodyText"/>
        <w:ind w:left="720" w:hanging="720"/>
      </w:pPr>
      <w:r>
        <w:t>(3)</w:t>
      </w:r>
      <w:r>
        <w:tab/>
        <w:t xml:space="preserve">ERCOT shall post on the </w:t>
      </w:r>
      <w:r w:rsidR="00F13002">
        <w:t>ERCOT website</w:t>
      </w:r>
      <w:r>
        <w:t xml:space="preserve"> all registration procedures and applications necessary to complete registration for any function described in these Protocols.  As part of its registration procedures, ERCOT may require one or more of the following:</w:t>
      </w:r>
    </w:p>
    <w:p w14:paraId="5C0B717C" w14:textId="77777777" w:rsidR="00FC1C5F" w:rsidRDefault="00727E32">
      <w:pPr>
        <w:pStyle w:val="List"/>
      </w:pPr>
      <w:r>
        <w:t>(a)</w:t>
      </w:r>
      <w:r>
        <w:tab/>
        <w:t>Reasonable tests of the ability of a Market Participant to communicate with ERCOT or perform as required under these Protocols;</w:t>
      </w:r>
    </w:p>
    <w:p w14:paraId="3E0D8271" w14:textId="77777777" w:rsidR="00FC1C5F" w:rsidRDefault="00727E32">
      <w:pPr>
        <w:pStyle w:val="List"/>
      </w:pPr>
      <w:r>
        <w:t>(b)</w:t>
      </w:r>
      <w:r>
        <w:tab/>
        <w:t xml:space="preserve">An application fee as determined by the ERCOT Board; </w:t>
      </w:r>
    </w:p>
    <w:p w14:paraId="275209DC" w14:textId="77777777" w:rsidR="00FC1C5F" w:rsidRDefault="00727E32">
      <w:pPr>
        <w:pStyle w:val="List"/>
      </w:pPr>
      <w:r>
        <w:t>(c)</w:t>
      </w:r>
      <w:r>
        <w:tab/>
        <w:t>Related agreements for specific purposes (such as agency designation, meter splitting, or network interconnection) that apply only to some Market Participants</w:t>
      </w:r>
      <w:r w:rsidR="005444D9">
        <w:t>; and</w:t>
      </w:r>
    </w:p>
    <w:p w14:paraId="11510A7A" w14:textId="77777777" w:rsidR="005444D9" w:rsidRDefault="005444D9">
      <w:pPr>
        <w:pStyle w:val="List"/>
      </w:pPr>
      <w:r w:rsidRPr="00C717AD">
        <w:t>(</w:t>
      </w:r>
      <w:r>
        <w:t>d</w:t>
      </w:r>
      <w:r w:rsidRPr="00C717AD">
        <w:t>)</w:t>
      </w:r>
      <w:r w:rsidRPr="00C717AD">
        <w:tab/>
        <w:t xml:space="preserve">A representation to ERCOT that no officer, owner, partner or other equity interest owner of the Entity was CEO or President or collectively held more than a </w:t>
      </w:r>
      <w:r>
        <w:t>1</w:t>
      </w:r>
      <w:r w:rsidRPr="00C717AD">
        <w:t>0% equity interest in (as owner, partner or other equity interest owner) another Entity at the time of a default where the default resulted in amounts owed to ERCOT remaining unpaid on any Agreement with ERCOT.</w:t>
      </w:r>
    </w:p>
    <w:p w14:paraId="6D0B9DB8" w14:textId="77777777" w:rsidR="00271ED3" w:rsidRDefault="00271ED3" w:rsidP="00271ED3">
      <w:pPr>
        <w:pStyle w:val="H3"/>
      </w:pPr>
      <w:bookmarkStart w:id="18" w:name="_Toc390438911"/>
      <w:bookmarkStart w:id="19" w:name="_Toc405897608"/>
      <w:bookmarkStart w:id="20" w:name="_Toc415055712"/>
      <w:bookmarkStart w:id="21" w:name="_Toc415055838"/>
      <w:bookmarkStart w:id="22" w:name="_Toc415055937"/>
      <w:bookmarkStart w:id="23" w:name="_Toc415056038"/>
      <w:bookmarkStart w:id="24" w:name="_Toc70591578"/>
      <w:bookmarkStart w:id="25" w:name="_Toc71369171"/>
      <w:bookmarkStart w:id="26" w:name="_Toc71539387"/>
      <w:r>
        <w:t>16.1.1</w:t>
      </w:r>
      <w:r>
        <w:tab/>
        <w:t>Re-Registration as a Market Participant</w:t>
      </w:r>
      <w:bookmarkEnd w:id="18"/>
      <w:bookmarkEnd w:id="19"/>
      <w:bookmarkEnd w:id="20"/>
      <w:bookmarkEnd w:id="21"/>
      <w:bookmarkEnd w:id="22"/>
      <w:bookmarkEnd w:id="23"/>
      <w:bookmarkEnd w:id="24"/>
    </w:p>
    <w:p w14:paraId="71AE8CE8" w14:textId="77777777" w:rsidR="00271ED3" w:rsidRDefault="00853D39" w:rsidP="009F10FE">
      <w:pPr>
        <w:pStyle w:val="BodyText"/>
        <w:ind w:left="720" w:hanging="720"/>
      </w:pPr>
      <w:r>
        <w:t>(1)</w:t>
      </w:r>
      <w:r>
        <w:tab/>
      </w:r>
      <w:r w:rsidR="00271ED3">
        <w:t>Any M</w:t>
      </w:r>
      <w:r w:rsidR="00FA18C9">
        <w:t xml:space="preserve">arket </w:t>
      </w:r>
      <w:r w:rsidR="00271ED3">
        <w:t>P</w:t>
      </w:r>
      <w:r w:rsidR="00FA18C9">
        <w:t>articipant</w:t>
      </w:r>
      <w:r w:rsidR="00271ED3">
        <w:t xml:space="preserve"> that has had one of the following occur must provide to ERCOT a new DUNS Number (DUNS #) to re-register as a M</w:t>
      </w:r>
      <w:r w:rsidR="00FA18C9">
        <w:t xml:space="preserve">arket </w:t>
      </w:r>
      <w:r w:rsidR="00271ED3">
        <w:t>P</w:t>
      </w:r>
      <w:r w:rsidR="00FA18C9">
        <w:t>articipant</w:t>
      </w:r>
      <w:r w:rsidR="00271ED3">
        <w:t xml:space="preserve"> with ERCOT:</w:t>
      </w:r>
    </w:p>
    <w:p w14:paraId="5060A43B" w14:textId="77777777" w:rsidR="00271ED3" w:rsidRDefault="00271ED3" w:rsidP="00271ED3">
      <w:pPr>
        <w:pStyle w:val="List"/>
      </w:pPr>
      <w:r>
        <w:t>(</w:t>
      </w:r>
      <w:r w:rsidR="00825A48">
        <w:t>a</w:t>
      </w:r>
      <w:r>
        <w:t>)</w:t>
      </w:r>
      <w:r>
        <w:tab/>
        <w:t>Its Agreement with ERCOT terminated;</w:t>
      </w:r>
    </w:p>
    <w:p w14:paraId="26894054" w14:textId="3B880581" w:rsidR="00271ED3" w:rsidRDefault="00825A48" w:rsidP="00271ED3">
      <w:pPr>
        <w:pStyle w:val="List"/>
      </w:pPr>
      <w:r>
        <w:t>(b</w:t>
      </w:r>
      <w:r w:rsidR="00271ED3">
        <w:t>)</w:t>
      </w:r>
      <w:r w:rsidR="00271ED3">
        <w:tab/>
        <w:t>Its Customers dropped to the Provider(s) of Last Resort (POLR(s)) pursuant to Section 15.1.3, Transition</w:t>
      </w:r>
      <w:r w:rsidR="00081A43">
        <w:t xml:space="preserve"> Process</w:t>
      </w:r>
      <w:r w:rsidR="00271ED3">
        <w:t>; or</w:t>
      </w:r>
    </w:p>
    <w:p w14:paraId="7A75A8A2" w14:textId="77777777" w:rsidR="00271ED3" w:rsidRDefault="00825A48" w:rsidP="00271ED3">
      <w:pPr>
        <w:pStyle w:val="List"/>
      </w:pPr>
      <w:r>
        <w:t>(c</w:t>
      </w:r>
      <w:r w:rsidR="00271ED3" w:rsidRPr="00927386">
        <w:t>)</w:t>
      </w:r>
      <w:r w:rsidR="00271ED3" w:rsidRPr="00927386">
        <w:tab/>
        <w:t xml:space="preserve">Its Customers dropped to a gaining </w:t>
      </w:r>
      <w:r w:rsidR="004A501E">
        <w:t>Competitive Retailer (</w:t>
      </w:r>
      <w:r w:rsidR="00271ED3" w:rsidRPr="00927386">
        <w:t>CR</w:t>
      </w:r>
      <w:r w:rsidR="004A501E">
        <w:t>)</w:t>
      </w:r>
      <w:r w:rsidR="00271ED3" w:rsidRPr="00927386">
        <w:t xml:space="preserve"> pursuant to Section 15.1.3.</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101F" w:rsidRPr="004E603E" w14:paraId="5481CEDF" w14:textId="77777777" w:rsidTr="008552F8">
        <w:tc>
          <w:tcPr>
            <w:tcW w:w="9558" w:type="dxa"/>
            <w:shd w:val="pct12" w:color="auto" w:fill="auto"/>
          </w:tcPr>
          <w:p w14:paraId="22F2BAFC" w14:textId="74224308" w:rsidR="004E101F" w:rsidRPr="0002450E" w:rsidRDefault="004E101F" w:rsidP="008552F8">
            <w:pPr>
              <w:pStyle w:val="Instructions"/>
              <w:spacing w:before="120"/>
              <w:rPr>
                <w:iCs/>
              </w:rPr>
            </w:pPr>
            <w:bookmarkStart w:id="27" w:name="_Toc390438912"/>
            <w:bookmarkStart w:id="28" w:name="_Toc405897609"/>
            <w:bookmarkStart w:id="29" w:name="_Toc415055713"/>
            <w:bookmarkStart w:id="30" w:name="_Toc415055839"/>
            <w:bookmarkStart w:id="31" w:name="_Toc415055938"/>
            <w:bookmarkStart w:id="32" w:name="_Toc415056039"/>
            <w:bookmarkStart w:id="33" w:name="_Toc70591579"/>
            <w:r>
              <w:rPr>
                <w:iCs/>
              </w:rPr>
              <w:t>[NPRR1073</w:t>
            </w:r>
            <w:r w:rsidRPr="0002450E">
              <w:rPr>
                <w:iCs/>
              </w:rPr>
              <w:t xml:space="preserve">:  </w:t>
            </w:r>
            <w:r>
              <w:rPr>
                <w:iCs/>
              </w:rPr>
              <w:t>Insert Section 16.1.2 below</w:t>
            </w:r>
            <w:r w:rsidRPr="0002450E">
              <w:rPr>
                <w:iCs/>
              </w:rPr>
              <w:t xml:space="preserve"> upon </w:t>
            </w:r>
            <w:r>
              <w:rPr>
                <w:iCs/>
              </w:rPr>
              <w:t>staffing completion</w:t>
            </w:r>
            <w:r w:rsidRPr="0002450E">
              <w:rPr>
                <w:iCs/>
              </w:rPr>
              <w:t xml:space="preserve">:] </w:t>
            </w:r>
          </w:p>
          <w:p w14:paraId="7CBBCE95" w14:textId="77777777" w:rsidR="004E101F" w:rsidRDefault="004E101F" w:rsidP="004E101F">
            <w:pPr>
              <w:spacing w:before="240"/>
              <w:rPr>
                <w:b/>
                <w:i/>
              </w:rPr>
            </w:pPr>
            <w:r w:rsidRPr="004E603E">
              <w:rPr>
                <w:szCs w:val="24"/>
              </w:rPr>
              <w:lastRenderedPageBreak/>
              <w:t xml:space="preserve"> </w:t>
            </w:r>
            <w:r w:rsidRPr="00CB652F">
              <w:rPr>
                <w:b/>
                <w:i/>
              </w:rPr>
              <w:t>16.1.2    Principal of a Market Participant</w:t>
            </w:r>
            <w:r w:rsidRPr="009F2339">
              <w:rPr>
                <w:b/>
                <w:i/>
              </w:rPr>
              <w:t xml:space="preserve"> </w:t>
            </w:r>
          </w:p>
          <w:p w14:paraId="4BF11640" w14:textId="77777777" w:rsidR="004E101F" w:rsidRPr="009F2339" w:rsidRDefault="004E101F" w:rsidP="004E101F">
            <w:pPr>
              <w:rPr>
                <w:b/>
                <w:i/>
                <w:sz w:val="22"/>
              </w:rPr>
            </w:pPr>
          </w:p>
          <w:p w14:paraId="7AEF7348" w14:textId="77777777" w:rsidR="004E101F" w:rsidRDefault="004E101F" w:rsidP="004E101F">
            <w:pPr>
              <w:spacing w:after="240"/>
              <w:ind w:left="720" w:hanging="720"/>
            </w:pPr>
            <w:r>
              <w:t>(1)</w:t>
            </w:r>
            <w:r>
              <w:tab/>
              <w:t>For purposes of Section 16, Registration and Qualification of Market Participants, a Principal is any of the following, as related to a registered Market Participant or Market Participant applicant:</w:t>
            </w:r>
          </w:p>
          <w:p w14:paraId="1566EAF6" w14:textId="77777777" w:rsidR="004E101F" w:rsidRDefault="004E101F" w:rsidP="004E101F">
            <w:pPr>
              <w:spacing w:after="240"/>
              <w:ind w:left="720"/>
            </w:pPr>
            <w:r>
              <w:t>(a)</w:t>
            </w:r>
            <w:r>
              <w:tab/>
              <w:t>A sole proprietor of a sole proprietorship;</w:t>
            </w:r>
          </w:p>
          <w:p w14:paraId="399C31EC" w14:textId="5A3C526F" w:rsidR="004E101F" w:rsidRDefault="004E101F" w:rsidP="004E101F">
            <w:pPr>
              <w:spacing w:after="240"/>
              <w:ind w:left="1440" w:hanging="720"/>
            </w:pPr>
            <w:r>
              <w:t>(b)</w:t>
            </w:r>
            <w:r>
              <w:tab/>
              <w:t>A general partner of a general partnership;</w:t>
            </w:r>
          </w:p>
          <w:p w14:paraId="3C3648E1" w14:textId="4B4CBEB0" w:rsidR="004E101F" w:rsidRDefault="004E101F" w:rsidP="004E101F">
            <w:pPr>
              <w:spacing w:after="240"/>
              <w:ind w:left="1440" w:hanging="720"/>
            </w:pPr>
            <w:r>
              <w:t>(c)</w:t>
            </w:r>
            <w:r>
              <w:tab/>
              <w:t>An executive of a company (e.g., president, chief executive officer, chief operating officer, chief financial officer, general counsel, or equivalent position);</w:t>
            </w:r>
          </w:p>
          <w:p w14:paraId="76D5CEE0" w14:textId="001546E0" w:rsidR="004E101F" w:rsidRDefault="004E101F" w:rsidP="004E101F">
            <w:pPr>
              <w:spacing w:after="240"/>
              <w:ind w:left="1440" w:hanging="720"/>
            </w:pPr>
            <w:r>
              <w:t>(d)</w:t>
            </w:r>
            <w:r>
              <w:tab/>
              <w:t>A manager, managing member, or a member vested with the management authority of a limited liability company or limited liability partnership;</w:t>
            </w:r>
          </w:p>
          <w:p w14:paraId="39E7F436" w14:textId="12ACF318" w:rsidR="004E101F" w:rsidRDefault="004E101F" w:rsidP="004E101F">
            <w:pPr>
              <w:spacing w:after="240"/>
              <w:ind w:left="1440" w:hanging="720"/>
            </w:pPr>
            <w:r>
              <w:t>(e)</w:t>
            </w:r>
            <w:r>
              <w:tab/>
            </w:r>
            <w:bookmarkStart w:id="34" w:name="_Hlk76384420"/>
            <w:r>
              <w:t xml:space="preserve">A </w:t>
            </w:r>
            <w:r w:rsidRPr="007172CC">
              <w:t xml:space="preserve">shareholder </w:t>
            </w:r>
            <w:r>
              <w:t>with</w:t>
            </w:r>
            <w:r w:rsidRPr="007172CC">
              <w:t xml:space="preserve"> more than 10% equity </w:t>
            </w:r>
            <w:r>
              <w:t>of the Entity</w:t>
            </w:r>
            <w:bookmarkEnd w:id="34"/>
            <w:r>
              <w:t>; or</w:t>
            </w:r>
          </w:p>
          <w:p w14:paraId="0187DEFA" w14:textId="0FF689E8" w:rsidR="004E101F" w:rsidRPr="004E101F" w:rsidRDefault="004E101F" w:rsidP="004E101F">
            <w:pPr>
              <w:spacing w:after="240"/>
              <w:ind w:left="1440" w:hanging="720"/>
            </w:pPr>
            <w:r>
              <w:t>(f)</w:t>
            </w:r>
            <w:r>
              <w:tab/>
              <w:t>A</w:t>
            </w:r>
            <w:r>
              <w:rPr>
                <w:lang w:eastAsia="x-none"/>
              </w:rPr>
              <w:t xml:space="preserve"> </w:t>
            </w:r>
            <w:r>
              <w:rPr>
                <w:lang w:val="x-none" w:eastAsia="x-none"/>
              </w:rPr>
              <w:t xml:space="preserve">person </w:t>
            </w:r>
            <w:r>
              <w:rPr>
                <w:lang w:eastAsia="x-none"/>
              </w:rPr>
              <w:t xml:space="preserve">that has authority to </w:t>
            </w:r>
            <w:r>
              <w:rPr>
                <w:lang w:val="x-none" w:eastAsia="x-none"/>
              </w:rPr>
              <w:t xml:space="preserve">make decisions </w:t>
            </w:r>
            <w:r>
              <w:rPr>
                <w:lang w:eastAsia="x-none"/>
              </w:rPr>
              <w:t>under these Protocols on</w:t>
            </w:r>
            <w:r>
              <w:rPr>
                <w:lang w:val="x-none" w:eastAsia="x-none"/>
              </w:rPr>
              <w:t xml:space="preserve"> </w:t>
            </w:r>
            <w:r>
              <w:rPr>
                <w:lang w:eastAsia="x-none"/>
              </w:rPr>
              <w:t xml:space="preserve">behalf of the registered Market Participant or applicant, and is not otherwise controlled by any of the other Principal types listed above, </w:t>
            </w:r>
            <w:r w:rsidRPr="000D340C">
              <w:rPr>
                <w:lang w:eastAsia="x-none"/>
              </w:rPr>
              <w:t>or as otherwise identified by ERCOT</w:t>
            </w:r>
            <w:r>
              <w:rPr>
                <w:lang w:eastAsia="x-none"/>
              </w:rPr>
              <w:t>.</w:t>
            </w:r>
          </w:p>
        </w:tc>
      </w:tr>
    </w:tbl>
    <w:p w14:paraId="0ED3520E" w14:textId="77777777" w:rsidR="00FC1C5F" w:rsidRDefault="00727E32" w:rsidP="00C33516">
      <w:pPr>
        <w:pStyle w:val="H2"/>
        <w:spacing w:before="480"/>
      </w:pPr>
      <w:r>
        <w:lastRenderedPageBreak/>
        <w:t>16.2</w:t>
      </w:r>
      <w:r>
        <w:tab/>
        <w:t>Registration and Qualification of Qualified Scheduling Entities</w:t>
      </w:r>
      <w:bookmarkEnd w:id="25"/>
      <w:bookmarkEnd w:id="26"/>
      <w:bookmarkEnd w:id="27"/>
      <w:bookmarkEnd w:id="28"/>
      <w:bookmarkEnd w:id="29"/>
      <w:bookmarkEnd w:id="30"/>
      <w:bookmarkEnd w:id="31"/>
      <w:bookmarkEnd w:id="32"/>
      <w:bookmarkEnd w:id="33"/>
    </w:p>
    <w:p w14:paraId="5BFF98A9" w14:textId="77777777" w:rsidR="00FC1C5F" w:rsidRDefault="00727E32">
      <w:pPr>
        <w:pStyle w:val="H3"/>
      </w:pPr>
      <w:bookmarkStart w:id="35" w:name="_Toc71369172"/>
      <w:bookmarkStart w:id="36" w:name="_Toc71539388"/>
      <w:bookmarkStart w:id="37" w:name="_Toc390438913"/>
      <w:bookmarkStart w:id="38" w:name="_Toc405897610"/>
      <w:bookmarkStart w:id="39" w:name="_Toc415055714"/>
      <w:bookmarkStart w:id="40" w:name="_Toc415055840"/>
      <w:bookmarkStart w:id="41" w:name="_Toc415055939"/>
      <w:bookmarkStart w:id="42" w:name="_Toc415056040"/>
      <w:bookmarkStart w:id="43" w:name="_Toc70591580"/>
      <w:r>
        <w:t>16.2.1</w:t>
      </w:r>
      <w:r>
        <w:tab/>
        <w:t>Criteria for Qualification as a Qualified Scheduling Entity</w:t>
      </w:r>
      <w:bookmarkEnd w:id="35"/>
      <w:bookmarkEnd w:id="36"/>
      <w:bookmarkEnd w:id="37"/>
      <w:bookmarkEnd w:id="38"/>
      <w:bookmarkEnd w:id="39"/>
      <w:bookmarkEnd w:id="40"/>
      <w:bookmarkEnd w:id="41"/>
      <w:bookmarkEnd w:id="42"/>
      <w:bookmarkEnd w:id="43"/>
      <w:r>
        <w:t xml:space="preserve"> </w:t>
      </w:r>
    </w:p>
    <w:p w14:paraId="7790605C" w14:textId="77777777" w:rsidR="00FC1C5F" w:rsidRDefault="00727E32">
      <w:pPr>
        <w:pStyle w:val="BodyText"/>
        <w:ind w:left="720" w:hanging="720"/>
      </w:pPr>
      <w:r>
        <w:t>(1)</w:t>
      </w:r>
      <w:r>
        <w:tab/>
        <w:t xml:space="preserve">To become and remain a </w:t>
      </w:r>
      <w:r w:rsidR="00BD6527">
        <w:t>Qualified Scheduling Entity (</w:t>
      </w:r>
      <w:r>
        <w:t>QSE</w:t>
      </w:r>
      <w:r w:rsidR="00BD6527">
        <w:t>)</w:t>
      </w:r>
      <w:r>
        <w:t>, an Entity must meet the following requirements:</w:t>
      </w:r>
    </w:p>
    <w:p w14:paraId="78CDA8DF" w14:textId="77777777" w:rsidR="00FC1C5F" w:rsidRDefault="00727E32">
      <w:pPr>
        <w:pStyle w:val="List"/>
      </w:pPr>
      <w:r>
        <w:t>(a)</w:t>
      </w:r>
      <w:r>
        <w:tab/>
        <w:t>Submit a properly completed QSE application for qualification, including any applicable fee and including designation of  Authorized Representatives, each of whom is responsible for administrative communications with the QSE and each of whom has enough authority to commit and bind the QSE and the Entities it represents;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101F" w14:paraId="62B124C0" w14:textId="77777777" w:rsidTr="004E101F">
        <w:tc>
          <w:tcPr>
            <w:tcW w:w="9332" w:type="dxa"/>
            <w:shd w:val="pct12" w:color="auto" w:fill="auto"/>
          </w:tcPr>
          <w:p w14:paraId="2B68727D" w14:textId="583FF0F2" w:rsidR="004E101F" w:rsidRPr="0002450E" w:rsidRDefault="004E101F" w:rsidP="008552F8">
            <w:pPr>
              <w:pStyle w:val="Instructions"/>
              <w:spacing w:before="120"/>
              <w:rPr>
                <w:iCs/>
              </w:rPr>
            </w:pPr>
            <w:r>
              <w:rPr>
                <w:iCs/>
              </w:rPr>
              <w:t>[NPRR1073</w:t>
            </w:r>
            <w:r w:rsidRPr="0002450E">
              <w:rPr>
                <w:iCs/>
              </w:rPr>
              <w:t xml:space="preserve">:  Replace </w:t>
            </w:r>
            <w:r>
              <w:rPr>
                <w:iCs/>
              </w:rPr>
              <w:t xml:space="preserve">paragraph (a) </w:t>
            </w:r>
            <w:r w:rsidRPr="0002450E">
              <w:rPr>
                <w:iCs/>
              </w:rPr>
              <w:t xml:space="preserve">above with the following upon </w:t>
            </w:r>
            <w:r>
              <w:rPr>
                <w:iCs/>
              </w:rPr>
              <w:t>staffing completion</w:t>
            </w:r>
            <w:r w:rsidRPr="0002450E">
              <w:rPr>
                <w:iCs/>
              </w:rPr>
              <w:t xml:space="preserve">:] </w:t>
            </w:r>
          </w:p>
          <w:p w14:paraId="60FCF0DC" w14:textId="4B3FBFBD" w:rsidR="004E101F" w:rsidRPr="008D69E1" w:rsidRDefault="004E101F" w:rsidP="004E101F">
            <w:pPr>
              <w:pStyle w:val="List"/>
            </w:pPr>
            <w:r>
              <w:t>(a)</w:t>
            </w:r>
            <w:r>
              <w:tab/>
              <w:t xml:space="preserve">Submit a properly completed QSE application for qualification, including any applicable fee, necessary disclosures, and designation of Authorized Representatives, each of whom is responsible for administrative </w:t>
            </w:r>
            <w:r>
              <w:lastRenderedPageBreak/>
              <w:t>communications with the QSE and each of whom has enough authority to commit and bind the QSE and the Entities it represents;</w:t>
            </w:r>
          </w:p>
        </w:tc>
      </w:tr>
    </w:tbl>
    <w:p w14:paraId="04D4722B" w14:textId="4B0C10EB" w:rsidR="00FC1C5F" w:rsidRDefault="00727E32" w:rsidP="00C33516">
      <w:pPr>
        <w:pStyle w:val="List"/>
        <w:spacing w:before="240"/>
      </w:pPr>
      <w:r>
        <w:lastRenderedPageBreak/>
        <w:t>(b)</w:t>
      </w:r>
      <w:r>
        <w:tab/>
        <w:t xml:space="preserve">Sign a Standard Form Market Participant Agreement; </w:t>
      </w:r>
    </w:p>
    <w:p w14:paraId="652C9889" w14:textId="77777777" w:rsidR="00FC1C5F" w:rsidRDefault="00727E32">
      <w:pPr>
        <w:pStyle w:val="List"/>
      </w:pPr>
      <w:r>
        <w:t>(c)</w:t>
      </w:r>
      <w:r>
        <w:tab/>
        <w:t>Sign any required Agreements relating to use of the ERCOT network, software, and systems;</w:t>
      </w:r>
    </w:p>
    <w:p w14:paraId="7AE4B375" w14:textId="77777777" w:rsidR="00FC1C5F" w:rsidRDefault="00727E32">
      <w:pPr>
        <w:pStyle w:val="List"/>
      </w:pPr>
      <w:r>
        <w:t>(d)</w:t>
      </w:r>
      <w:r>
        <w:tab/>
        <w:t xml:space="preserve">Demonstrate to ERCOT’s reasonable satisfaction that the Entity is capable of performing the functions of a QSE; </w:t>
      </w:r>
    </w:p>
    <w:p w14:paraId="32C57ABA" w14:textId="77777777" w:rsidR="00FC1C5F" w:rsidRDefault="00727E32">
      <w:pPr>
        <w:pStyle w:val="List"/>
      </w:pPr>
      <w:r>
        <w:t>(e)</w:t>
      </w:r>
      <w:r>
        <w:tab/>
        <w:t xml:space="preserve">Demonstrate to ERCOT’s reasonable satisfaction that the Entity is capable of complying with the requirements of all ERCOT Protocols and Operating Guides; </w:t>
      </w:r>
    </w:p>
    <w:p w14:paraId="5D0208B6" w14:textId="77777777" w:rsidR="00FC1C5F" w:rsidRDefault="00727E32">
      <w:pPr>
        <w:pStyle w:val="List"/>
      </w:pPr>
      <w:r>
        <w:t>(f)</w:t>
      </w:r>
      <w:r>
        <w:tab/>
      </w:r>
      <w:r w:rsidR="00233DE1" w:rsidRPr="00233DE1">
        <w:t>Satisfy ERCOT’s creditworthiness and capitalization requirements as set forth in this Section, unless exempted from these requirements by Section 16.17, Exemption for Qualified Scheduling Entities Participating Only in Emergency Response Service;</w:t>
      </w:r>
    </w:p>
    <w:p w14:paraId="32151179" w14:textId="77777777" w:rsidR="00FC1C5F" w:rsidRDefault="00727E32" w:rsidP="003C2CC8">
      <w:pPr>
        <w:pStyle w:val="List"/>
      </w:pPr>
      <w:r>
        <w:t>(g)</w:t>
      </w:r>
      <w:r>
        <w:tab/>
        <w:t>Be generally able to pay its debts as they come due</w:t>
      </w:r>
      <w:r w:rsidR="008458E2">
        <w:t>.</w:t>
      </w:r>
      <w:r>
        <w:t xml:space="preserve"> </w:t>
      </w:r>
      <w:r w:rsidR="008458E2">
        <w:t xml:space="preserve"> </w:t>
      </w:r>
      <w:r>
        <w:t>ERCOT may request evidence of compliance with this qualification only if ERCOT reasonably believes that a QSE is failing to comply with it;</w:t>
      </w:r>
    </w:p>
    <w:p w14:paraId="6D4C2340" w14:textId="77777777" w:rsidR="00FC1C5F" w:rsidRDefault="00727E32">
      <w:pPr>
        <w:pStyle w:val="List"/>
      </w:pPr>
      <w:r>
        <w:t>(h)</w:t>
      </w:r>
      <w:r>
        <w:tab/>
        <w:t xml:space="preserve">Provide all necessary bank account information and arrange for Fedwire system transfers for two-way confirmation; </w:t>
      </w:r>
    </w:p>
    <w:p w14:paraId="1CF1355B" w14:textId="77777777" w:rsidR="00FC1C5F" w:rsidRDefault="00727E32">
      <w:pPr>
        <w:pStyle w:val="List"/>
      </w:pPr>
      <w:r>
        <w:t>(i)</w:t>
      </w:r>
      <w:r>
        <w:tab/>
        <w:t xml:space="preserve">Be financially responsible for payment of </w:t>
      </w:r>
      <w:r w:rsidR="007349BB">
        <w:t>S</w:t>
      </w:r>
      <w:r>
        <w:t>ettlement charges for those Entities it represents under these Protocols;</w:t>
      </w:r>
    </w:p>
    <w:p w14:paraId="6C989522" w14:textId="77777777" w:rsidR="00FC1C5F" w:rsidRDefault="00727E32">
      <w:pPr>
        <w:pStyle w:val="List"/>
      </w:pPr>
      <w:r>
        <w:t>(j)</w:t>
      </w:r>
      <w:r>
        <w:tab/>
        <w:t xml:space="preserve">Comply with the backup plan requirements in the Operating Guides; </w:t>
      </w:r>
    </w:p>
    <w:p w14:paraId="349E3895" w14:textId="77777777" w:rsidR="00FC1C5F" w:rsidRDefault="00727E32">
      <w:pPr>
        <w:pStyle w:val="List"/>
        <w:rPr>
          <w:b/>
        </w:rPr>
      </w:pPr>
      <w:r>
        <w:t>(k)</w:t>
      </w:r>
      <w:r>
        <w:tab/>
      </w:r>
      <w:r w:rsidR="00EE1CAB" w:rsidRPr="000021D0">
        <w:t xml:space="preserve">Maintain a 24-hour, seven-day-per-week scheduling center with qualified personnel for the purposes of communicating with ERCOT </w:t>
      </w:r>
      <w:r w:rsidR="00EE1CAB">
        <w:t>relating to</w:t>
      </w:r>
      <w:r w:rsidR="00EE1CAB" w:rsidRPr="000021D0">
        <w:t xml:space="preserve">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w:t>
      </w:r>
    </w:p>
    <w:p w14:paraId="34ED7017" w14:textId="77777777" w:rsidR="00FC1C5F" w:rsidRDefault="00727E32" w:rsidP="00350FB0">
      <w:pPr>
        <w:pStyle w:val="List"/>
      </w:pPr>
      <w:r>
        <w:t>(l)</w:t>
      </w:r>
      <w:r>
        <w:tab/>
        <w:t>Demonstrate and maintain a working functional interface with all required ERCOT computer systems; and</w:t>
      </w:r>
    </w:p>
    <w:p w14:paraId="13F1F288" w14:textId="77777777" w:rsidR="00FC1C5F" w:rsidRDefault="00727E32">
      <w:pPr>
        <w:pStyle w:val="List"/>
      </w:pPr>
      <w:r>
        <w:t>(m)</w:t>
      </w:r>
      <w:r>
        <w:tab/>
        <w:t>Allow ERCOT, upon reasonable notice, to conduct a site visit to verify information provided by the QSE.</w:t>
      </w:r>
    </w:p>
    <w:p w14:paraId="43F20C85" w14:textId="77777777" w:rsidR="00FC1C5F" w:rsidRDefault="00727E32">
      <w:pPr>
        <w:pStyle w:val="BodyTextNumbered"/>
      </w:pPr>
      <w:r>
        <w:t>(2)</w:t>
      </w:r>
      <w:r>
        <w:tab/>
        <w:t xml:space="preserve">If a QSE chooses to use </w:t>
      </w:r>
      <w:r w:rsidR="007349BB">
        <w:t>E</w:t>
      </w:r>
      <w:r>
        <w:t xml:space="preserve">lectronic </w:t>
      </w:r>
      <w:r w:rsidR="007349BB">
        <w:t>D</w:t>
      </w:r>
      <w:r>
        <w:t xml:space="preserve">ata </w:t>
      </w:r>
      <w:r w:rsidR="007349BB">
        <w:t>I</w:t>
      </w:r>
      <w:r>
        <w:t xml:space="preserve">nterchange (EDI) transactions to receive Settlement Statements and Invoices, it must participate in and successfully complete </w:t>
      </w:r>
      <w:r>
        <w:lastRenderedPageBreak/>
        <w:t xml:space="preserve">testing as described in Section </w:t>
      </w:r>
      <w:r w:rsidR="007349BB">
        <w:t>19.8</w:t>
      </w:r>
      <w:r>
        <w:t>, Retail Market Testing, before starting operations with ERCOT as a QSE.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101F" w14:paraId="7F25D96B" w14:textId="77777777" w:rsidTr="008552F8">
        <w:tc>
          <w:tcPr>
            <w:tcW w:w="9332" w:type="dxa"/>
            <w:shd w:val="pct12" w:color="auto" w:fill="auto"/>
          </w:tcPr>
          <w:p w14:paraId="72B6583A" w14:textId="149988D6" w:rsidR="004E101F" w:rsidRPr="0002450E" w:rsidRDefault="004E101F" w:rsidP="008552F8">
            <w:pPr>
              <w:pStyle w:val="Instructions"/>
              <w:spacing w:before="120"/>
              <w:rPr>
                <w:iCs/>
              </w:rPr>
            </w:pPr>
            <w:r>
              <w:rPr>
                <w:iCs/>
              </w:rPr>
              <w:t>[NPRR1073</w:t>
            </w:r>
            <w:r w:rsidRPr="0002450E">
              <w:rPr>
                <w:iCs/>
              </w:rPr>
              <w:t xml:space="preserve">:  </w:t>
            </w:r>
            <w:r>
              <w:rPr>
                <w:iCs/>
              </w:rPr>
              <w:t>Insert paragraphs (3) and (4) below</w:t>
            </w:r>
            <w:r w:rsidRPr="0002450E">
              <w:rPr>
                <w:iCs/>
              </w:rPr>
              <w:t xml:space="preserve"> upon </w:t>
            </w:r>
            <w:r>
              <w:rPr>
                <w:iCs/>
              </w:rPr>
              <w:t>staffing completion and renumber accordingly</w:t>
            </w:r>
            <w:r w:rsidRPr="0002450E">
              <w:rPr>
                <w:iCs/>
              </w:rPr>
              <w:t xml:space="preserve">:] </w:t>
            </w:r>
          </w:p>
          <w:p w14:paraId="03F2B10E" w14:textId="1E0F9FB2" w:rsidR="004E101F" w:rsidRDefault="004E101F" w:rsidP="004E101F">
            <w:pPr>
              <w:pStyle w:val="BodyTextNumbered"/>
            </w:pPr>
            <w:r>
              <w:t>(3)</w:t>
            </w:r>
            <w:r>
              <w:tab/>
              <w:t xml:space="preserve">A QSE or QSE applicant must be able to demonstrate to ERCOT’s reasonable satisfaction that none of its Principals were or are Principals of any Entity with an outstanding payment obligation that remains owing to ERCOT under any Agreement or these Protocols.  For purposes of this </w:t>
            </w:r>
            <w:r w:rsidR="00EC4F5C">
              <w:t>S</w:t>
            </w:r>
            <w:r>
              <w:t>ection, ERCOT will only consider disqualifying those Principals of the QSE or QSE applicant who were Principals of the other Entity at a time during which the unpaid financial obligation remained owing to ERCOT or during the 120-day period prior to the date on which the unpaid financial obligation first became due and owing to ERCOT.</w:t>
            </w:r>
          </w:p>
          <w:p w14:paraId="586393B1" w14:textId="1674EF8B" w:rsidR="004E101F" w:rsidRPr="008D69E1" w:rsidRDefault="004E101F" w:rsidP="004E101F">
            <w:pPr>
              <w:pStyle w:val="BodyTextNumbered"/>
            </w:pPr>
            <w:r>
              <w:t>(4)</w:t>
            </w:r>
            <w:r>
              <w:tab/>
              <w:t>If any of a QSE’s or QSE applicant’s Principals were or are Principals of a terminated Market Participant with an obligation for Default Uplift Ratio Share allocated under Section 9.19.1,</w:t>
            </w:r>
            <w:r w:rsidR="00EC4F5C">
              <w:t xml:space="preserve"> Default Uplift Invoices, </w:t>
            </w:r>
            <w:r>
              <w:t xml:space="preserve">the terminated Market Participant must be current on all payment obligations for Default Uplift Invoices in order for the </w:t>
            </w:r>
            <w:r w:rsidRPr="00530DEE">
              <w:t xml:space="preserve">QSE </w:t>
            </w:r>
            <w:r>
              <w:t xml:space="preserve">to remain, or QSE applicant to become, a registered QSE.  For purposes of this </w:t>
            </w:r>
            <w:r w:rsidR="00EC4F5C">
              <w:t>S</w:t>
            </w:r>
            <w:r>
              <w:t>ection, ERCOT will only consider as disqualifying those Principals of the QSE or QSE applicant who were Principals of the other Entity at a time during which the other Entity was not current on its payment obligation for Default Uplift Invoices or 120 days prior to the date the other Entity first failed to pay a Default Uplift Invoice.</w:t>
            </w:r>
          </w:p>
        </w:tc>
      </w:tr>
    </w:tbl>
    <w:p w14:paraId="37D71E3D" w14:textId="717C699C" w:rsidR="00FC1C5F" w:rsidRDefault="00727E32" w:rsidP="00C33516">
      <w:pPr>
        <w:pStyle w:val="BodyTextNumbered"/>
        <w:spacing w:before="240"/>
      </w:pPr>
      <w:r>
        <w:t>(3)</w:t>
      </w:r>
      <w:r>
        <w:tab/>
        <w:t xml:space="preserve">A QSE shall promptly notify ERCOT of any change that materially affects the Entity’s ability to satisfy the criteria set forth above, and of any material change in the information provided by the QSE to ERCOT that may adversely affect the reliability or safety of the ERCOT System or the financial security of ERCOT.  If the QSE fails to so notify ERCOT within one day after the change, then ERCOT may, after providing notice to each Entity represented by the QSE, refuse to allow the QSE to perform as a QSE and may take any other action ERCOT deems appropriate, in its sole discretion, to prevent ERCOT or Market Participants from bearing potential or actual risks, financial or otherwise, arising from those changes, and in accordance with these Protocols.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101F" w14:paraId="57DCFEEF" w14:textId="77777777" w:rsidTr="008552F8">
        <w:tc>
          <w:tcPr>
            <w:tcW w:w="9332" w:type="dxa"/>
            <w:shd w:val="pct12" w:color="auto" w:fill="auto"/>
          </w:tcPr>
          <w:p w14:paraId="78463574" w14:textId="7A94E94D" w:rsidR="004E101F" w:rsidRPr="0002450E" w:rsidRDefault="004E101F" w:rsidP="008552F8">
            <w:pPr>
              <w:pStyle w:val="Instructions"/>
              <w:spacing w:before="120"/>
              <w:rPr>
                <w:iCs/>
              </w:rPr>
            </w:pPr>
            <w:r>
              <w:rPr>
                <w:iCs/>
              </w:rPr>
              <w:t>[NPRR1073</w:t>
            </w:r>
            <w:r w:rsidRPr="0002450E">
              <w:rPr>
                <w:iCs/>
              </w:rPr>
              <w:t xml:space="preserve">:  </w:t>
            </w:r>
            <w:r>
              <w:rPr>
                <w:iCs/>
              </w:rPr>
              <w:t>Replace paragraph (3) above</w:t>
            </w:r>
            <w:r w:rsidR="008552F8">
              <w:rPr>
                <w:iCs/>
              </w:rPr>
              <w:t xml:space="preserve"> with the following</w:t>
            </w:r>
            <w:r w:rsidRPr="0002450E">
              <w:rPr>
                <w:iCs/>
              </w:rPr>
              <w:t xml:space="preserve"> upon </w:t>
            </w:r>
            <w:r>
              <w:rPr>
                <w:iCs/>
              </w:rPr>
              <w:t>staffing completion</w:t>
            </w:r>
            <w:r w:rsidRPr="0002450E">
              <w:rPr>
                <w:iCs/>
              </w:rPr>
              <w:t xml:space="preserve">:] </w:t>
            </w:r>
          </w:p>
          <w:p w14:paraId="44DC70B7" w14:textId="6304B487" w:rsidR="004E101F" w:rsidRPr="008D69E1" w:rsidRDefault="004E101F" w:rsidP="008552F8">
            <w:pPr>
              <w:pStyle w:val="BodyTextNumbered"/>
            </w:pPr>
            <w:r>
              <w:t>(5)</w:t>
            </w:r>
            <w:r>
              <w:tab/>
            </w:r>
            <w:r w:rsidR="00312F55">
              <w:t xml:space="preserve">A QSE shall promptly notify ERCOT of any change that a reasonable examiner may deem material to the QSE’s ability to continue to meet the requirements set forth in this Section, and any material change in the information provided by the QSE to ERCOT that may adversely affect the reliability or safety of the ERCOT System or the financial security of ERCOT.  </w:t>
            </w:r>
            <w:r w:rsidRPr="00EC565B">
              <w:t>This includes any changes in the Principals of the QSE.</w:t>
            </w:r>
            <w:r w:rsidR="00312F55">
              <w:t xml:space="preserve">  </w:t>
            </w:r>
            <w:r>
              <w:t xml:space="preserve">If the QSE fails to so notify ERCOT of such change </w:t>
            </w:r>
            <w:r w:rsidRPr="00E231EE">
              <w:t xml:space="preserve">within </w:t>
            </w:r>
            <w:r w:rsidRPr="000D340C">
              <w:t xml:space="preserve">two Business </w:t>
            </w:r>
            <w:r w:rsidRPr="00CF54FA">
              <w:t>D</w:t>
            </w:r>
            <w:r w:rsidRPr="00DF09AE">
              <w:t>ays</w:t>
            </w:r>
            <w:r>
              <w:t xml:space="preserve"> after becoming aware of the change, then ERCOT may, after providing notice to each Entity represented by the QSE, refuse to allow the QSE to perform as a QSE and take any </w:t>
            </w:r>
            <w:r>
              <w:lastRenderedPageBreak/>
              <w:t>other action ERCOT deems appropriate, in its sole discretion, to prevent ERCOT or Market Participants from bearing potential or actual risks, financial or otherwise, arising from those changes, and in accordance with these Protocols.</w:t>
            </w:r>
          </w:p>
        </w:tc>
      </w:tr>
    </w:tbl>
    <w:p w14:paraId="52AFCE6B" w14:textId="37332D55" w:rsidR="00FC1C5F" w:rsidRDefault="00727E32" w:rsidP="00C33516">
      <w:pPr>
        <w:pStyle w:val="List"/>
        <w:spacing w:before="240"/>
        <w:ind w:left="720"/>
      </w:pPr>
      <w:r>
        <w:lastRenderedPageBreak/>
        <w:t>(4)</w:t>
      </w:r>
      <w:r>
        <w:tab/>
        <w:t xml:space="preserve">Subject to the following provisions of this </w:t>
      </w:r>
      <w:r w:rsidR="004E101F">
        <w:t>paragraph</w:t>
      </w:r>
      <w:r>
        <w:t xml:space="preserve">, a QSE may partition itself into any number of subordinate QSEs (“Subordinate QSEs”).  </w:t>
      </w:r>
      <w:r>
        <w:rPr>
          <w:color w:val="000000"/>
        </w:rPr>
        <w:t>If a single Entity requests to partition itself into more than four Subordinate QSEs, ERCOT may implement the request subject to ERCOT’s reasonable determination that the additional requested Subordinate QSEs will not be likely to overburden ERCOT’s staffing or systems.  ERCOT shall adopt an implementation plan allowing phased-in registration for these additional Subordinate QSEs in order to mitigate system or staffing impacts.  However, ERCOT may not unreasonably delay that registration.</w:t>
      </w:r>
      <w:r>
        <w:t xml:space="preserve"> </w:t>
      </w:r>
    </w:p>
    <w:p w14:paraId="3D8ECAEB" w14:textId="77777777" w:rsidR="00FC1C5F" w:rsidRDefault="00727E32">
      <w:pPr>
        <w:pStyle w:val="BodyTextNumbered"/>
      </w:pPr>
      <w:r>
        <w:t>(5)</w:t>
      </w:r>
      <w:r>
        <w:tab/>
        <w:t xml:space="preserve">Each Subordinate QSE must be treated as an individual QSE for all purposes including communications and control functions except for liability, financial security, and financial liability requirements under this Section.  That liability, financial security, and financial liability is cumulative for all Subordinate QSEs for the single Entity signing the QSE Agreement.    </w:t>
      </w:r>
    </w:p>
    <w:p w14:paraId="2A0B705D" w14:textId="77777777" w:rsidR="00FC1C5F" w:rsidRDefault="00727E32">
      <w:pPr>
        <w:pStyle w:val="BodyTextNumbered"/>
      </w:pPr>
      <w:r>
        <w:t>(6)</w:t>
      </w:r>
      <w:r>
        <w:tab/>
        <w:t>Continued qualification as a QSE is contingent upon compliance with all applicable requirements in these Protocols.  ERCOT may suspend a QSE’s rights as a Market Participant when ERCOT reasonably determines that it is an appropriate remedy for the Entity’s failure to satisfy any applicable requirement.</w:t>
      </w:r>
    </w:p>
    <w:p w14:paraId="13E27535" w14:textId="77777777" w:rsidR="00EE1CAB" w:rsidRPr="00EE1CAB" w:rsidRDefault="00EE1CAB" w:rsidP="00EE1CAB">
      <w:pPr>
        <w:pStyle w:val="H4"/>
        <w:rPr>
          <w:b/>
        </w:rPr>
      </w:pPr>
      <w:bookmarkStart w:id="44" w:name="_Toc70591581"/>
      <w:r w:rsidRPr="00EE1CAB">
        <w:rPr>
          <w:b/>
        </w:rPr>
        <w:t>16.2.1.1</w:t>
      </w:r>
      <w:r w:rsidRPr="00EE1CAB">
        <w:rPr>
          <w:b/>
        </w:rPr>
        <w:tab/>
        <w:t xml:space="preserve">Data </w:t>
      </w:r>
      <w:r w:rsidRPr="00443D81">
        <w:rPr>
          <w:b/>
        </w:rPr>
        <w:t>Agent</w:t>
      </w:r>
      <w:r w:rsidRPr="00EE1CAB">
        <w:rPr>
          <w:b/>
        </w:rPr>
        <w:t>-Only Qualified Scheduling Entities</w:t>
      </w:r>
      <w:bookmarkEnd w:id="44"/>
    </w:p>
    <w:p w14:paraId="71B7286D" w14:textId="77777777" w:rsidR="00EE1CAB" w:rsidRPr="00443D81" w:rsidRDefault="00EE1CAB" w:rsidP="00EE1CAB">
      <w:pPr>
        <w:spacing w:after="240"/>
        <w:ind w:left="720" w:hanging="720"/>
        <w:rPr>
          <w:iCs/>
        </w:rPr>
      </w:pPr>
      <w:r w:rsidRPr="00443D81">
        <w:rPr>
          <w:iCs/>
        </w:rPr>
        <w:t>(1)</w:t>
      </w:r>
      <w:r w:rsidRPr="00443D81">
        <w:rPr>
          <w:iCs/>
        </w:rPr>
        <w:tab/>
        <w:t>An Entity may request registration as a Data Agent-Only QSE by submitting a completed Data Agent-Only QSE application.  ERCOT will consider the application and register the Entity as a Data Agent-Only QSE in accordance with the same processes in Section 16.2</w:t>
      </w:r>
      <w:r>
        <w:rPr>
          <w:iCs/>
        </w:rPr>
        <w:t>, Registration and Qualification of Qualified Scheduling Entities,</w:t>
      </w:r>
      <w:r w:rsidRPr="00443D81">
        <w:rPr>
          <w:iCs/>
        </w:rPr>
        <w:t xml:space="preserve"> generally applicable to the QSE application process.  </w:t>
      </w:r>
    </w:p>
    <w:p w14:paraId="1A96C3F4" w14:textId="77777777" w:rsidR="00EE1CAB" w:rsidRPr="00443D81" w:rsidRDefault="00EE1CAB" w:rsidP="00EE1CAB">
      <w:pPr>
        <w:spacing w:after="240"/>
        <w:ind w:left="720" w:hanging="720"/>
        <w:rPr>
          <w:iCs/>
        </w:rPr>
      </w:pPr>
      <w:r w:rsidRPr="00443D81">
        <w:rPr>
          <w:iCs/>
        </w:rPr>
        <w:t>(2)</w:t>
      </w:r>
      <w:r w:rsidRPr="00443D81">
        <w:rPr>
          <w:iCs/>
        </w:rPr>
        <w:tab/>
        <w:t>An Entity is eligible to register as a Data Agent-Only QSE and maintain that registration if it:</w:t>
      </w:r>
    </w:p>
    <w:p w14:paraId="24E81FEA" w14:textId="77777777" w:rsidR="00EE1CAB" w:rsidRPr="00443D81" w:rsidRDefault="00EE1CAB" w:rsidP="00EE1CAB">
      <w:pPr>
        <w:spacing w:after="240"/>
        <w:ind w:left="1440" w:hanging="720"/>
        <w:rPr>
          <w:iCs/>
        </w:rPr>
      </w:pPr>
      <w:r w:rsidRPr="00443D81">
        <w:rPr>
          <w:iCs/>
        </w:rPr>
        <w:t>(a)</w:t>
      </w:r>
      <w:r w:rsidRPr="00443D81">
        <w:rPr>
          <w:iCs/>
        </w:rPr>
        <w:tab/>
        <w:t>Meets all the eligibility criteria to qualify as a QSE under paragraph (1) of Section 16.2.1, Criteria for Qualification as a Qualified Scheduling Entity, except for items (f), (h), (j), and (k);</w:t>
      </w:r>
    </w:p>
    <w:p w14:paraId="781D174A" w14:textId="77777777" w:rsidR="00EE1CAB" w:rsidRPr="00443D81" w:rsidRDefault="00EE1CAB" w:rsidP="00EE1CAB">
      <w:pPr>
        <w:spacing w:after="240"/>
        <w:ind w:left="1440" w:hanging="720"/>
        <w:rPr>
          <w:iCs/>
        </w:rPr>
      </w:pPr>
      <w:r w:rsidRPr="00443D81">
        <w:rPr>
          <w:iCs/>
        </w:rPr>
        <w:t>(b)</w:t>
      </w:r>
      <w:r w:rsidRPr="00443D81">
        <w:rPr>
          <w:iCs/>
        </w:rPr>
        <w:tab/>
        <w:t>Is not also registered as a Congestion Revenue Right (CRR) Account Holder;</w:t>
      </w:r>
    </w:p>
    <w:p w14:paraId="0F13766F" w14:textId="77777777" w:rsidR="00EE1CAB" w:rsidRPr="00443D81" w:rsidRDefault="00EE1CAB" w:rsidP="00EE1CAB">
      <w:pPr>
        <w:spacing w:after="240"/>
        <w:ind w:left="1440" w:hanging="720"/>
        <w:rPr>
          <w:iCs/>
        </w:rPr>
      </w:pPr>
      <w:r w:rsidRPr="00443D81">
        <w:rPr>
          <w:iCs/>
        </w:rPr>
        <w:t>(c)</w:t>
      </w:r>
      <w:r w:rsidRPr="00443D81">
        <w:rPr>
          <w:iCs/>
        </w:rPr>
        <w:tab/>
        <w:t>Does not participate in the Day-Ahead Market (DAM) or Real-Time Market (RTM);</w:t>
      </w:r>
    </w:p>
    <w:p w14:paraId="78B3403C" w14:textId="77777777" w:rsidR="00EE1CAB" w:rsidRPr="00443D81" w:rsidRDefault="00EE1CAB" w:rsidP="00EE1CAB">
      <w:pPr>
        <w:spacing w:after="240"/>
        <w:ind w:left="1440" w:hanging="720"/>
        <w:rPr>
          <w:iCs/>
        </w:rPr>
      </w:pPr>
      <w:r w:rsidRPr="00443D81">
        <w:rPr>
          <w:iCs/>
        </w:rPr>
        <w:t>(d)</w:t>
      </w:r>
      <w:r w:rsidRPr="00443D81">
        <w:rPr>
          <w:iCs/>
        </w:rPr>
        <w:tab/>
        <w:t>Does not participate in the Emergency Response Service (ERS) market;</w:t>
      </w:r>
    </w:p>
    <w:p w14:paraId="0FB43BAE" w14:textId="77777777" w:rsidR="00EE1CAB" w:rsidRPr="00443D81" w:rsidRDefault="00EE1CAB" w:rsidP="00EE1CAB">
      <w:pPr>
        <w:spacing w:after="240"/>
        <w:ind w:left="1440" w:hanging="720"/>
      </w:pPr>
      <w:r w:rsidRPr="00443D81">
        <w:rPr>
          <w:iCs/>
        </w:rPr>
        <w:lastRenderedPageBreak/>
        <w:t>(e)</w:t>
      </w:r>
      <w:r w:rsidRPr="00443D81">
        <w:rPr>
          <w:iCs/>
        </w:rPr>
        <w:tab/>
        <w:t>Does not have</w:t>
      </w:r>
      <w:r w:rsidRPr="00443D81">
        <w:t xml:space="preserve"> decision making authority over the Resources for which the Entity provides agency services; and</w:t>
      </w:r>
    </w:p>
    <w:p w14:paraId="10623BAF" w14:textId="77777777" w:rsidR="00EE1CAB" w:rsidRPr="00443D81" w:rsidRDefault="00EE1CAB" w:rsidP="00EE1CAB">
      <w:pPr>
        <w:spacing w:after="240"/>
        <w:ind w:left="1440" w:hanging="720"/>
      </w:pPr>
      <w:r w:rsidRPr="00443D81">
        <w:rPr>
          <w:iCs/>
        </w:rPr>
        <w:t>(f)</w:t>
      </w:r>
      <w:r w:rsidRPr="00443D81">
        <w:rPr>
          <w:iCs/>
        </w:rPr>
        <w:tab/>
        <w:t>Maintains 24</w:t>
      </w:r>
      <w:r w:rsidRPr="00443D81">
        <w:t>-hour, seven-day-per-week support contact with qualified personnel to support and resolve any data or communication issues with ERCOT.</w:t>
      </w:r>
    </w:p>
    <w:p w14:paraId="23986844" w14:textId="77777777" w:rsidR="00EE1CAB" w:rsidRPr="00443D81" w:rsidRDefault="00EE1CAB" w:rsidP="00EE1CAB">
      <w:pPr>
        <w:spacing w:after="240"/>
        <w:ind w:left="720" w:hanging="720"/>
      </w:pPr>
      <w:r w:rsidRPr="00443D81">
        <w:rPr>
          <w:iCs/>
        </w:rPr>
        <w:t>(3)</w:t>
      </w:r>
      <w:r w:rsidRPr="00443D81">
        <w:rPr>
          <w:iCs/>
        </w:rPr>
        <w:tab/>
        <w:t>A registered Data Agent-Only QSE may only be appointed to act as the authorized agent of a QSE that meets all requirements of Section 16.2.1 for the limited purpose of exchanging or communicating certain types of data with ERCOT</w:t>
      </w:r>
      <w:r w:rsidRPr="00443D81">
        <w:t xml:space="preserve"> provided that a QSE Agency Agreement making such appointment has been properly executed by the parties and accepted by ERCOT.  If a </w:t>
      </w:r>
      <w:r w:rsidRPr="00443D81">
        <w:rPr>
          <w:iCs/>
        </w:rPr>
        <w:t xml:space="preserve">Data </w:t>
      </w:r>
      <w:r w:rsidRPr="00443D81">
        <w:t>Agent-Only QSE is appointed as such an agent, it shall perform its agency services in accordance with the terms of the QSE Agency Agreement and the requirements for Wide Area Network (WAN) Participants under the Nodal Operating Guide Section 7, Telemetry and Communication.  Once a Data Agent-Only QSE has been designated as an agent as provided herein, it will be authorized to act on behalf of the designating QSE and the Market Participant represented by the designating QSE.</w:t>
      </w:r>
    </w:p>
    <w:p w14:paraId="28E4BB51" w14:textId="77777777" w:rsidR="00EE1CAB" w:rsidRPr="00443D81" w:rsidRDefault="00EE1CAB" w:rsidP="00EE1CAB">
      <w:pPr>
        <w:spacing w:after="240"/>
        <w:ind w:left="720" w:hanging="720"/>
        <w:rPr>
          <w:iCs/>
        </w:rPr>
      </w:pPr>
      <w:r w:rsidRPr="00443D81">
        <w:rPr>
          <w:iCs/>
        </w:rPr>
        <w:t>(4)</w:t>
      </w:r>
      <w:r w:rsidRPr="00443D81">
        <w:rPr>
          <w:iCs/>
        </w:rPr>
        <w:tab/>
        <w:t xml:space="preserve">A Data Agent-Only QSE shall comply with the obligations applicable to QSEs under this Section 16, </w:t>
      </w:r>
      <w:r>
        <w:rPr>
          <w:iCs/>
        </w:rPr>
        <w:t xml:space="preserve">Registration and Qualification of Market Participants, </w:t>
      </w:r>
      <w:r w:rsidRPr="00443D81">
        <w:rPr>
          <w:iCs/>
        </w:rPr>
        <w:t>but is exempt from the following requirements:</w:t>
      </w:r>
    </w:p>
    <w:p w14:paraId="69F2D842" w14:textId="77777777" w:rsidR="00EE1CAB" w:rsidRPr="00443D81" w:rsidRDefault="00EE1CAB" w:rsidP="00EE1CAB">
      <w:pPr>
        <w:spacing w:after="240"/>
        <w:ind w:left="1440" w:hanging="720"/>
        <w:rPr>
          <w:iCs/>
        </w:rPr>
      </w:pPr>
      <w:r w:rsidRPr="00443D81">
        <w:rPr>
          <w:iCs/>
        </w:rPr>
        <w:t>(a)</w:t>
      </w:r>
      <w:r w:rsidRPr="00443D81">
        <w:rPr>
          <w:iCs/>
        </w:rPr>
        <w:tab/>
        <w:t>Paragraph (1)(f) of Section 16.2.1;</w:t>
      </w:r>
    </w:p>
    <w:p w14:paraId="245F40E8" w14:textId="77777777" w:rsidR="00EE1CAB" w:rsidRPr="00443D81" w:rsidRDefault="00EE1CAB" w:rsidP="00EE1CAB">
      <w:pPr>
        <w:spacing w:after="240"/>
        <w:ind w:left="1440" w:hanging="720"/>
        <w:rPr>
          <w:iCs/>
        </w:rPr>
      </w:pPr>
      <w:r w:rsidRPr="00443D81">
        <w:rPr>
          <w:iCs/>
        </w:rPr>
        <w:t>(b)</w:t>
      </w:r>
      <w:r w:rsidRPr="00443D81">
        <w:rPr>
          <w:iCs/>
        </w:rPr>
        <w:tab/>
        <w:t>Paragraph (1)(h) of Section 16.2.1;</w:t>
      </w:r>
    </w:p>
    <w:p w14:paraId="7549D174" w14:textId="77777777" w:rsidR="00EE1CAB" w:rsidRPr="00443D81" w:rsidRDefault="00EE1CAB" w:rsidP="00EE1CAB">
      <w:pPr>
        <w:spacing w:after="240"/>
        <w:ind w:left="1440" w:hanging="720"/>
        <w:rPr>
          <w:iCs/>
        </w:rPr>
      </w:pPr>
      <w:r w:rsidRPr="00443D81">
        <w:rPr>
          <w:iCs/>
        </w:rPr>
        <w:t>(c)</w:t>
      </w:r>
      <w:r w:rsidRPr="00443D81">
        <w:rPr>
          <w:iCs/>
        </w:rPr>
        <w:tab/>
        <w:t>Paragraph (1)(j) of Section 16.2.1;</w:t>
      </w:r>
    </w:p>
    <w:p w14:paraId="2BF552CB" w14:textId="77777777" w:rsidR="00EE1CAB" w:rsidRPr="00443D81" w:rsidRDefault="00EE1CAB" w:rsidP="00EE1CAB">
      <w:pPr>
        <w:spacing w:after="240"/>
        <w:ind w:left="1440" w:hanging="720"/>
        <w:rPr>
          <w:iCs/>
        </w:rPr>
      </w:pPr>
      <w:r w:rsidRPr="00443D81">
        <w:rPr>
          <w:iCs/>
        </w:rPr>
        <w:t>(d)</w:t>
      </w:r>
      <w:r w:rsidRPr="00443D81">
        <w:rPr>
          <w:iCs/>
        </w:rPr>
        <w:tab/>
        <w:t>Paragraph (1)(k) of Section 16.2.1;</w:t>
      </w:r>
    </w:p>
    <w:p w14:paraId="7D75EEC3" w14:textId="77777777" w:rsidR="00EE1CAB" w:rsidRPr="00443D81" w:rsidRDefault="00EE1CAB" w:rsidP="00EE1CAB">
      <w:pPr>
        <w:spacing w:after="240"/>
        <w:ind w:left="1440" w:hanging="720"/>
        <w:rPr>
          <w:iCs/>
        </w:rPr>
      </w:pPr>
      <w:r w:rsidRPr="00443D81">
        <w:rPr>
          <w:iCs/>
        </w:rPr>
        <w:t>(e)</w:t>
      </w:r>
      <w:r w:rsidRPr="00443D81">
        <w:rPr>
          <w:iCs/>
        </w:rPr>
        <w:tab/>
        <w:t>Section 16.11, Financial Security for Counter-Parties; and</w:t>
      </w:r>
    </w:p>
    <w:p w14:paraId="3055B7CF" w14:textId="77777777" w:rsidR="00EE1CAB" w:rsidRPr="00443D81" w:rsidRDefault="00EE1CAB" w:rsidP="00EE1CAB">
      <w:pPr>
        <w:spacing w:after="240"/>
        <w:ind w:left="1440" w:hanging="720"/>
        <w:rPr>
          <w:iCs/>
        </w:rPr>
      </w:pPr>
      <w:r w:rsidRPr="00443D81">
        <w:rPr>
          <w:iCs/>
        </w:rPr>
        <w:t>(f)</w:t>
      </w:r>
      <w:r w:rsidRPr="00443D81">
        <w:rPr>
          <w:iCs/>
        </w:rPr>
        <w:tab/>
        <w:t>Section 16.16, Additional Counter-Party Qualification Requirements.</w:t>
      </w:r>
    </w:p>
    <w:p w14:paraId="63795B89" w14:textId="77777777" w:rsidR="00EE1CAB" w:rsidRPr="00443D81" w:rsidRDefault="00EE1CAB" w:rsidP="00EE1CAB">
      <w:pPr>
        <w:spacing w:after="240"/>
        <w:ind w:left="720" w:hanging="720"/>
        <w:rPr>
          <w:iCs/>
        </w:rPr>
      </w:pPr>
      <w:r w:rsidRPr="00443D81">
        <w:rPr>
          <w:iCs/>
        </w:rPr>
        <w:t>(5)</w:t>
      </w:r>
      <w:r w:rsidRPr="00443D81">
        <w:rPr>
          <w:iCs/>
        </w:rPr>
        <w:tab/>
        <w:t>ERCOT will ensure that its systems prevent participation by a Data Agent-Only QSE in the DAM and RTM.</w:t>
      </w:r>
    </w:p>
    <w:p w14:paraId="41B980B8" w14:textId="77777777" w:rsidR="00EE1CAB" w:rsidRPr="00443D81" w:rsidRDefault="00EE1CAB" w:rsidP="00EE1CAB">
      <w:pPr>
        <w:spacing w:after="240"/>
        <w:ind w:left="720" w:hanging="720"/>
        <w:rPr>
          <w:iCs/>
        </w:rPr>
      </w:pPr>
      <w:r w:rsidRPr="00443D81">
        <w:rPr>
          <w:iCs/>
        </w:rPr>
        <w:t>(6)</w:t>
      </w:r>
      <w:r w:rsidRPr="00443D81">
        <w:rPr>
          <w:iCs/>
        </w:rPr>
        <w:tab/>
        <w:t>A Data Agent-Only QSE may request to change its registration to a QSE that meets all the requirements of Section 16.2.1 and is registered with ERCOT as such by submitting a written request to ERCOT.  ERCOT will change the Data Agent-Only QSE’s registration upon satisfaction of all requirements in Section 16.2.1.</w:t>
      </w:r>
    </w:p>
    <w:p w14:paraId="048BE68B" w14:textId="25197768" w:rsidR="00EE1CAB" w:rsidRDefault="00EE1CAB" w:rsidP="00EE1CAB">
      <w:pPr>
        <w:pStyle w:val="BodyTextNumbered"/>
      </w:pPr>
      <w:r w:rsidRPr="00443D81">
        <w:rPr>
          <w:iCs w:val="0"/>
        </w:rPr>
        <w:t>(7)</w:t>
      </w:r>
      <w:r w:rsidRPr="00443D81">
        <w:rPr>
          <w:iCs w:val="0"/>
        </w:rPr>
        <w:tab/>
        <w:t>Nothing in this section affects a Data Agent-Only QSE’s obligation under paragraph (3) of Section 16.2.1 to provide ERCOT notice of any material change that could adversely affect the reliability or safety of the ERCOT System.</w:t>
      </w:r>
    </w:p>
    <w:p w14:paraId="061811DB" w14:textId="77777777" w:rsidR="00FC1C5F" w:rsidRDefault="00727E32" w:rsidP="00350FB0">
      <w:pPr>
        <w:pStyle w:val="H3"/>
      </w:pPr>
      <w:bookmarkStart w:id="45" w:name="_Toc390438914"/>
      <w:bookmarkStart w:id="46" w:name="_Toc405897611"/>
      <w:bookmarkStart w:id="47" w:name="_Toc415055715"/>
      <w:bookmarkStart w:id="48" w:name="_Toc415055841"/>
      <w:bookmarkStart w:id="49" w:name="_Toc415055940"/>
      <w:bookmarkStart w:id="50" w:name="_Toc415056041"/>
      <w:bookmarkStart w:id="51" w:name="_Toc70591582"/>
      <w:bookmarkStart w:id="52" w:name="_Toc71369174"/>
      <w:bookmarkStart w:id="53" w:name="_Toc71539390"/>
      <w:r>
        <w:lastRenderedPageBreak/>
        <w:t>16.2.2</w:t>
      </w:r>
      <w:r>
        <w:tab/>
        <w:t>QSE Application Process</w:t>
      </w:r>
      <w:bookmarkEnd w:id="45"/>
      <w:bookmarkEnd w:id="46"/>
      <w:bookmarkEnd w:id="47"/>
      <w:bookmarkEnd w:id="48"/>
      <w:bookmarkEnd w:id="49"/>
      <w:bookmarkEnd w:id="50"/>
      <w:bookmarkEnd w:id="51"/>
      <w:r>
        <w:t xml:space="preserve">  </w:t>
      </w:r>
      <w:bookmarkEnd w:id="52"/>
      <w:bookmarkEnd w:id="53"/>
    </w:p>
    <w:p w14:paraId="6471AA3D" w14:textId="1D6964B9" w:rsidR="00FC1C5F" w:rsidRDefault="00853D39" w:rsidP="009F10FE">
      <w:pPr>
        <w:pStyle w:val="BodyText"/>
        <w:ind w:left="720" w:hanging="720"/>
      </w:pPr>
      <w:r>
        <w:t>(1)</w:t>
      </w:r>
      <w:r>
        <w:tab/>
      </w:r>
      <w:r w:rsidR="00727E32">
        <w:t xml:space="preserve">To register as a QSE, an applicant must submit to ERCOT a completed QSE application and any applicable fee.  ERCOT shall post on the </w:t>
      </w:r>
      <w:r w:rsidR="00F13002">
        <w:t>ERCOT website</w:t>
      </w:r>
      <w:r w:rsidR="00727E32">
        <w:t xml:space="preserve"> the form in which QSE applications must be submitted, all materials that must be provided with the QSE application and the fee schedule, if any, applicable to QSE applications.  The QSE application shall be attested to by a duly authorized officer or agent of the applicant.  The QSE applicant shall promptly notify ERCOT of any material changes affecting a pending application using the appropriate form posted on the </w:t>
      </w:r>
      <w:r w:rsidR="00F13002">
        <w:t>ERCOT website</w:t>
      </w:r>
      <w:r w:rsidR="00727E32">
        <w:t>.  The application must be submitted at least 60 days before the proposed date of commencement of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5424F" w14:paraId="04902D32" w14:textId="77777777" w:rsidTr="008552F8">
        <w:tc>
          <w:tcPr>
            <w:tcW w:w="9332" w:type="dxa"/>
            <w:shd w:val="pct12" w:color="auto" w:fill="auto"/>
          </w:tcPr>
          <w:p w14:paraId="25A43F3D" w14:textId="17E2570F" w:rsidR="0045424F" w:rsidRPr="0002450E" w:rsidRDefault="0045424F" w:rsidP="008552F8">
            <w:pPr>
              <w:pStyle w:val="Instructions"/>
              <w:spacing w:before="120"/>
              <w:rPr>
                <w:iCs/>
              </w:rPr>
            </w:pPr>
            <w:bookmarkStart w:id="54" w:name="_Toc390438915"/>
            <w:bookmarkStart w:id="55" w:name="_Toc405897612"/>
            <w:bookmarkStart w:id="56" w:name="_Toc415055716"/>
            <w:bookmarkStart w:id="57" w:name="_Toc415055842"/>
            <w:bookmarkStart w:id="58" w:name="_Toc415055941"/>
            <w:bookmarkStart w:id="59" w:name="_Toc415056042"/>
            <w:bookmarkStart w:id="60" w:name="_Toc70591583"/>
            <w:r>
              <w:rPr>
                <w:iCs/>
              </w:rPr>
              <w:t>[NPRR1073</w:t>
            </w:r>
            <w:r w:rsidRPr="0002450E">
              <w:rPr>
                <w:iCs/>
              </w:rPr>
              <w:t xml:space="preserve">:  </w:t>
            </w:r>
            <w:r>
              <w:rPr>
                <w:iCs/>
              </w:rPr>
              <w:t>Replace paragraph (1) above</w:t>
            </w:r>
            <w:r w:rsidRPr="0002450E">
              <w:rPr>
                <w:iCs/>
              </w:rPr>
              <w:t xml:space="preserve"> </w:t>
            </w:r>
            <w:r w:rsidR="008552F8">
              <w:rPr>
                <w:iCs/>
              </w:rPr>
              <w:t xml:space="preserve">with the following </w:t>
            </w:r>
            <w:r w:rsidRPr="0002450E">
              <w:rPr>
                <w:iCs/>
              </w:rPr>
              <w:t xml:space="preserve">upon </w:t>
            </w:r>
            <w:r>
              <w:rPr>
                <w:iCs/>
              </w:rPr>
              <w:t>staffing completion</w:t>
            </w:r>
            <w:r w:rsidRPr="0002450E">
              <w:rPr>
                <w:iCs/>
              </w:rPr>
              <w:t xml:space="preserve">:] </w:t>
            </w:r>
          </w:p>
          <w:p w14:paraId="291ACF51" w14:textId="33BB2617" w:rsidR="0045424F" w:rsidRPr="008D69E1" w:rsidRDefault="0045424F" w:rsidP="0045424F">
            <w:pPr>
              <w:pStyle w:val="BodyText"/>
              <w:ind w:left="720" w:hanging="720"/>
            </w:pPr>
            <w:r>
              <w:t>(1)</w:t>
            </w:r>
            <w:r>
              <w:tab/>
              <w:t>To register as a QSE, an applicant must submit to ERCOT a completed</w:t>
            </w:r>
            <w:r w:rsidR="00EC4F5C">
              <w:t xml:space="preserve"> Section 23, Form G, QSE Application and Service Filing for Registration Form, </w:t>
            </w:r>
            <w:r>
              <w:t>and any applicable fee.  ERCOT shall post on the ERCOT website the form in which QSE applications must be submitted, all materials that must be provided with the QSE application and the fee schedule, if any, applicable to QSE applications.  The QSE application shall be attested to by a duly authorized officer or agent of the applicant.  The QSE applicant shall promptly notify ERCOT of any material changes affecting a pending application using the appropriate form posted on the ERCOT website.  The application must be submitted at least 60 days before the proposed date of commencement of service.</w:t>
            </w:r>
          </w:p>
        </w:tc>
      </w:tr>
    </w:tbl>
    <w:p w14:paraId="779CE263" w14:textId="77777777" w:rsidR="00FC1C5F" w:rsidRPr="00D63F95" w:rsidRDefault="00727E32" w:rsidP="00EC4F5C">
      <w:pPr>
        <w:pStyle w:val="H4"/>
        <w:spacing w:before="480"/>
        <w:ind w:left="1267" w:hanging="1267"/>
        <w:rPr>
          <w:b/>
        </w:rPr>
      </w:pPr>
      <w:r w:rsidRPr="00D63F95">
        <w:rPr>
          <w:b/>
        </w:rPr>
        <w:t>16.2.2.1</w:t>
      </w:r>
      <w:r w:rsidRPr="00D63F95">
        <w:rPr>
          <w:b/>
        </w:rPr>
        <w:tab/>
        <w:t>Notice of Receipt of Qualified Scheduling Entity Application</w:t>
      </w:r>
      <w:bookmarkEnd w:id="54"/>
      <w:bookmarkEnd w:id="55"/>
      <w:bookmarkEnd w:id="56"/>
      <w:bookmarkEnd w:id="57"/>
      <w:bookmarkEnd w:id="58"/>
      <w:bookmarkEnd w:id="59"/>
      <w:bookmarkEnd w:id="60"/>
    </w:p>
    <w:p w14:paraId="58A5F64F" w14:textId="77777777" w:rsidR="00FC1C5F" w:rsidRDefault="00853D39" w:rsidP="009F10FE">
      <w:pPr>
        <w:pStyle w:val="BodyText"/>
        <w:ind w:left="720" w:hanging="720"/>
      </w:pPr>
      <w:r>
        <w:t>(1)</w:t>
      </w:r>
      <w:r>
        <w:tab/>
      </w:r>
      <w:r w:rsidR="00727E32">
        <w:t>Within three Business Days after receiving a QSE application, ERCOT shall issue to the applicant a written confirmation that ERCOT has received the QSE application.  ERCOT shall return without review any QSE application that does not include the proper application fee.  The remainder of this Section does not apply to any QSE application returned for failure to include the proper application fee.</w:t>
      </w:r>
    </w:p>
    <w:p w14:paraId="71E728C3" w14:textId="77777777" w:rsidR="00FC1C5F" w:rsidRPr="00D63F95" w:rsidRDefault="00727E32">
      <w:pPr>
        <w:pStyle w:val="H4"/>
        <w:rPr>
          <w:b/>
        </w:rPr>
      </w:pPr>
      <w:bookmarkStart w:id="61" w:name="_Toc390438916"/>
      <w:bookmarkStart w:id="62" w:name="_Toc405897613"/>
      <w:bookmarkStart w:id="63" w:name="_Toc415055717"/>
      <w:bookmarkStart w:id="64" w:name="_Toc415055843"/>
      <w:bookmarkStart w:id="65" w:name="_Toc415055942"/>
      <w:bookmarkStart w:id="66" w:name="_Toc415056043"/>
      <w:bookmarkStart w:id="67" w:name="_Toc70591584"/>
      <w:r w:rsidRPr="00D63F95">
        <w:rPr>
          <w:b/>
        </w:rPr>
        <w:t>16.2.2.2</w:t>
      </w:r>
      <w:r w:rsidRPr="00D63F95">
        <w:rPr>
          <w:b/>
        </w:rPr>
        <w:tab/>
        <w:t>Incomplete Applications</w:t>
      </w:r>
      <w:bookmarkEnd w:id="61"/>
      <w:bookmarkEnd w:id="62"/>
      <w:bookmarkEnd w:id="63"/>
      <w:bookmarkEnd w:id="64"/>
      <w:bookmarkEnd w:id="65"/>
      <w:bookmarkEnd w:id="66"/>
      <w:bookmarkEnd w:id="67"/>
      <w:r w:rsidRPr="00D63F95">
        <w:rPr>
          <w:b/>
        </w:rPr>
        <w:t xml:space="preserve">  </w:t>
      </w:r>
    </w:p>
    <w:p w14:paraId="4C13A88A" w14:textId="77777777" w:rsidR="00FC1C5F" w:rsidRDefault="00727E32">
      <w:pPr>
        <w:pStyle w:val="BodyTextNumbered"/>
      </w:pPr>
      <w:r>
        <w:t>(1)</w:t>
      </w:r>
      <w:r>
        <w:tab/>
        <w:t>Within ten Business Days after receiving a QSE application, ERCOT shall notify the applicant in writing if the application is incomplete.  If ERCOT fails to notify the applicant that the application is incomplete within ten Business Days, then the application is considered complete as of the date ERCOT received it.</w:t>
      </w:r>
    </w:p>
    <w:p w14:paraId="29359EF6" w14:textId="77777777" w:rsidR="00FC1C5F" w:rsidRDefault="00727E32">
      <w:pPr>
        <w:pStyle w:val="BodyTextNumbered"/>
      </w:pPr>
      <w:r>
        <w:t>(2)</w:t>
      </w:r>
      <w:r>
        <w:tab/>
        <w:t xml:space="preserve">If a QSE application is incomplete, ERCOT’s notice of incompletion to the applicant must explain the deficiencies and describe the additional information necessary to make the QSE application complete.  The QSE applicant has five Business Days after it receives the notice, or a longer period if ERCOT allows, to provide the additional required information.  If the applicant responds to the notice within the allotted time, then </w:t>
      </w:r>
      <w:r>
        <w:lastRenderedPageBreak/>
        <w:t>the QSE application is considered complete on the date that ERCOT received the complete additional information from the applicant.</w:t>
      </w:r>
    </w:p>
    <w:p w14:paraId="091FFB44" w14:textId="77777777" w:rsidR="00FC1C5F" w:rsidRDefault="00727E32">
      <w:pPr>
        <w:pStyle w:val="BodyTextNumbered"/>
      </w:pPr>
      <w:r>
        <w:t>(3)</w:t>
      </w:r>
      <w:r>
        <w:tab/>
        <w:t>If the applicant does not respond to the incompletion notice within the time allotted, ERCOT shall reject the application and shall notify the applicant using the procedures below.</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552F8" w14:paraId="63ACEA7F" w14:textId="77777777" w:rsidTr="008552F8">
        <w:tc>
          <w:tcPr>
            <w:tcW w:w="9332" w:type="dxa"/>
            <w:shd w:val="pct12" w:color="auto" w:fill="auto"/>
          </w:tcPr>
          <w:p w14:paraId="07FE9213" w14:textId="70F450E0" w:rsidR="008552F8" w:rsidRPr="0002450E" w:rsidRDefault="008552F8" w:rsidP="008552F8">
            <w:pPr>
              <w:pStyle w:val="Instructions"/>
              <w:spacing w:before="120"/>
              <w:rPr>
                <w:iCs/>
              </w:rPr>
            </w:pPr>
            <w:bookmarkStart w:id="68" w:name="_Toc390438917"/>
            <w:bookmarkStart w:id="69" w:name="_Toc405897614"/>
            <w:bookmarkStart w:id="70" w:name="_Toc415055718"/>
            <w:bookmarkStart w:id="71" w:name="_Toc415055844"/>
            <w:bookmarkStart w:id="72" w:name="_Toc415055943"/>
            <w:bookmarkStart w:id="73" w:name="_Toc415056044"/>
            <w:bookmarkStart w:id="74" w:name="_Toc70591585"/>
            <w:r>
              <w:rPr>
                <w:iCs/>
              </w:rPr>
              <w:t>[NPRR1073</w:t>
            </w:r>
            <w:r w:rsidRPr="0002450E">
              <w:rPr>
                <w:iCs/>
              </w:rPr>
              <w:t xml:space="preserve">:  </w:t>
            </w:r>
            <w:r>
              <w:rPr>
                <w:iCs/>
              </w:rPr>
              <w:t>Replace Section 16.2.2.2 above</w:t>
            </w:r>
            <w:r w:rsidRPr="0002450E">
              <w:rPr>
                <w:iCs/>
              </w:rPr>
              <w:t xml:space="preserve"> </w:t>
            </w:r>
            <w:r>
              <w:rPr>
                <w:iCs/>
              </w:rPr>
              <w:t xml:space="preserve">with the following </w:t>
            </w:r>
            <w:r w:rsidRPr="0002450E">
              <w:rPr>
                <w:iCs/>
              </w:rPr>
              <w:t xml:space="preserve">upon </w:t>
            </w:r>
            <w:r>
              <w:rPr>
                <w:iCs/>
              </w:rPr>
              <w:t>staffing completion</w:t>
            </w:r>
            <w:r w:rsidRPr="0002450E">
              <w:rPr>
                <w:iCs/>
              </w:rPr>
              <w:t xml:space="preserve">:] </w:t>
            </w:r>
          </w:p>
          <w:p w14:paraId="2A9B97A0" w14:textId="77777777" w:rsidR="008552F8" w:rsidRPr="00D63F95" w:rsidRDefault="008552F8" w:rsidP="008552F8">
            <w:pPr>
              <w:pStyle w:val="H4"/>
              <w:rPr>
                <w:b/>
              </w:rPr>
            </w:pPr>
            <w:bookmarkStart w:id="75" w:name="_Toc34728457"/>
            <w:r w:rsidRPr="00D63F95">
              <w:rPr>
                <w:b/>
              </w:rPr>
              <w:t>16.2.2.2</w:t>
            </w:r>
            <w:r w:rsidRPr="00D63F95">
              <w:rPr>
                <w:b/>
              </w:rPr>
              <w:tab/>
              <w:t xml:space="preserve">Incomplete </w:t>
            </w:r>
            <w:r>
              <w:rPr>
                <w:b/>
              </w:rPr>
              <w:t xml:space="preserve">QSE </w:t>
            </w:r>
            <w:r w:rsidRPr="00D63F95">
              <w:rPr>
                <w:b/>
              </w:rPr>
              <w:t>Applications</w:t>
            </w:r>
            <w:bookmarkEnd w:id="75"/>
            <w:r>
              <w:rPr>
                <w:b/>
              </w:rPr>
              <w:t xml:space="preserve"> </w:t>
            </w:r>
          </w:p>
          <w:p w14:paraId="2E149604" w14:textId="115AC12D" w:rsidR="008552F8" w:rsidRDefault="008552F8" w:rsidP="008552F8">
            <w:pPr>
              <w:pStyle w:val="BodyTextNumbered"/>
            </w:pPr>
            <w:r>
              <w:t>(1)</w:t>
            </w:r>
            <w:r>
              <w:tab/>
              <w:t xml:space="preserve">Within ten Business Days after receiving a QSE application, ERCOT shall notify the applicant in writing if the application is incomplete.  An application will not be deemed complete until ERCOT has received all information necessary to conduct an evaluation of whether the applicant satisfies the requirements to be registered as a QSE. </w:t>
            </w:r>
          </w:p>
          <w:p w14:paraId="66CBD677" w14:textId="56FBB4FA" w:rsidR="008552F8" w:rsidRDefault="008552F8" w:rsidP="008552F8">
            <w:pPr>
              <w:pStyle w:val="BodyTextNumbered"/>
            </w:pPr>
            <w:r>
              <w:t>(2)</w:t>
            </w:r>
            <w:r>
              <w:tab/>
              <w:t xml:space="preserve">If a QSE application is incomplete, ERCOT’s notice of incompletion to the applicant must explain the deficiencies and describe the additional information necessary to make the QSE application complete.  The QSE applicant has five Business Days after it receives the notice, or a longer period if ERCOT allows, to provide the additional required information. </w:t>
            </w:r>
          </w:p>
          <w:p w14:paraId="34EF8A38" w14:textId="77777777" w:rsidR="008552F8" w:rsidRDefault="008552F8" w:rsidP="008552F8">
            <w:pPr>
              <w:pStyle w:val="BodyTextNumbered"/>
            </w:pPr>
            <w:r>
              <w:t>(3)</w:t>
            </w:r>
            <w:r>
              <w:tab/>
              <w:t xml:space="preserve">If the applicant does not respond to the incompletion notice within the time allotted, ERCOT shall reject the application and shall notify the applicant using the procedures below. </w:t>
            </w:r>
          </w:p>
          <w:p w14:paraId="4C368C30" w14:textId="6ABFB124" w:rsidR="008552F8" w:rsidRPr="008D69E1" w:rsidRDefault="008552F8" w:rsidP="008552F8">
            <w:pPr>
              <w:pStyle w:val="BodyTextNumbered"/>
            </w:pPr>
            <w:r>
              <w:t>(4)</w:t>
            </w:r>
            <w:r>
              <w:tab/>
              <w:t>ERCOT will notify the applicant of the date on which the application is deemed complete.</w:t>
            </w:r>
          </w:p>
        </w:tc>
      </w:tr>
    </w:tbl>
    <w:p w14:paraId="2AF72683" w14:textId="77777777" w:rsidR="00FC1C5F" w:rsidRPr="00D63F95" w:rsidRDefault="00727E32" w:rsidP="00C33516">
      <w:pPr>
        <w:pStyle w:val="H4"/>
        <w:spacing w:before="480"/>
        <w:rPr>
          <w:b/>
        </w:rPr>
      </w:pPr>
      <w:r w:rsidRPr="00D63F95">
        <w:rPr>
          <w:b/>
        </w:rPr>
        <w:t>16.2.2.3</w:t>
      </w:r>
      <w:r w:rsidRPr="00D63F95">
        <w:rPr>
          <w:b/>
        </w:rPr>
        <w:tab/>
        <w:t>ERCOT Approval or Rejection of Qualified Scheduling Entity Application</w:t>
      </w:r>
      <w:bookmarkEnd w:id="68"/>
      <w:bookmarkEnd w:id="69"/>
      <w:bookmarkEnd w:id="70"/>
      <w:bookmarkEnd w:id="71"/>
      <w:bookmarkEnd w:id="72"/>
      <w:bookmarkEnd w:id="73"/>
      <w:bookmarkEnd w:id="74"/>
    </w:p>
    <w:p w14:paraId="668D3C04" w14:textId="77777777" w:rsidR="00FC1C5F" w:rsidRDefault="00727E32">
      <w:pPr>
        <w:pStyle w:val="BodyTextNumbered"/>
      </w:pPr>
      <w:r>
        <w:t>(1)</w:t>
      </w:r>
      <w:r>
        <w:tab/>
        <w:t>ERCOT may reject a QSE application within ten Business Days after the application has been deemed complete in accordance with this Section.  If ERCOT does not reject the QSE application within ten Business days after the application is deemed complete then the application is deemed approved.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552F8" w14:paraId="10CC3D4E" w14:textId="77777777" w:rsidTr="008552F8">
        <w:tc>
          <w:tcPr>
            <w:tcW w:w="9332" w:type="dxa"/>
            <w:shd w:val="pct12" w:color="auto" w:fill="auto"/>
          </w:tcPr>
          <w:p w14:paraId="185D4480" w14:textId="69C80F20" w:rsidR="008552F8" w:rsidRDefault="008552F8" w:rsidP="008552F8">
            <w:pPr>
              <w:pStyle w:val="Instructions"/>
              <w:spacing w:before="120"/>
              <w:rPr>
                <w:iCs/>
              </w:rPr>
            </w:pPr>
            <w:r>
              <w:rPr>
                <w:iCs/>
              </w:rPr>
              <w:t>[NPRR1073</w:t>
            </w:r>
            <w:r w:rsidRPr="0002450E">
              <w:rPr>
                <w:iCs/>
              </w:rPr>
              <w:t xml:space="preserve">:  </w:t>
            </w:r>
            <w:r>
              <w:rPr>
                <w:iCs/>
              </w:rPr>
              <w:t>Replace paragraph (1) above</w:t>
            </w:r>
            <w:r w:rsidRPr="0002450E">
              <w:rPr>
                <w:iCs/>
              </w:rPr>
              <w:t xml:space="preserve"> </w:t>
            </w:r>
            <w:r>
              <w:rPr>
                <w:iCs/>
              </w:rPr>
              <w:t xml:space="preserve">with the following </w:t>
            </w:r>
            <w:r w:rsidRPr="0002450E">
              <w:rPr>
                <w:iCs/>
              </w:rPr>
              <w:t xml:space="preserve">upon </w:t>
            </w:r>
            <w:r>
              <w:rPr>
                <w:iCs/>
              </w:rPr>
              <w:t>staffing completion</w:t>
            </w:r>
            <w:r w:rsidRPr="0002450E">
              <w:rPr>
                <w:iCs/>
              </w:rPr>
              <w:t xml:space="preserve">:] </w:t>
            </w:r>
          </w:p>
          <w:p w14:paraId="1F51663F" w14:textId="5CF6B76D" w:rsidR="008552F8" w:rsidRPr="008552F8" w:rsidRDefault="008552F8" w:rsidP="008552F8">
            <w:pPr>
              <w:pStyle w:val="BodyTextNumbered"/>
            </w:pPr>
            <w:r w:rsidRPr="008552F8">
              <w:t>(1)</w:t>
            </w:r>
            <w:r w:rsidRPr="008552F8">
              <w:tab/>
              <w:t xml:space="preserve">ERCOT will approve or reject a QSE application within 60 days after the application has been deemed complete as provided for in Section 16.2.2.2, Incomplete QSE Applications, unless ERCOT determines that additional time is needed to complete its review of the application. </w:t>
            </w:r>
            <w:r>
              <w:t xml:space="preserve"> </w:t>
            </w:r>
            <w:r w:rsidRPr="008552F8">
              <w:t xml:space="preserve">ERCOT will notify the applicant when additional time is needed to complete its review and will provide a date by which ERCOT expects to </w:t>
            </w:r>
            <w:r w:rsidRPr="008552F8">
              <w:lastRenderedPageBreak/>
              <w:t xml:space="preserve">complete its review. </w:t>
            </w:r>
            <w:r>
              <w:t xml:space="preserve"> </w:t>
            </w:r>
            <w:r w:rsidRPr="008552F8">
              <w:t>If ERCOT’s initial evaluation indicates that there may be a basis to reject the application, ERCOT may contact the applicant prior to rendering a final decision on the application to determine if further information can be provided by the applicant to resolve the identified concern.</w:t>
            </w:r>
          </w:p>
        </w:tc>
      </w:tr>
    </w:tbl>
    <w:p w14:paraId="534449C8" w14:textId="0FE224EF" w:rsidR="00FC1C5F" w:rsidRDefault="00727E32" w:rsidP="00C33516">
      <w:pPr>
        <w:pStyle w:val="BodyTextNumbered"/>
        <w:spacing w:before="240"/>
      </w:pPr>
      <w:r>
        <w:lastRenderedPageBreak/>
        <w:t>(2)</w:t>
      </w:r>
      <w:r>
        <w:tab/>
        <w:t>If ERCOT rejects a QSE application, ERCOT shall send the applicant a rejection letter explaining the grounds upon which ERCOT rejected the QSE application.  Appropriate grounds for rejecting a QSE application include the following:</w:t>
      </w:r>
    </w:p>
    <w:p w14:paraId="7DCF5FCF" w14:textId="77777777" w:rsidR="00FC1C5F" w:rsidRDefault="00727E32">
      <w:pPr>
        <w:pStyle w:val="List"/>
        <w:ind w:left="1260" w:hanging="540"/>
      </w:pPr>
      <w:r>
        <w:t>(a)</w:t>
      </w:r>
      <w:r>
        <w:tab/>
        <w:t>Required information is not provided to ERCOT in the allotted time;</w:t>
      </w:r>
    </w:p>
    <w:p w14:paraId="179B8675" w14:textId="77777777" w:rsidR="00FC1C5F" w:rsidRDefault="00727E32">
      <w:pPr>
        <w:pStyle w:val="List"/>
        <w:ind w:left="1260" w:hanging="540"/>
      </w:pPr>
      <w:r>
        <w:t>(b)</w:t>
      </w:r>
      <w:r>
        <w:tab/>
        <w:t>Noncompliance with technical requirements; and</w:t>
      </w:r>
    </w:p>
    <w:p w14:paraId="4481EC87" w14:textId="77777777" w:rsidR="00FC1C5F" w:rsidRDefault="00727E32">
      <w:pPr>
        <w:pStyle w:val="List"/>
        <w:ind w:left="1260" w:hanging="540"/>
      </w:pPr>
      <w:r>
        <w:t>(c)</w:t>
      </w:r>
      <w:r>
        <w:tab/>
        <w:t>Noncompliance with other specific eligibility requirements in this Section or in any other Protocols.</w:t>
      </w:r>
    </w:p>
    <w:p w14:paraId="475BCF75" w14:textId="77777777" w:rsidR="00FC1C5F" w:rsidRDefault="00727E32">
      <w:pPr>
        <w:pStyle w:val="BodyText"/>
        <w:ind w:left="720" w:hanging="720"/>
      </w:pPr>
      <w:r>
        <w:t>(3)</w:t>
      </w:r>
      <w:r>
        <w:tab/>
        <w:t>Not later than ten Business Days after receiving a rejection letter, the QSE applicant may challenge the rejection of its QSE application using the dispute resolution procedures set forth in Section 20, Alternative Dispute Resolution Procedure.</w:t>
      </w:r>
      <w:r>
        <w:rPr>
          <w:b/>
        </w:rPr>
        <w:t xml:space="preserve">  </w:t>
      </w:r>
      <w:r>
        <w:t>The applicant may submit a new QSE application and fee at any time, and ERCOT shall process the new QSE application under this Section.</w:t>
      </w:r>
    </w:p>
    <w:p w14:paraId="2832A23B" w14:textId="77777777" w:rsidR="00FC1C5F" w:rsidRDefault="00727E32">
      <w:pPr>
        <w:pStyle w:val="BodyText"/>
        <w:ind w:left="720" w:hanging="720"/>
      </w:pPr>
      <w:r>
        <w:t>(4)</w:t>
      </w:r>
      <w:r>
        <w:tab/>
        <w:t>If ERCOT does not reject the QSE application within ten Business Days after the application has been deemed complete under this Section, ERCOT shall send  the applicant, a Standard Form Market Participant Agreement and any other required agreements relating to use of the ERCOT network, software, and systems for the applicant’s signature.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552F8" w14:paraId="323E840E" w14:textId="77777777" w:rsidTr="008552F8">
        <w:tc>
          <w:tcPr>
            <w:tcW w:w="9332" w:type="dxa"/>
            <w:shd w:val="pct12" w:color="auto" w:fill="auto"/>
          </w:tcPr>
          <w:p w14:paraId="46E750D2" w14:textId="3C75F665" w:rsidR="008552F8" w:rsidRDefault="008552F8" w:rsidP="008552F8">
            <w:pPr>
              <w:pStyle w:val="Instructions"/>
              <w:spacing w:before="120"/>
              <w:rPr>
                <w:iCs/>
              </w:rPr>
            </w:pPr>
            <w:bookmarkStart w:id="76" w:name="_Toc71369175"/>
            <w:bookmarkStart w:id="77" w:name="_Toc71539391"/>
            <w:bookmarkStart w:id="78" w:name="_Toc390438918"/>
            <w:bookmarkStart w:id="79" w:name="_Toc405897615"/>
            <w:bookmarkStart w:id="80" w:name="_Toc415055719"/>
            <w:bookmarkStart w:id="81" w:name="_Toc415055845"/>
            <w:bookmarkStart w:id="82" w:name="_Toc415055944"/>
            <w:bookmarkStart w:id="83" w:name="_Toc415056045"/>
            <w:bookmarkStart w:id="84" w:name="_Toc70591586"/>
            <w:r>
              <w:rPr>
                <w:iCs/>
              </w:rPr>
              <w:t>[NPRR1073</w:t>
            </w:r>
            <w:r w:rsidRPr="0002450E">
              <w:rPr>
                <w:iCs/>
              </w:rPr>
              <w:t xml:space="preserve">:  </w:t>
            </w:r>
            <w:r>
              <w:rPr>
                <w:iCs/>
              </w:rPr>
              <w:t>Replace paragraph (4) above</w:t>
            </w:r>
            <w:r w:rsidRPr="0002450E">
              <w:rPr>
                <w:iCs/>
              </w:rPr>
              <w:t xml:space="preserve"> </w:t>
            </w:r>
            <w:r>
              <w:rPr>
                <w:iCs/>
              </w:rPr>
              <w:t xml:space="preserve">with the following </w:t>
            </w:r>
            <w:r w:rsidRPr="0002450E">
              <w:rPr>
                <w:iCs/>
              </w:rPr>
              <w:t xml:space="preserve">upon </w:t>
            </w:r>
            <w:r>
              <w:rPr>
                <w:iCs/>
              </w:rPr>
              <w:t>staffing completion</w:t>
            </w:r>
            <w:r w:rsidRPr="0002450E">
              <w:rPr>
                <w:iCs/>
              </w:rPr>
              <w:t xml:space="preserve">:] </w:t>
            </w:r>
          </w:p>
          <w:p w14:paraId="6D858694" w14:textId="77777777" w:rsidR="008552F8" w:rsidRDefault="008552F8" w:rsidP="008552F8">
            <w:pPr>
              <w:pStyle w:val="BodyText"/>
              <w:ind w:left="720" w:hanging="720"/>
            </w:pPr>
            <w:r>
              <w:t>(4)</w:t>
            </w:r>
            <w:r>
              <w:tab/>
              <w:t>If ERCOT approves the QSE application, ERCOT shall send the applicant a Standard Form Market Participant Agreement and any other required Agreements relating to use of the ERCOT network, software, and systems for the applicant’s signature.</w:t>
            </w:r>
          </w:p>
          <w:p w14:paraId="331470F7" w14:textId="6496C7C7" w:rsidR="008552F8" w:rsidRPr="008552F8" w:rsidRDefault="008552F8" w:rsidP="008552F8">
            <w:pPr>
              <w:pStyle w:val="BodyText"/>
              <w:ind w:left="720" w:hanging="720"/>
            </w:pPr>
            <w:r>
              <w:t>(5)</w:t>
            </w:r>
            <w:r>
              <w:tab/>
              <w:t>If ERCOT fails to approve or deny the QSE application within 60 days after the application is deemed complete, and also fails to notify the applicant that additional time is needed to complete its review, the QSE applicant may seek relief using the dispute resolution procedures set forth in Section 20.</w:t>
            </w:r>
          </w:p>
        </w:tc>
      </w:tr>
    </w:tbl>
    <w:p w14:paraId="39868C66" w14:textId="77777777" w:rsidR="00FC1C5F" w:rsidRDefault="00727E32" w:rsidP="00C33516">
      <w:pPr>
        <w:pStyle w:val="H3"/>
        <w:spacing w:before="480"/>
      </w:pPr>
      <w:r>
        <w:lastRenderedPageBreak/>
        <w:t>16.2.3</w:t>
      </w:r>
      <w:r>
        <w:tab/>
        <w:t xml:space="preserve">Remaining Steps for Qualified Scheduling Entity </w:t>
      </w:r>
      <w:bookmarkEnd w:id="76"/>
      <w:bookmarkEnd w:id="77"/>
      <w:r>
        <w:t>Registration</w:t>
      </w:r>
      <w:bookmarkEnd w:id="78"/>
      <w:bookmarkEnd w:id="79"/>
      <w:bookmarkEnd w:id="80"/>
      <w:bookmarkEnd w:id="81"/>
      <w:bookmarkEnd w:id="82"/>
      <w:bookmarkEnd w:id="83"/>
      <w:bookmarkEnd w:id="84"/>
    </w:p>
    <w:p w14:paraId="79C4EC29" w14:textId="77777777" w:rsidR="00FC1C5F" w:rsidRDefault="00853D39" w:rsidP="009F10FE">
      <w:pPr>
        <w:pStyle w:val="ListIntroduction"/>
        <w:ind w:left="720" w:hanging="720"/>
      </w:pPr>
      <w:r>
        <w:rPr>
          <w:lang w:val="en-US"/>
        </w:rPr>
        <w:t>(1)</w:t>
      </w:r>
      <w:r>
        <w:rPr>
          <w:lang w:val="en-US"/>
        </w:rPr>
        <w:tab/>
      </w:r>
      <w:r w:rsidR="00727E32">
        <w:t>After a QSE application is deemed approved under Section 16.2.2.3, ERCOT Approval or Rejection of Qualified Scheduling Entity Application, the applicant shall coordinate or perform the following:</w:t>
      </w:r>
    </w:p>
    <w:p w14:paraId="12A4C933" w14:textId="77777777" w:rsidR="00FC1C5F" w:rsidRDefault="00727E32" w:rsidP="00A643DE">
      <w:pPr>
        <w:pStyle w:val="List"/>
      </w:pPr>
      <w:r>
        <w:t>(a)</w:t>
      </w:r>
      <w:r>
        <w:tab/>
        <w:t>Return the signed Standard Form Market Participant Agreement and other related agreements to ERCOT;</w:t>
      </w:r>
    </w:p>
    <w:p w14:paraId="56C75702" w14:textId="77777777" w:rsidR="00FC1C5F" w:rsidRDefault="00727E32" w:rsidP="00A643DE">
      <w:pPr>
        <w:pStyle w:val="List"/>
      </w:pPr>
      <w:r>
        <w:t>(b)</w:t>
      </w:r>
      <w:r>
        <w:tab/>
        <w:t>Coordinate with ERCOT and other Entities, as necessary, to test all communications necessary to participate in the market in the ERCOT Region;</w:t>
      </w:r>
    </w:p>
    <w:p w14:paraId="3861CB62" w14:textId="77777777" w:rsidR="004E6267" w:rsidRDefault="004E6267" w:rsidP="00A643DE">
      <w:pPr>
        <w:pStyle w:val="List"/>
      </w:pPr>
      <w:r>
        <w:t>(c)</w:t>
      </w:r>
      <w:r>
        <w:tab/>
      </w:r>
      <w:r w:rsidRPr="00B64491">
        <w:t>If applicable, a</w:t>
      </w:r>
      <w:r>
        <w:t xml:space="preserve"> QSE offering services in a </w:t>
      </w:r>
      <w:r w:rsidR="00022A2E">
        <w:t>Non-Opt-In Entity (</w:t>
      </w:r>
      <w:r>
        <w:t>NOIE</w:t>
      </w:r>
      <w:r w:rsidR="00022A2E">
        <w:t>)</w:t>
      </w:r>
      <w:r>
        <w:t xml:space="preserve"> service territory must obtain written authorization from the NOIE, and submit such authorization to ERCOT;</w:t>
      </w:r>
      <w:r w:rsidR="00D56D45">
        <w:t xml:space="preserve">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44" w:type="dxa"/>
          <w:left w:w="115" w:type="dxa"/>
          <w:right w:w="115" w:type="dxa"/>
        </w:tblCellMar>
        <w:tblLook w:val="01E0" w:firstRow="1" w:lastRow="1" w:firstColumn="1" w:lastColumn="1" w:noHBand="0" w:noVBand="0"/>
      </w:tblPr>
      <w:tblGrid>
        <w:gridCol w:w="9350"/>
      </w:tblGrid>
      <w:tr w:rsidR="001C6988" w14:paraId="3896DBE4" w14:textId="77777777" w:rsidTr="003532D1">
        <w:tc>
          <w:tcPr>
            <w:tcW w:w="9350" w:type="dxa"/>
            <w:shd w:val="clear" w:color="auto" w:fill="FFFFFF"/>
          </w:tcPr>
          <w:p w14:paraId="2F4F72CA" w14:textId="527D8CD1" w:rsidR="001C6988" w:rsidRPr="00307CAD" w:rsidRDefault="001C6988" w:rsidP="001C6988">
            <w:pPr>
              <w:pStyle w:val="Instructions"/>
            </w:pPr>
            <w:r w:rsidRPr="00307CAD">
              <w:t>[P</w:t>
            </w:r>
            <w:r>
              <w:t>IR005</w:t>
            </w:r>
            <w:r w:rsidRPr="00307CAD">
              <w:t xml:space="preserve">:  ERCOT </w:t>
            </w:r>
            <w:r>
              <w:t xml:space="preserve">Protocol </w:t>
            </w:r>
            <w:r w:rsidRPr="00307CAD">
              <w:t xml:space="preserve">Interpretation of </w:t>
            </w:r>
            <w:r>
              <w:t>paragraph (1)(c) of Section 16.2.3 above</w:t>
            </w:r>
            <w:r w:rsidRPr="00307CAD">
              <w:t>:]</w:t>
            </w:r>
          </w:p>
          <w:p w14:paraId="15F379DD" w14:textId="1EB042EE" w:rsidR="001C6988" w:rsidRPr="00307CAD" w:rsidRDefault="001C6988" w:rsidP="0050013B">
            <w:pPr>
              <w:spacing w:after="240"/>
              <w:jc w:val="both"/>
              <w:rPr>
                <w:szCs w:val="24"/>
              </w:rPr>
            </w:pPr>
            <w:r>
              <w:t xml:space="preserve">On June 29, 2021, ERCOT issued a Protocol Interpretation regarding the applicability of </w:t>
            </w:r>
            <w:r w:rsidR="0050013B">
              <w:t xml:space="preserve">paragraph </w:t>
            </w:r>
            <w:r>
              <w:t>(1)(c)</w:t>
            </w:r>
            <w:r w:rsidR="0050013B">
              <w:t xml:space="preserve"> of Section 16.2.3</w:t>
            </w:r>
            <w:r>
              <w:t xml:space="preserve"> to QSEs representing Energy Storage Resources. See Market Notice</w:t>
            </w:r>
            <w:r w:rsidR="00B93E20">
              <w:t xml:space="preserve"> </w:t>
            </w:r>
            <w:r w:rsidR="00B93E20" w:rsidRPr="00B93E20">
              <w:t>M-A062921-01</w:t>
            </w:r>
            <w:r>
              <w:t xml:space="preserve">, Protocol Interpretation Regarding Necessity of Non-Opt-In Entity Consent to Qualified Scheduling Entity Representation of Energy Storage Resource in Non-Opt-In Entity Service Territory, at </w:t>
            </w:r>
            <w:hyperlink r:id="rId16" w:history="1">
              <w:r>
                <w:rPr>
                  <w:rStyle w:val="Hyperlink"/>
                </w:rPr>
                <w:t>http://www.ercot.com/mktrules/nprotocols/pir_process.html</w:t>
              </w:r>
            </w:hyperlink>
            <w:r>
              <w:t xml:space="preserve"> for full details of this Protocol Interpretation.</w:t>
            </w:r>
          </w:p>
        </w:tc>
      </w:tr>
    </w:tbl>
    <w:p w14:paraId="1AC43869" w14:textId="77777777" w:rsidR="00FC1C5F" w:rsidRDefault="00727E32" w:rsidP="003532D1">
      <w:pPr>
        <w:pStyle w:val="List"/>
        <w:spacing w:before="240"/>
        <w:ind w:left="720" w:firstLine="0"/>
      </w:pPr>
      <w:r>
        <w:t>(</w:t>
      </w:r>
      <w:r w:rsidR="00D56D45">
        <w:t>d</w:t>
      </w:r>
      <w:r>
        <w:t>)</w:t>
      </w:r>
      <w:r>
        <w:tab/>
        <w:t>Demonstrate compliance with security and financial requirements.</w:t>
      </w:r>
    </w:p>
    <w:p w14:paraId="74B4C465" w14:textId="77777777" w:rsidR="00FC1C5F" w:rsidRPr="00D63F95" w:rsidRDefault="00727E32">
      <w:pPr>
        <w:pStyle w:val="H4"/>
        <w:rPr>
          <w:b/>
        </w:rPr>
      </w:pPr>
      <w:bookmarkStart w:id="85" w:name="_Toc390438919"/>
      <w:bookmarkStart w:id="86" w:name="_Toc405897616"/>
      <w:bookmarkStart w:id="87" w:name="_Toc415055720"/>
      <w:bookmarkStart w:id="88" w:name="_Toc415055846"/>
      <w:bookmarkStart w:id="89" w:name="_Toc415055945"/>
      <w:bookmarkStart w:id="90" w:name="_Toc415056046"/>
      <w:bookmarkStart w:id="91" w:name="_Toc70591587"/>
      <w:r w:rsidRPr="00D63F95">
        <w:rPr>
          <w:b/>
        </w:rPr>
        <w:t>16.2.3.</w:t>
      </w:r>
      <w:r w:rsidR="00D56D45">
        <w:rPr>
          <w:b/>
        </w:rPr>
        <w:t>1</w:t>
      </w:r>
      <w:r w:rsidRPr="00D63F95">
        <w:rPr>
          <w:b/>
        </w:rPr>
        <w:tab/>
        <w:t>Process to Gain Approval to Follow DSR Load</w:t>
      </w:r>
      <w:bookmarkEnd w:id="85"/>
      <w:bookmarkEnd w:id="86"/>
      <w:bookmarkEnd w:id="87"/>
      <w:bookmarkEnd w:id="88"/>
      <w:bookmarkEnd w:id="89"/>
      <w:bookmarkEnd w:id="90"/>
      <w:bookmarkEnd w:id="91"/>
    </w:p>
    <w:p w14:paraId="55DF55FE" w14:textId="77777777" w:rsidR="00FC1C5F" w:rsidRDefault="00727E32">
      <w:pPr>
        <w:pStyle w:val="BodyTextNumbered"/>
      </w:pPr>
      <w:r>
        <w:t>(1)</w:t>
      </w:r>
      <w:r>
        <w:tab/>
        <w:t xml:space="preserve">Each QSE wanting to use Resources to follow </w:t>
      </w:r>
      <w:r w:rsidR="00D56D45">
        <w:t>Dynamically Scheduled Resource (</w:t>
      </w:r>
      <w:r>
        <w:t>DSR</w:t>
      </w:r>
      <w:r w:rsidR="00D56D45">
        <w:t>)</w:t>
      </w:r>
      <w:r>
        <w:t xml:space="preserve"> Load shall submit a proposal to ERCOT for analysis of the feasibility and reliability of the telemetry required by the proposal.  ERCOT shall either approve or disapprove that proposal based on ERCOT’s ability to monitor the DSR Load behavior.</w:t>
      </w:r>
    </w:p>
    <w:p w14:paraId="73F2E27D" w14:textId="77777777" w:rsidR="00FC1C5F" w:rsidRDefault="00727E32">
      <w:pPr>
        <w:pStyle w:val="BodyTextNumbered"/>
      </w:pPr>
      <w:r>
        <w:t>(2)</w:t>
      </w:r>
      <w:r>
        <w:tab/>
        <w:t>Each DSR Load must be associated with a Load meter or group of Load meters.  This includes Load that is calculated by subtracting interchange telemetry from actual generation telemetry, appropriately adjusted for Transmission and Distribution Losses.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B70D89" w14:paraId="1FCF23C3" w14:textId="77777777" w:rsidTr="00CD51A8">
        <w:tc>
          <w:tcPr>
            <w:tcW w:w="9332" w:type="dxa"/>
            <w:shd w:val="pct12" w:color="auto" w:fill="auto"/>
          </w:tcPr>
          <w:p w14:paraId="3D206BAA" w14:textId="0FD932CA" w:rsidR="00B70D89" w:rsidRPr="00365293" w:rsidRDefault="00B70D89" w:rsidP="00B70D89">
            <w:pPr>
              <w:pStyle w:val="Instructions"/>
              <w:spacing w:before="120"/>
              <w:rPr>
                <w:iCs/>
              </w:rPr>
            </w:pPr>
            <w:bookmarkStart w:id="92" w:name="_Toc390438920"/>
            <w:bookmarkStart w:id="93" w:name="_Toc405897617"/>
            <w:bookmarkStart w:id="94" w:name="_Toc415055721"/>
            <w:bookmarkStart w:id="95" w:name="_Toc415055847"/>
            <w:bookmarkStart w:id="96" w:name="_Toc415055946"/>
            <w:bookmarkStart w:id="97" w:name="_Toc415056047"/>
            <w:r>
              <w:rPr>
                <w:iCs/>
              </w:rPr>
              <w:t>[NPRR1000</w:t>
            </w:r>
            <w:r w:rsidRPr="0002450E">
              <w:rPr>
                <w:iCs/>
              </w:rPr>
              <w:t xml:space="preserve">:  </w:t>
            </w:r>
            <w:r>
              <w:rPr>
                <w:iCs/>
              </w:rPr>
              <w:t>Delete Section 16.2.3.1 above upon system implementation and renumber accordingly</w:t>
            </w:r>
            <w:r w:rsidR="00EC4F5C">
              <w:rPr>
                <w:iCs/>
              </w:rPr>
              <w:t>.]</w:t>
            </w:r>
          </w:p>
        </w:tc>
      </w:tr>
    </w:tbl>
    <w:p w14:paraId="47E7C0DB" w14:textId="77777777" w:rsidR="00FC1C5F" w:rsidRDefault="00727E32" w:rsidP="00AA42E8">
      <w:pPr>
        <w:pStyle w:val="Heading4"/>
        <w:numPr>
          <w:ilvl w:val="0"/>
          <w:numId w:val="0"/>
        </w:numPr>
        <w:tabs>
          <w:tab w:val="left" w:pos="1620"/>
        </w:tabs>
        <w:spacing w:before="480"/>
      </w:pPr>
      <w:bookmarkStart w:id="98" w:name="_Toc70591588"/>
      <w:r>
        <w:lastRenderedPageBreak/>
        <w:t>16.2.3.</w:t>
      </w:r>
      <w:r w:rsidR="00D56D45">
        <w:t>2</w:t>
      </w:r>
      <w:r>
        <w:tab/>
        <w:t>Maintaining and Updating QSE Information</w:t>
      </w:r>
      <w:bookmarkEnd w:id="92"/>
      <w:bookmarkEnd w:id="93"/>
      <w:bookmarkEnd w:id="94"/>
      <w:bookmarkEnd w:id="95"/>
      <w:bookmarkEnd w:id="96"/>
      <w:bookmarkEnd w:id="97"/>
      <w:bookmarkEnd w:id="98"/>
      <w:r>
        <w:t xml:space="preserve"> </w:t>
      </w:r>
    </w:p>
    <w:p w14:paraId="20DE7DAF" w14:textId="77777777" w:rsidR="00FC1C5F" w:rsidRDefault="00853D39" w:rsidP="009F10FE">
      <w:pPr>
        <w:pStyle w:val="ListIntroduction"/>
        <w:ind w:left="720" w:hanging="720"/>
      </w:pPr>
      <w:r>
        <w:rPr>
          <w:lang w:val="en-US"/>
        </w:rPr>
        <w:t>(1)</w:t>
      </w:r>
      <w:r>
        <w:rPr>
          <w:lang w:val="en-US"/>
        </w:rPr>
        <w:tab/>
      </w:r>
      <w:r w:rsidR="00727E32">
        <w:t>Each QSE must timely update information the QSE provided to ERCOT in the application process, and a QSE must promptly respond to any reasonable request by ERCOT for updated information regarding the QSE or the information provided to ERCOT by the QSE, including:</w:t>
      </w:r>
    </w:p>
    <w:p w14:paraId="12885A2D" w14:textId="77777777" w:rsidR="00FC1C5F" w:rsidRDefault="00727E32">
      <w:pPr>
        <w:pStyle w:val="List"/>
      </w:pPr>
      <w:r>
        <w:t>(a)</w:t>
      </w:r>
      <w:r>
        <w:tab/>
        <w:t>The QSE’s addresses;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552F8" w14:paraId="6542E204" w14:textId="77777777" w:rsidTr="008552F8">
        <w:tc>
          <w:tcPr>
            <w:tcW w:w="9332" w:type="dxa"/>
            <w:shd w:val="pct12" w:color="auto" w:fill="auto"/>
          </w:tcPr>
          <w:p w14:paraId="2CE272C1" w14:textId="32AB20B6" w:rsidR="008552F8" w:rsidRDefault="008552F8" w:rsidP="008552F8">
            <w:pPr>
              <w:pStyle w:val="Instructions"/>
              <w:spacing w:before="120"/>
              <w:rPr>
                <w:iCs/>
              </w:rPr>
            </w:pPr>
            <w:r>
              <w:rPr>
                <w:iCs/>
              </w:rPr>
              <w:t>[NPRR1073</w:t>
            </w:r>
            <w:r w:rsidRPr="0002450E">
              <w:rPr>
                <w:iCs/>
              </w:rPr>
              <w:t xml:space="preserve">:  </w:t>
            </w:r>
            <w:r>
              <w:rPr>
                <w:iCs/>
              </w:rPr>
              <w:t xml:space="preserve">Insert item (b) below </w:t>
            </w:r>
            <w:r w:rsidRPr="0002450E">
              <w:rPr>
                <w:iCs/>
              </w:rPr>
              <w:t xml:space="preserve">upon </w:t>
            </w:r>
            <w:r>
              <w:rPr>
                <w:iCs/>
              </w:rPr>
              <w:t>staffing completion and renumber accordingly</w:t>
            </w:r>
            <w:r w:rsidRPr="0002450E">
              <w:rPr>
                <w:iCs/>
              </w:rPr>
              <w:t xml:space="preserve">:] </w:t>
            </w:r>
          </w:p>
          <w:p w14:paraId="2267054B" w14:textId="5CF90E81" w:rsidR="008552F8" w:rsidRPr="008552F8" w:rsidRDefault="008552F8" w:rsidP="008552F8">
            <w:pPr>
              <w:pStyle w:val="List"/>
            </w:pPr>
            <w:r>
              <w:t>(b)</w:t>
            </w:r>
            <w:r>
              <w:tab/>
              <w:t xml:space="preserve">A list of Principals, as defined in Section </w:t>
            </w:r>
            <w:r w:rsidRPr="00942972">
              <w:t>16.1.2</w:t>
            </w:r>
            <w:r>
              <w:t>,</w:t>
            </w:r>
            <w:r w:rsidRPr="00880886">
              <w:t xml:space="preserve"> Principal of a Market Participant</w:t>
            </w:r>
            <w:r>
              <w:t>;</w:t>
            </w:r>
          </w:p>
        </w:tc>
      </w:tr>
    </w:tbl>
    <w:p w14:paraId="13F81B49" w14:textId="6ED78300" w:rsidR="00FC1C5F" w:rsidRDefault="00727E32" w:rsidP="00C33516">
      <w:pPr>
        <w:pStyle w:val="List"/>
        <w:spacing w:before="240"/>
      </w:pPr>
      <w:r>
        <w:t>(b)</w:t>
      </w:r>
      <w:r>
        <w:tab/>
        <w:t>A list of Affiliates; and</w:t>
      </w:r>
    </w:p>
    <w:p w14:paraId="303B7612" w14:textId="77777777" w:rsidR="00FC1C5F" w:rsidRDefault="00727E32">
      <w:pPr>
        <w:pStyle w:val="List"/>
      </w:pPr>
      <w:r>
        <w:t>(c)</w:t>
      </w:r>
      <w:r>
        <w:tab/>
        <w:t xml:space="preserve">Designation of the QSE’s officers, directors, Authorized Representatives, Credit Contacts, and User Security Administrator </w:t>
      </w:r>
      <w:r w:rsidR="002B565A">
        <w:t xml:space="preserve">(USA) </w:t>
      </w:r>
      <w:r>
        <w:t xml:space="preserve">(all per the QSE application) including the addresses (if different), telephone and facsimile numbers, and e-mail addresses for those persons. </w:t>
      </w:r>
    </w:p>
    <w:p w14:paraId="742D4D01" w14:textId="77777777" w:rsidR="00FC1C5F" w:rsidRPr="00D63F95" w:rsidRDefault="00727E32">
      <w:pPr>
        <w:pStyle w:val="H4"/>
        <w:rPr>
          <w:b/>
        </w:rPr>
      </w:pPr>
      <w:bookmarkStart w:id="99" w:name="_Toc390438921"/>
      <w:bookmarkStart w:id="100" w:name="_Toc405897618"/>
      <w:bookmarkStart w:id="101" w:name="_Toc415055722"/>
      <w:bookmarkStart w:id="102" w:name="_Toc415055848"/>
      <w:bookmarkStart w:id="103" w:name="_Toc415055947"/>
      <w:bookmarkStart w:id="104" w:name="_Toc415056048"/>
      <w:bookmarkStart w:id="105" w:name="_Toc70591589"/>
      <w:r w:rsidRPr="00D63F95">
        <w:rPr>
          <w:b/>
        </w:rPr>
        <w:t>16.2.3.</w:t>
      </w:r>
      <w:r w:rsidR="00D56D45">
        <w:rPr>
          <w:b/>
        </w:rPr>
        <w:t>3</w:t>
      </w:r>
      <w:r w:rsidRPr="00D63F95">
        <w:rPr>
          <w:b/>
        </w:rPr>
        <w:tab/>
        <w:t>Qualified Scheduling Entity Service Termination</w:t>
      </w:r>
      <w:bookmarkEnd w:id="99"/>
      <w:bookmarkEnd w:id="100"/>
      <w:bookmarkEnd w:id="101"/>
      <w:bookmarkEnd w:id="102"/>
      <w:bookmarkEnd w:id="103"/>
      <w:bookmarkEnd w:id="104"/>
      <w:bookmarkEnd w:id="105"/>
    </w:p>
    <w:p w14:paraId="08F00F9C" w14:textId="77777777" w:rsidR="00FC1C5F" w:rsidRDefault="00727E32">
      <w:pPr>
        <w:pStyle w:val="BodyTextNumbered"/>
      </w:pPr>
      <w:r>
        <w:t>(1)</w:t>
      </w:r>
      <w:r>
        <w:tab/>
        <w:t xml:space="preserve">If a QSE intends to terminate representation of a </w:t>
      </w:r>
      <w:r w:rsidR="00D56D45">
        <w:t>Load Serving Entity (</w:t>
      </w:r>
      <w:r>
        <w:t>LSE</w:t>
      </w:r>
      <w:r w:rsidR="00D56D45">
        <w:t>)</w:t>
      </w:r>
      <w:r>
        <w:t xml:space="preserve"> or Resource (other than an LSE or Resource serving as its own QSE, in which case this Section does not apply), the QSE shall provide, no less than 12 Business Days before the specified effective termination date (“Termination Date”), written notice to ERCOT and the LSE or Resource.</w:t>
      </w:r>
    </w:p>
    <w:p w14:paraId="7C938B0A" w14:textId="77777777" w:rsidR="00FC1C5F" w:rsidRDefault="00727E32">
      <w:pPr>
        <w:pStyle w:val="BodyTextNumbered"/>
      </w:pPr>
      <w:r>
        <w:t>(2)</w:t>
      </w:r>
      <w:r>
        <w:tab/>
        <w:t xml:space="preserve">Effective at 2400 on the Termination Date specified by the QSE, the QSE may no longer provide QSE services for or represent the terminated LSE or Resource.  The QSE is responsible for settlement obligations that the QSE has incurred on behalf of the terminated LSE or Resource before the termination. The QSE must participate in Real-Time Operations through the Termination Date and provide updates pursuant to these Protocols for the Operating Day which is the Termination Date.  Notwithstanding the foregoing, if, before the Termination Date, the LSE/Resource: </w:t>
      </w:r>
    </w:p>
    <w:p w14:paraId="434A07C0" w14:textId="77777777" w:rsidR="00FC1C5F" w:rsidRDefault="00727E32">
      <w:pPr>
        <w:pStyle w:val="List"/>
      </w:pPr>
      <w:r>
        <w:t>(a)</w:t>
      </w:r>
      <w:r>
        <w:tab/>
        <w:t xml:space="preserve">Affiliates itself with a new QSE, or </w:t>
      </w:r>
    </w:p>
    <w:p w14:paraId="0A183A2D" w14:textId="77777777" w:rsidR="00FC1C5F" w:rsidRDefault="00727E32">
      <w:pPr>
        <w:pStyle w:val="List"/>
      </w:pPr>
      <w:r>
        <w:t>(</w:t>
      </w:r>
      <w:r>
        <w:rPr>
          <w:iCs/>
        </w:rPr>
        <w:t>b</w:t>
      </w:r>
      <w:r>
        <w:t>)</w:t>
      </w:r>
      <w:r>
        <w:tab/>
        <w:t>Fulfills ERCOT’s creditworthiness requirements in order to become an Emergency QSE,</w:t>
      </w:r>
    </w:p>
    <w:p w14:paraId="5E7C99A0" w14:textId="77777777" w:rsidR="00FC1C5F" w:rsidRDefault="00727E32">
      <w:pPr>
        <w:pStyle w:val="BodyTextNumbered"/>
        <w:ind w:firstLine="0"/>
      </w:pPr>
      <w:r>
        <w:t>the QSE that provided notice of the intent to terminate representation of the LSE/ Resource will no longer be responsible for the terminated LSE/Resource upon the effective date of the new QSE’s representation of that LSE/Resource, or the LSE/Resource qualifying as an Emergency QSE.</w:t>
      </w:r>
    </w:p>
    <w:p w14:paraId="6D1E81B0" w14:textId="77777777" w:rsidR="00FC1C5F" w:rsidRDefault="00727E32">
      <w:pPr>
        <w:pStyle w:val="BodyTextNumbered"/>
      </w:pPr>
      <w:r>
        <w:lastRenderedPageBreak/>
        <w:t>(3)</w:t>
      </w:r>
      <w:r>
        <w:tab/>
        <w:t>Within two Business Days of notice of a QSE’s intent to terminate representation of an LSE, ERCOT shall notify the LSE of the level of credit the LSE must provide, if it becomes an Emergency QSE, and the date by which it must post the required collateral.</w:t>
      </w:r>
    </w:p>
    <w:p w14:paraId="466232BA" w14:textId="77777777" w:rsidR="00FC1C5F" w:rsidRDefault="00727E32">
      <w:pPr>
        <w:pStyle w:val="H3"/>
      </w:pPr>
      <w:bookmarkStart w:id="106" w:name="_Toc71369182"/>
      <w:bookmarkStart w:id="107" w:name="_Toc71539398"/>
      <w:bookmarkStart w:id="108" w:name="_Toc390438922"/>
      <w:bookmarkStart w:id="109" w:name="_Toc405897619"/>
      <w:bookmarkStart w:id="110" w:name="_Toc415055723"/>
      <w:bookmarkStart w:id="111" w:name="_Toc415055849"/>
      <w:bookmarkStart w:id="112" w:name="_Toc415055948"/>
      <w:bookmarkStart w:id="113" w:name="_Toc415056049"/>
      <w:bookmarkStart w:id="114" w:name="_Toc70591590"/>
      <w:r>
        <w:t>16.2.4</w:t>
      </w:r>
      <w:r>
        <w:tab/>
        <w:t>Posting of Qualified Scheduling Entity List</w:t>
      </w:r>
      <w:bookmarkEnd w:id="106"/>
      <w:bookmarkEnd w:id="107"/>
      <w:bookmarkEnd w:id="108"/>
      <w:bookmarkEnd w:id="109"/>
      <w:bookmarkEnd w:id="110"/>
      <w:bookmarkEnd w:id="111"/>
      <w:bookmarkEnd w:id="112"/>
      <w:bookmarkEnd w:id="113"/>
      <w:bookmarkEnd w:id="114"/>
    </w:p>
    <w:p w14:paraId="4040D1BA" w14:textId="6F49DA02" w:rsidR="00FC1C5F" w:rsidRDefault="00853D39" w:rsidP="009F10FE">
      <w:pPr>
        <w:pStyle w:val="BodyText"/>
        <w:ind w:left="720" w:hanging="720"/>
      </w:pPr>
      <w:r>
        <w:t>(1)</w:t>
      </w:r>
      <w:r>
        <w:tab/>
      </w:r>
      <w:r w:rsidR="00727E32">
        <w:t xml:space="preserve">ERCOT shall post on the </w:t>
      </w:r>
      <w:r w:rsidR="00F13002">
        <w:t>ERCOT website</w:t>
      </w:r>
      <w:r w:rsidR="00727E32">
        <w:t xml:space="preserve"> and maintain a current list of all QSEs.  ERCOT shall include with that posting a cautionary statement that inclusion on that list does not necessarily mean that a QSE is entitled to provide any service to a third party, nor does it obligate a QSE to provide any service to a third party.</w:t>
      </w:r>
    </w:p>
    <w:p w14:paraId="11BAA357" w14:textId="47F640C0" w:rsidR="00FC1C5F" w:rsidRDefault="00727E32">
      <w:pPr>
        <w:pStyle w:val="H3"/>
        <w:spacing w:after="120"/>
      </w:pPr>
      <w:bookmarkStart w:id="115" w:name="_Toc71369183"/>
      <w:bookmarkStart w:id="116" w:name="_Toc71539399"/>
      <w:bookmarkStart w:id="117" w:name="_Toc390438923"/>
      <w:bookmarkStart w:id="118" w:name="_Toc405897620"/>
      <w:bookmarkStart w:id="119" w:name="_Toc415055724"/>
      <w:bookmarkStart w:id="120" w:name="_Toc415055850"/>
      <w:bookmarkStart w:id="121" w:name="_Toc415055949"/>
      <w:bookmarkStart w:id="122" w:name="_Toc415056050"/>
      <w:bookmarkStart w:id="123" w:name="_Toc70591591"/>
      <w:r>
        <w:t>16.2.5</w:t>
      </w:r>
      <w:r>
        <w:tab/>
        <w:t xml:space="preserve">Suspended </w:t>
      </w:r>
      <w:r w:rsidR="00296FC2">
        <w:t xml:space="preserve">or Terminated </w:t>
      </w:r>
      <w:r>
        <w:t>Qualified Scheduling Entity</w:t>
      </w:r>
      <w:bookmarkEnd w:id="115"/>
      <w:bookmarkEnd w:id="116"/>
      <w:r>
        <w:t xml:space="preserve"> – Notification to LSEs and Resource Entities Represented</w:t>
      </w:r>
      <w:bookmarkEnd w:id="117"/>
      <w:bookmarkEnd w:id="118"/>
      <w:bookmarkEnd w:id="119"/>
      <w:bookmarkEnd w:id="120"/>
      <w:bookmarkEnd w:id="121"/>
      <w:bookmarkEnd w:id="122"/>
      <w:bookmarkEnd w:id="123"/>
    </w:p>
    <w:p w14:paraId="4019011E" w14:textId="4ADC9AEC" w:rsidR="00FC1C5F" w:rsidRDefault="00727E32">
      <w:pPr>
        <w:pStyle w:val="BodyText"/>
        <w:ind w:left="720" w:hanging="720"/>
      </w:pPr>
      <w:r>
        <w:t>(1)</w:t>
      </w:r>
      <w:r>
        <w:tab/>
        <w:t xml:space="preserve">If ERCOT suspends </w:t>
      </w:r>
      <w:r w:rsidR="00296FC2">
        <w:t>a</w:t>
      </w:r>
      <w:r>
        <w:t xml:space="preserve"> QSE or terminates the </w:t>
      </w:r>
      <w:r w:rsidR="00296FC2">
        <w:t xml:space="preserve">QSE’s </w:t>
      </w:r>
      <w:r>
        <w:t>Standard Form Market Participant Agreement</w:t>
      </w:r>
      <w:r w:rsidR="00296FC2">
        <w:t xml:space="preserve"> for Default</w:t>
      </w:r>
      <w:r>
        <w:t xml:space="preserve">, ERCOT shall notify the affected LSEs and Resource Entities that the QSE has been suspended </w:t>
      </w:r>
      <w:r w:rsidR="00296FC2">
        <w:t xml:space="preserve">or terminated </w:t>
      </w:r>
      <w:r>
        <w:t>and the effective date of such suspension</w:t>
      </w:r>
      <w:r w:rsidR="00296FC2">
        <w:t xml:space="preserve"> or termination</w:t>
      </w:r>
      <w:r>
        <w:t xml:space="preserve">.  </w:t>
      </w:r>
    </w:p>
    <w:p w14:paraId="1A4CC4CD" w14:textId="2D928B44" w:rsidR="00FC1C5F" w:rsidRDefault="00727E32">
      <w:pPr>
        <w:pStyle w:val="BodyText"/>
        <w:ind w:left="720" w:hanging="720"/>
      </w:pPr>
      <w:r>
        <w:t>(2)</w:t>
      </w:r>
      <w:r>
        <w:tab/>
        <w:t xml:space="preserve">If an LSE or Resource Entity represented by </w:t>
      </w:r>
      <w:r w:rsidR="00296FC2">
        <w:t>a terminated</w:t>
      </w:r>
      <w:r>
        <w:t xml:space="preserve"> or suspended QSE is the same Entity as the </w:t>
      </w:r>
      <w:r w:rsidR="00296FC2">
        <w:t>terminated</w:t>
      </w:r>
      <w:r>
        <w:t xml:space="preserve"> or suspended QSE, the provisions of Section 16.11.6.1.6, Revocation of a Market Participant’s Rights and Termination of Agreements, shall apply to that LSE or Resource Entity, and that LSE or Resource Entity shall not be entitled to become an Emergency QSE.</w:t>
      </w:r>
    </w:p>
    <w:p w14:paraId="0E26AB57" w14:textId="77777777" w:rsidR="00FC1C5F" w:rsidRDefault="00727E32">
      <w:pPr>
        <w:pStyle w:val="H3"/>
        <w:spacing w:after="120"/>
      </w:pPr>
      <w:bookmarkStart w:id="124" w:name="_Toc71369184"/>
      <w:bookmarkStart w:id="125" w:name="_Toc71539400"/>
      <w:bookmarkStart w:id="126" w:name="_Toc390438924"/>
      <w:bookmarkStart w:id="127" w:name="_Toc405897621"/>
      <w:bookmarkStart w:id="128" w:name="_Toc415055725"/>
      <w:bookmarkStart w:id="129" w:name="_Toc415055851"/>
      <w:bookmarkStart w:id="130" w:name="_Toc415055950"/>
      <w:bookmarkStart w:id="131" w:name="_Toc415056051"/>
      <w:bookmarkStart w:id="132" w:name="_Toc70591592"/>
      <w:r>
        <w:t>16.2.6</w:t>
      </w:r>
      <w:r>
        <w:tab/>
        <w:t>Emergency Qualified Scheduling Entity</w:t>
      </w:r>
      <w:bookmarkEnd w:id="124"/>
      <w:bookmarkEnd w:id="125"/>
      <w:bookmarkEnd w:id="126"/>
      <w:bookmarkEnd w:id="127"/>
      <w:bookmarkEnd w:id="128"/>
      <w:bookmarkEnd w:id="129"/>
      <w:bookmarkEnd w:id="130"/>
      <w:bookmarkEnd w:id="131"/>
      <w:bookmarkEnd w:id="132"/>
    </w:p>
    <w:p w14:paraId="7C87EB4A" w14:textId="77777777" w:rsidR="00FC1C5F" w:rsidRPr="00D63F95" w:rsidRDefault="00727E32">
      <w:pPr>
        <w:pStyle w:val="H4"/>
        <w:spacing w:after="120"/>
        <w:rPr>
          <w:b/>
        </w:rPr>
      </w:pPr>
      <w:bookmarkStart w:id="133" w:name="_Toc390438925"/>
      <w:bookmarkStart w:id="134" w:name="_Toc405897622"/>
      <w:bookmarkStart w:id="135" w:name="_Toc415055726"/>
      <w:bookmarkStart w:id="136" w:name="_Toc415055852"/>
      <w:bookmarkStart w:id="137" w:name="_Toc415055951"/>
      <w:bookmarkStart w:id="138" w:name="_Toc415056052"/>
      <w:bookmarkStart w:id="139" w:name="_Toc70591593"/>
      <w:r w:rsidRPr="00D63F95">
        <w:rPr>
          <w:b/>
        </w:rPr>
        <w:t>16.2.6.1</w:t>
      </w:r>
      <w:r w:rsidRPr="00D63F95">
        <w:rPr>
          <w:b/>
        </w:rPr>
        <w:tab/>
        <w:t>Designation as an Emergency Qualified Scheduling Entity or Virtual Qualified Scheduling Entity</w:t>
      </w:r>
      <w:bookmarkEnd w:id="133"/>
      <w:bookmarkEnd w:id="134"/>
      <w:bookmarkEnd w:id="135"/>
      <w:bookmarkEnd w:id="136"/>
      <w:bookmarkEnd w:id="137"/>
      <w:bookmarkEnd w:id="138"/>
      <w:bookmarkEnd w:id="139"/>
    </w:p>
    <w:p w14:paraId="055A690D" w14:textId="0B59EECB" w:rsidR="00FC1C5F" w:rsidRDefault="00727E32">
      <w:pPr>
        <w:pStyle w:val="BodyText"/>
        <w:ind w:left="720" w:hanging="720"/>
      </w:pPr>
      <w:r>
        <w:t>(1)</w:t>
      </w:r>
      <w:r>
        <w:tab/>
        <w:t xml:space="preserve">A “Virtual QSE” is defined as an LSE or Resource Entity </w:t>
      </w:r>
      <w:r w:rsidR="00296FC2">
        <w:t>that has not qualified and been designated as an Emergency QSE, but has been designated by ERCOT to temporarily perform the responsibilities of a QSE</w:t>
      </w:r>
      <w:r>
        <w:t xml:space="preserve">. </w:t>
      </w:r>
    </w:p>
    <w:p w14:paraId="787CD23D" w14:textId="4013116A" w:rsidR="00FC1C5F" w:rsidRDefault="00727E32">
      <w:pPr>
        <w:pStyle w:val="BodyText"/>
        <w:ind w:left="720" w:hanging="720"/>
      </w:pPr>
      <w:r>
        <w:t>(2)</w:t>
      </w:r>
      <w:r>
        <w:tab/>
        <w:t>If a QSE has given Notice of its intent to terminate its relationship with an LSE or Resource Entity, that LSE or Resource Entity, must, by noon on the fourth Business Day after the termination notice date, either</w:t>
      </w:r>
      <w:r w:rsidR="00296FC2">
        <w:t>:</w:t>
      </w:r>
    </w:p>
    <w:p w14:paraId="679A690A" w14:textId="77777777" w:rsidR="00FC1C5F" w:rsidRDefault="00727E32">
      <w:pPr>
        <w:pStyle w:val="BodyTextNumbered"/>
        <w:ind w:left="1440"/>
      </w:pPr>
      <w:r>
        <w:t xml:space="preserve">(a) </w:t>
      </w:r>
      <w:r>
        <w:tab/>
        <w:t>Designate a new QSE with such relationship to take effect on the Termination Date, or earlier if allowed by ERCOT; or</w:t>
      </w:r>
    </w:p>
    <w:p w14:paraId="29BCA0A4" w14:textId="0A803EA3" w:rsidR="00FC1C5F" w:rsidRDefault="00727E32">
      <w:pPr>
        <w:pStyle w:val="BodyTextNumbered"/>
        <w:ind w:left="1440"/>
      </w:pPr>
      <w:r>
        <w:t xml:space="preserve">(b) </w:t>
      </w:r>
      <w:r>
        <w:tab/>
        <w:t>Satisfy all necessary creditworthiness requirements for QSEs as described in Section 16.2, Registration and Qualification of Qualified Scheduling Entities</w:t>
      </w:r>
      <w:r w:rsidR="00296FC2">
        <w:t>, and operate as an Emergency QSE as described below</w:t>
      </w:r>
      <w:r>
        <w:t xml:space="preserve">.  </w:t>
      </w:r>
    </w:p>
    <w:p w14:paraId="446B7EA8" w14:textId="29422152" w:rsidR="00FC1C5F" w:rsidRDefault="00727E32">
      <w:pPr>
        <w:pStyle w:val="List2"/>
        <w:ind w:left="720"/>
      </w:pPr>
      <w:r>
        <w:lastRenderedPageBreak/>
        <w:t>(3)</w:t>
      </w:r>
      <w:r>
        <w:tab/>
        <w:t xml:space="preserve">If ERCOT has given Notice of an LSE’s or Resource Entity’s QSE’s </w:t>
      </w:r>
      <w:r w:rsidR="00296FC2">
        <w:t xml:space="preserve">termination or </w:t>
      </w:r>
      <w:r>
        <w:t>suspension, that LSE or Resource Entity will be designated as a Virtual QSE for up to two Bank Business Days, during which time it must either</w:t>
      </w:r>
      <w:r w:rsidR="00296FC2">
        <w:t>:</w:t>
      </w:r>
      <w:r>
        <w:t xml:space="preserve"> </w:t>
      </w:r>
    </w:p>
    <w:p w14:paraId="6AE6CD05" w14:textId="77777777" w:rsidR="00FC1C5F" w:rsidRDefault="00727E32">
      <w:pPr>
        <w:pStyle w:val="List2"/>
        <w:ind w:left="0" w:firstLine="0"/>
      </w:pPr>
      <w:r>
        <w:tab/>
        <w:t xml:space="preserve">(a) </w:t>
      </w:r>
      <w:r>
        <w:tab/>
        <w:t>Designate and begin operations with a new QSE; or</w:t>
      </w:r>
    </w:p>
    <w:p w14:paraId="3354186D" w14:textId="767712F9" w:rsidR="00FC1C5F" w:rsidRDefault="00727E32">
      <w:pPr>
        <w:pStyle w:val="BodyTextNumbered"/>
        <w:ind w:left="1440"/>
      </w:pPr>
      <w:r>
        <w:t xml:space="preserve">(b) </w:t>
      </w:r>
      <w:r>
        <w:tab/>
        <w:t>Satisfy all necessary creditworthiness requirements for QSEs as described in Section 16.2, and operate as an Emergency QSE as described below.</w:t>
      </w:r>
      <w:r w:rsidR="00296FC2" w:rsidRPr="00296FC2">
        <w:t xml:space="preserve"> </w:t>
      </w:r>
      <w:r w:rsidR="00296FC2">
        <w:t xml:space="preserve"> As provided in paragraph (2) of Section 16.2.5, Suspended or Terminated</w:t>
      </w:r>
      <w:r w:rsidR="00296FC2" w:rsidRPr="00220D12">
        <w:t xml:space="preserve"> Qualified Scheduling Entity – Notification to LSEs and Resource Entities Represented</w:t>
      </w:r>
      <w:r w:rsidR="00296FC2">
        <w:t>, this option does not apply to an LSE or Resource Entity represented by a terminated or suspended QSE that is the same Entity as the terminated or suspended QSE.</w:t>
      </w:r>
    </w:p>
    <w:p w14:paraId="3C39DEBF" w14:textId="05AC6A83" w:rsidR="00FC1C5F" w:rsidRDefault="00727E32">
      <w:pPr>
        <w:pStyle w:val="BodyTextNumbered"/>
      </w:pPr>
      <w:r>
        <w:t>(4)</w:t>
      </w:r>
      <w:r>
        <w:tab/>
        <w:t xml:space="preserve">If an LSE or Resource Entity meets the creditworthiness requirements, the LSE or Resource Entity may be designated as an Emergency QSE </w:t>
      </w:r>
      <w:r w:rsidR="00296FC2">
        <w:t xml:space="preserve">except as provided in paragraph (2) of Section 16.2.5 </w:t>
      </w:r>
      <w:r>
        <w:t xml:space="preserve">and may, upon the Termination Date, be issued </w:t>
      </w:r>
      <w:r w:rsidR="00296FC2">
        <w:t>D</w:t>
      </w:r>
      <w:r>
        <w:t xml:space="preserve">igital </w:t>
      </w:r>
      <w:r w:rsidR="00296FC2">
        <w:t>C</w:t>
      </w:r>
      <w:r>
        <w:t xml:space="preserve">ertificates and given access to the </w:t>
      </w:r>
      <w:r w:rsidR="00F13002">
        <w:t>Market Information System (</w:t>
      </w:r>
      <w:r>
        <w:t>MIS</w:t>
      </w:r>
      <w:r w:rsidR="00F13002">
        <w:t>)</w:t>
      </w:r>
      <w:r>
        <w:t xml:space="preserve"> as determined by ERCOT.</w:t>
      </w:r>
    </w:p>
    <w:p w14:paraId="1323145D" w14:textId="376650D4" w:rsidR="00FC1C5F" w:rsidRDefault="00727E32" w:rsidP="00FC1E00">
      <w:pPr>
        <w:pStyle w:val="BodyTextNumbered"/>
      </w:pPr>
      <w:r>
        <w:t>(5)</w:t>
      </w:r>
      <w:r>
        <w:tab/>
        <w:t xml:space="preserve">If the LSE fails to meet the requirements of one of the above options in the timeframe set forth above, </w:t>
      </w:r>
      <w:r w:rsidR="00296FC2">
        <w:t xml:space="preserve">it shall constitute a QSE Affiliation Breach under the LSE’s Standard Form Market Participant Agreement.  If the LSE fails to cure the QSE Affiliation Breach within the cure period set forth in the Standard Form Market Participant Agreement, and the LSE serves Load, </w:t>
      </w:r>
      <w:r>
        <w:t xml:space="preserve">ERCOT shall, after notice </w:t>
      </w:r>
      <w:r w:rsidR="00562B70">
        <w:t>as specified in Retail Market Guide Section 7.11, Transition Process</w:t>
      </w:r>
      <w:r>
        <w:t>, initiate</w:t>
      </w:r>
      <w:r w:rsidR="00CD1D2D">
        <w:t xml:space="preserve"> a Mass Transition of the LSE’s Electronic Service Identifiers (</w:t>
      </w:r>
      <w:r>
        <w:t>ESI IDs</w:t>
      </w:r>
      <w:r w:rsidR="00CD1D2D">
        <w:t>)</w:t>
      </w:r>
      <w:r>
        <w:t xml:space="preserve"> pursuant to Section 15.1.</w:t>
      </w:r>
      <w:r w:rsidR="00FC1E00">
        <w:t>3</w:t>
      </w:r>
      <w:r>
        <w:t xml:space="preserve">, </w:t>
      </w:r>
      <w:r w:rsidR="00CD1D2D">
        <w:t>Transition Process</w:t>
      </w:r>
      <w:r>
        <w:t>.</w:t>
      </w:r>
    </w:p>
    <w:p w14:paraId="43D0F87F" w14:textId="22F90D4F" w:rsidR="00FC1C5F" w:rsidRDefault="00727E32">
      <w:pPr>
        <w:pStyle w:val="BodyTextNumbered"/>
      </w:pPr>
      <w:r>
        <w:t>(6)</w:t>
      </w:r>
      <w:r>
        <w:tab/>
        <w:t>If a Resource Entity fails to meet the requirements of one of the options set forth in paragraph (</w:t>
      </w:r>
      <w:r w:rsidR="00296FC2">
        <w:t>2</w:t>
      </w:r>
      <w:r>
        <w:t>) or (</w:t>
      </w:r>
      <w:r w:rsidR="00296FC2">
        <w:t>3</w:t>
      </w:r>
      <w:r>
        <w:t xml:space="preserve">) above within the requisite timeframe, </w:t>
      </w:r>
      <w:r w:rsidR="00296FC2">
        <w:t xml:space="preserve">it shall constitute a QSE Affiliation Breach under the Resource Entity’s Standard Form Market Participant Agreement, provided that </w:t>
      </w:r>
      <w:r>
        <w:t>ERCOT may allow the Resource Entity additional time, as determined by ERCOT staff, to meet the requirements.</w:t>
      </w:r>
    </w:p>
    <w:p w14:paraId="42D9E944" w14:textId="234F70F7" w:rsidR="00FC1C5F" w:rsidRDefault="00727E32">
      <w:pPr>
        <w:pStyle w:val="BodyTextNumbered"/>
      </w:pPr>
      <w:r>
        <w:t>(7)</w:t>
      </w:r>
      <w:r>
        <w:tab/>
        <w:t xml:space="preserve">For any Operating Day in which an LSE or Resource Entity is not either represented by a QSE or qualified as an Emergency QSE, ERCOT may designate the LSE or Resource Entity as a Virtual QSE. </w:t>
      </w:r>
      <w:r w:rsidR="00826ED4">
        <w:t xml:space="preserve"> </w:t>
      </w:r>
      <w:r>
        <w:t xml:space="preserve">ERCOT may issue </w:t>
      </w:r>
      <w:r w:rsidR="00296FC2">
        <w:t>D</w:t>
      </w:r>
      <w:r>
        <w:t xml:space="preserve">igital </w:t>
      </w:r>
      <w:r w:rsidR="00296FC2">
        <w:t>C</w:t>
      </w:r>
      <w:r>
        <w:t>ertificates to the Virtual QSE for access to the capabilities of the MIS.  A Virtual QSE shall be liable for any and all charges associated with Initial, Final and True-Up Settlements as well as any Resettlements applying to dates during which the Virtual QSE represented ESI IDs or otherwise incurred charges pursuant to these Protocols, along with any and all costs incurred by ERCOT in collecting such amounts.</w:t>
      </w:r>
    </w:p>
    <w:p w14:paraId="3CD6BA55" w14:textId="7F3D5F88" w:rsidR="00FC1C5F" w:rsidRDefault="00727E32">
      <w:pPr>
        <w:pStyle w:val="BodyTextNumbered"/>
      </w:pPr>
      <w:r>
        <w:t>(8)</w:t>
      </w:r>
      <w:r>
        <w:tab/>
        <w:t xml:space="preserve">ERCOT shall maintain a referral list of qualified QSEs on the </w:t>
      </w:r>
      <w:r w:rsidR="00F13002">
        <w:t>ERCOT website</w:t>
      </w:r>
      <w:r>
        <w:t xml:space="preserve"> who request to be listed as providing QSE services on short notice. </w:t>
      </w:r>
      <w:r w:rsidR="00296FC2">
        <w:t xml:space="preserve"> </w:t>
      </w:r>
      <w:r>
        <w:t xml:space="preserve">The list shall include the QSE’s name, contact information and whether they are qualified to represent Load and/or Resources and/or provide Ancillary Services. </w:t>
      </w:r>
      <w:r w:rsidR="00296FC2">
        <w:t xml:space="preserve"> </w:t>
      </w:r>
      <w:r>
        <w:t xml:space="preserve">ERCOT shall not be obligated to verify the </w:t>
      </w:r>
      <w:r>
        <w:lastRenderedPageBreak/>
        <w:t>abilities of any QSE so listed.  ERCOT shall require all QSEs listed to confirm their inclusion on the referral list no later than the start of each calendar year.</w:t>
      </w:r>
    </w:p>
    <w:p w14:paraId="14B7268C" w14:textId="77777777" w:rsidR="00FC1C5F" w:rsidRPr="00D63F95" w:rsidRDefault="00727E32">
      <w:pPr>
        <w:pStyle w:val="H4"/>
        <w:rPr>
          <w:b/>
        </w:rPr>
      </w:pPr>
      <w:bookmarkStart w:id="140" w:name="_Toc390438926"/>
      <w:bookmarkStart w:id="141" w:name="_Toc405897623"/>
      <w:bookmarkStart w:id="142" w:name="_Toc415055727"/>
      <w:bookmarkStart w:id="143" w:name="_Toc415055853"/>
      <w:bookmarkStart w:id="144" w:name="_Toc415055952"/>
      <w:bookmarkStart w:id="145" w:name="_Toc415056053"/>
      <w:bookmarkStart w:id="146" w:name="_Toc70591594"/>
      <w:r w:rsidRPr="00D63F95">
        <w:rPr>
          <w:b/>
        </w:rPr>
        <w:t>16.2.6.2</w:t>
      </w:r>
      <w:r w:rsidRPr="00D63F95">
        <w:rPr>
          <w:b/>
        </w:rPr>
        <w:tab/>
        <w:t>Market Participation by an Emergency Qualified Scheduling Entity or a Virtual Qualified Scheduling Entity</w:t>
      </w:r>
      <w:bookmarkEnd w:id="140"/>
      <w:bookmarkEnd w:id="141"/>
      <w:bookmarkEnd w:id="142"/>
      <w:bookmarkEnd w:id="143"/>
      <w:bookmarkEnd w:id="144"/>
      <w:bookmarkEnd w:id="145"/>
      <w:bookmarkEnd w:id="146"/>
    </w:p>
    <w:p w14:paraId="7221E977" w14:textId="77777777" w:rsidR="00296FC2" w:rsidRDefault="00727E32">
      <w:pPr>
        <w:pStyle w:val="BodyTextNumbered"/>
      </w:pPr>
      <w:r>
        <w:t>(1)</w:t>
      </w:r>
      <w:r>
        <w:tab/>
        <w:t>An Emergency QSE or a Virtual QSE may only represent itself</w:t>
      </w:r>
      <w:r w:rsidR="00296FC2">
        <w:t>; it may not represent another legal Entity.</w:t>
      </w:r>
      <w:r>
        <w:t xml:space="preserve"> </w:t>
      </w:r>
    </w:p>
    <w:p w14:paraId="514E9044" w14:textId="39AD6A81" w:rsidR="00FC1C5F" w:rsidRDefault="00296FC2">
      <w:pPr>
        <w:pStyle w:val="BodyTextNumbered"/>
      </w:pPr>
      <w:r>
        <w:t>(2)</w:t>
      </w:r>
      <w:r>
        <w:tab/>
        <w:t>An Emergency QSE or a Virtual QSE that is also an LSE</w:t>
      </w:r>
      <w:r w:rsidR="00727E32">
        <w:t xml:space="preserve"> may only submit</w:t>
      </w:r>
      <w:r w:rsidRPr="00296FC2">
        <w:t xml:space="preserve"> </w:t>
      </w:r>
      <w:r>
        <w:t>the following transactions, and may do so only to the extent that the transactions are intended to serve the Load of the Emergency QSE’s or Virtual QSE’s Customers</w:t>
      </w:r>
      <w:r w:rsidR="00727E32">
        <w:t xml:space="preserve">: </w:t>
      </w:r>
    </w:p>
    <w:p w14:paraId="4E015E83" w14:textId="77777777" w:rsidR="00FC1C5F" w:rsidRDefault="00727E32">
      <w:pPr>
        <w:pStyle w:val="List"/>
      </w:pPr>
      <w:r>
        <w:t>(a)</w:t>
      </w:r>
      <w:r>
        <w:tab/>
        <w:t>Energy Trades in which the Emergency QSE or the Virtual QSE is the buyer;</w:t>
      </w:r>
    </w:p>
    <w:p w14:paraId="2593B151" w14:textId="77777777" w:rsidR="00FC1C5F" w:rsidRDefault="00727E32">
      <w:pPr>
        <w:pStyle w:val="List"/>
      </w:pPr>
      <w:r>
        <w:t>(b)</w:t>
      </w:r>
      <w:r>
        <w:tab/>
        <w:t>Capacity Trades in which the Emergency QSE or the Virtual QSE is the buyer;</w:t>
      </w:r>
    </w:p>
    <w:p w14:paraId="2E062F38" w14:textId="77777777" w:rsidR="00FC1C5F" w:rsidRDefault="00727E32">
      <w:pPr>
        <w:pStyle w:val="List"/>
      </w:pPr>
      <w:r>
        <w:t>(c)</w:t>
      </w:r>
      <w:r>
        <w:tab/>
        <w:t>Ancillary Service Trades in which the Emergency QSE or the Virtual QSE is the buyer; and</w:t>
      </w:r>
    </w:p>
    <w:p w14:paraId="3E4E3310" w14:textId="21D1E9AE" w:rsidR="00FC1C5F" w:rsidRDefault="00727E32" w:rsidP="00520F89">
      <w:pPr>
        <w:pStyle w:val="List"/>
        <w:ind w:left="0" w:firstLine="720"/>
      </w:pPr>
      <w:r>
        <w:t>(</w:t>
      </w:r>
      <w:r w:rsidR="00296FC2">
        <w:t>d</w:t>
      </w:r>
      <w:r>
        <w:t>)</w:t>
      </w:r>
      <w:r>
        <w:tab/>
        <w:t xml:space="preserve">DAM Energy Bids. </w:t>
      </w:r>
    </w:p>
    <w:p w14:paraId="5909BDBC" w14:textId="1634B85F" w:rsidR="00FC1C5F" w:rsidRDefault="00727E32">
      <w:pPr>
        <w:pStyle w:val="BodyTextNumbered"/>
      </w:pPr>
      <w:r>
        <w:t>(3)</w:t>
      </w:r>
      <w:r>
        <w:tab/>
        <w:t xml:space="preserve">An Emergency QSE or a Virtual QSE </w:t>
      </w:r>
      <w:r w:rsidR="00296FC2">
        <w:t>that is also</w:t>
      </w:r>
      <w:r>
        <w:t xml:space="preserve"> a Resource Entity may </w:t>
      </w:r>
      <w:r w:rsidR="00296FC2">
        <w:t xml:space="preserve">only </w:t>
      </w:r>
      <w:r>
        <w:t xml:space="preserve">submit transactions </w:t>
      </w:r>
      <w:r w:rsidR="00296FC2">
        <w:t>that</w:t>
      </w:r>
      <w:r>
        <w:t xml:space="preserve"> are </w:t>
      </w:r>
      <w:r w:rsidR="00296FC2">
        <w:t xml:space="preserve">directly attributable to and </w:t>
      </w:r>
      <w:r>
        <w:t>wholly provided by the Resource Entity’s Resource(s).</w:t>
      </w:r>
    </w:p>
    <w:p w14:paraId="65C0B5BA" w14:textId="77777777" w:rsidR="00FC1C5F" w:rsidRPr="00D63F95" w:rsidRDefault="00727E32">
      <w:pPr>
        <w:pStyle w:val="H4"/>
        <w:rPr>
          <w:b/>
        </w:rPr>
      </w:pPr>
      <w:bookmarkStart w:id="147" w:name="_Toc390438927"/>
      <w:bookmarkStart w:id="148" w:name="_Toc405897624"/>
      <w:bookmarkStart w:id="149" w:name="_Toc415055728"/>
      <w:bookmarkStart w:id="150" w:name="_Toc415055854"/>
      <w:bookmarkStart w:id="151" w:name="_Toc415055953"/>
      <w:bookmarkStart w:id="152" w:name="_Toc415056054"/>
      <w:bookmarkStart w:id="153" w:name="_Toc70591595"/>
      <w:r w:rsidRPr="00D63F95">
        <w:rPr>
          <w:b/>
        </w:rPr>
        <w:t>16.2.6.3</w:t>
      </w:r>
      <w:r w:rsidRPr="00D63F95">
        <w:rPr>
          <w:b/>
        </w:rPr>
        <w:tab/>
        <w:t>Requirement to Obtain New Qualified Scheduling Entity or Qualified Scheduling Entity Qualification</w:t>
      </w:r>
      <w:bookmarkEnd w:id="147"/>
      <w:bookmarkEnd w:id="148"/>
      <w:bookmarkEnd w:id="149"/>
      <w:bookmarkEnd w:id="150"/>
      <w:bookmarkEnd w:id="151"/>
      <w:bookmarkEnd w:id="152"/>
      <w:bookmarkEnd w:id="153"/>
    </w:p>
    <w:p w14:paraId="2D089802" w14:textId="77777777" w:rsidR="00FC1C5F" w:rsidRDefault="00727E32">
      <w:pPr>
        <w:pStyle w:val="BodyText"/>
        <w:ind w:left="720" w:hanging="720"/>
      </w:pPr>
      <w:r>
        <w:t>(1)</w:t>
      </w:r>
      <w:r>
        <w:tab/>
        <w:t xml:space="preserve">Within seven Business Days after receiving designation as an Emergency QSE, an Emergency QSE must either: </w:t>
      </w:r>
    </w:p>
    <w:p w14:paraId="3DBC4CBC" w14:textId="77777777" w:rsidR="00FC1C5F" w:rsidRDefault="00727E32">
      <w:pPr>
        <w:pStyle w:val="BodyText"/>
        <w:ind w:left="1440" w:hanging="720"/>
      </w:pPr>
      <w:r>
        <w:t>(a)</w:t>
      </w:r>
      <w:r>
        <w:tab/>
        <w:t>Designate a QSE that will represent the LSE or Resource Entity to ERCOT</w:t>
      </w:r>
      <w:r w:rsidR="00CD1D2D">
        <w:t>;</w:t>
      </w:r>
      <w:r>
        <w:t xml:space="preserve"> or </w:t>
      </w:r>
    </w:p>
    <w:p w14:paraId="7BD89120" w14:textId="77777777" w:rsidR="00FC1C5F" w:rsidRDefault="00727E32">
      <w:pPr>
        <w:pStyle w:val="BodyText"/>
        <w:ind w:left="1440" w:hanging="720"/>
      </w:pPr>
      <w:r>
        <w:t>(b)</w:t>
      </w:r>
      <w:r>
        <w:tab/>
        <w:t xml:space="preserve">Fulfill all QSE registration and qualification requirements.  After completing the requirements in item (b), ERCOT may redesignate the Emergency QSE as a QSE.  </w:t>
      </w:r>
    </w:p>
    <w:p w14:paraId="3E4467BE" w14:textId="77777777" w:rsidR="00FC1C5F" w:rsidRDefault="00727E32">
      <w:pPr>
        <w:pStyle w:val="BodyText"/>
        <w:ind w:left="720" w:hanging="720"/>
      </w:pPr>
      <w:r>
        <w:t>(2)</w:t>
      </w:r>
      <w:r>
        <w:tab/>
        <w:t xml:space="preserve">If an Emergency QSE that is an LSE fails to meet at least one of the requirements listed above within the allotted time, then ERCOT shall, after notice </w:t>
      </w:r>
      <w:r w:rsidR="00562B70">
        <w:t>as specified in Retail Market Guide Section 7.11</w:t>
      </w:r>
      <w:r w:rsidR="00CD1D2D">
        <w:t>, Transition Process</w:t>
      </w:r>
      <w:r>
        <w:t>, initiate a Mass Transition of the LSE’s ESI IDs pursuant to Section 15.1.</w:t>
      </w:r>
      <w:r w:rsidR="00FC1E00">
        <w:t>3</w:t>
      </w:r>
      <w:r>
        <w:t xml:space="preserve">, </w:t>
      </w:r>
      <w:r w:rsidR="00CD1D2D">
        <w:t>Transition Process</w:t>
      </w:r>
      <w:r>
        <w:t>.  If an Emergency QSE that is a Resource Entity fails to meet at least one of the requirements listed above within the allotted time, ERCOT may allow the Resource Entity additional time, as determined by ERCOT staff, to meet the requirements.</w:t>
      </w:r>
      <w:r>
        <w:rPr>
          <w:i/>
        </w:rPr>
        <w:t xml:space="preserve"> </w:t>
      </w:r>
    </w:p>
    <w:p w14:paraId="614CCC3F" w14:textId="77777777" w:rsidR="00FC1C5F" w:rsidRDefault="00727E32">
      <w:pPr>
        <w:pStyle w:val="Heading3"/>
        <w:numPr>
          <w:ilvl w:val="0"/>
          <w:numId w:val="0"/>
        </w:numPr>
      </w:pPr>
      <w:bookmarkStart w:id="154" w:name="_Toc390438928"/>
      <w:bookmarkStart w:id="155" w:name="_Toc405897625"/>
      <w:bookmarkStart w:id="156" w:name="_Toc415055729"/>
      <w:bookmarkStart w:id="157" w:name="_Toc415055855"/>
      <w:bookmarkStart w:id="158" w:name="_Toc415055954"/>
      <w:bookmarkStart w:id="159" w:name="_Toc415056055"/>
      <w:bookmarkStart w:id="160" w:name="_Toc70591596"/>
      <w:bookmarkStart w:id="161" w:name="_Toc71369185"/>
      <w:bookmarkStart w:id="162" w:name="_Toc71539401"/>
      <w:r>
        <w:lastRenderedPageBreak/>
        <w:t>16.2.7</w:t>
      </w:r>
      <w:r>
        <w:tab/>
        <w:t>Acceleration</w:t>
      </w:r>
      <w:bookmarkEnd w:id="154"/>
      <w:bookmarkEnd w:id="155"/>
      <w:bookmarkEnd w:id="156"/>
      <w:bookmarkEnd w:id="157"/>
      <w:bookmarkEnd w:id="158"/>
      <w:bookmarkEnd w:id="159"/>
      <w:bookmarkEnd w:id="160"/>
    </w:p>
    <w:p w14:paraId="5A448020" w14:textId="77777777" w:rsidR="00FC1C5F" w:rsidRDefault="00853D39" w:rsidP="009F10FE">
      <w:pPr>
        <w:pStyle w:val="BodyText"/>
        <w:ind w:left="720" w:hanging="720"/>
      </w:pPr>
      <w:r>
        <w:t>(1)</w:t>
      </w:r>
      <w:r>
        <w:tab/>
      </w:r>
      <w:r w:rsidR="00727E32">
        <w:t>Upon termination of a QSE’s rights as a QSE and the Standard Form Market Participant Agreement or any other Agreement(s) between ERCOT and the QSE, all sums owed to ERCOT are immediately accelerated and are immediately due and owing in full.  At that time, ERCOT may immediately draw upon any security or other collateral pledged to ERCOT and may offset or recoup all amounts due to ERCOT to satisfy those due and owing amounts.</w:t>
      </w:r>
    </w:p>
    <w:p w14:paraId="10F43367" w14:textId="77777777" w:rsidR="00FC1C5F" w:rsidRDefault="00727E32">
      <w:pPr>
        <w:pStyle w:val="H2"/>
      </w:pPr>
      <w:bookmarkStart w:id="163" w:name="_Toc390438929"/>
      <w:bookmarkStart w:id="164" w:name="_Toc405897626"/>
      <w:bookmarkStart w:id="165" w:name="_Toc415055730"/>
      <w:bookmarkStart w:id="166" w:name="_Toc415055856"/>
      <w:bookmarkStart w:id="167" w:name="_Toc415055955"/>
      <w:bookmarkStart w:id="168" w:name="_Toc415056056"/>
      <w:bookmarkStart w:id="169" w:name="_Toc70591597"/>
      <w:r>
        <w:t>16.3</w:t>
      </w:r>
      <w:r>
        <w:tab/>
        <w:t>Registration of Load Serving Entities</w:t>
      </w:r>
      <w:bookmarkEnd w:id="161"/>
      <w:bookmarkEnd w:id="162"/>
      <w:bookmarkEnd w:id="163"/>
      <w:bookmarkEnd w:id="164"/>
      <w:bookmarkEnd w:id="165"/>
      <w:bookmarkEnd w:id="166"/>
      <w:bookmarkEnd w:id="167"/>
      <w:bookmarkEnd w:id="168"/>
      <w:bookmarkEnd w:id="169"/>
    </w:p>
    <w:p w14:paraId="0364BFDA" w14:textId="77777777" w:rsidR="00FC1C5F" w:rsidRDefault="00727E32">
      <w:pPr>
        <w:pStyle w:val="BodyTextNumbered"/>
      </w:pPr>
      <w:r>
        <w:t>(1)</w:t>
      </w:r>
      <w:r>
        <w:tab/>
        <w:t>Load Serving Entities (LSEs) provide electric service to Customers and Wholesale Customers.  LSEs include Non-Opt</w:t>
      </w:r>
      <w:r w:rsidR="00C0339E">
        <w:t>-</w:t>
      </w:r>
      <w:r>
        <w:t>In Entities (NOIEs) that serve Load</w:t>
      </w:r>
      <w:r w:rsidR="008932A4">
        <w:t xml:space="preserve">, </w:t>
      </w:r>
      <w:r>
        <w:t>Competitive Retailers (CRs) (which includes Retail Electric Providers (REPs))</w:t>
      </w:r>
      <w:r w:rsidR="008932A4">
        <w:t>, and External Load Serving Entities (ELSEs)</w:t>
      </w:r>
      <w:r>
        <w:t>.  Each LSE must register with ERCOT.  To become registered as an LSE, an Entity must execute a Standard Form Market Participant Agreement (using the form in Section 22</w:t>
      </w:r>
      <w:r w:rsidR="007349BB">
        <w:t>, Attachment A, Standard Form Market Participant Agreement</w:t>
      </w:r>
      <w:r>
        <w:t>), designate LSE Authorized Representatives, contacts, and a User Security Administrator</w:t>
      </w:r>
      <w:r w:rsidR="007349BB">
        <w:t xml:space="preserve"> (USA)</w:t>
      </w:r>
      <w:r>
        <w:t xml:space="preserve"> (per </w:t>
      </w:r>
      <w:r w:rsidR="00B35DA1" w:rsidRPr="00B35DA1">
        <w:t>Section 23, Form B, Load Serving Entity (LSE) Application for Registration</w:t>
      </w:r>
      <w:r>
        <w:t xml:space="preserve">), and demonstrate to ERCOT’s reasonable satisfaction that it is capable of performing the functions of an LSE under these Protocols.   Additionally, a </w:t>
      </w:r>
      <w:smartTag w:uri="urn:schemas-microsoft-com:office:smarttags" w:element="stockticker">
        <w:r>
          <w:t>REP</w:t>
        </w:r>
      </w:smartTag>
      <w:r>
        <w:t xml:space="preserve"> must demonstrate certification by </w:t>
      </w:r>
      <w:r>
        <w:rPr>
          <w:smallCaps/>
          <w:szCs w:val="24"/>
        </w:rPr>
        <w:t>P.U.C. Subst. R</w:t>
      </w:r>
      <w:r>
        <w:t>. 25.107, Certification of Retail Electric Providers (REPs), and comply with the remaining requirements of this Section.</w:t>
      </w:r>
    </w:p>
    <w:p w14:paraId="4B20C1F8" w14:textId="77777777" w:rsidR="00FC1C5F" w:rsidRDefault="00727E32">
      <w:pPr>
        <w:pStyle w:val="BodyTextNumbered"/>
      </w:pPr>
      <w:r>
        <w:t xml:space="preserve">(2) </w:t>
      </w:r>
      <w:r>
        <w:tab/>
        <w:t>All CRs must participate in and successfully complete testing as described in Section</w:t>
      </w:r>
      <w:r w:rsidR="008932A4">
        <w:t xml:space="preserve"> </w:t>
      </w:r>
      <w:r w:rsidR="007349BB">
        <w:t xml:space="preserve">19.8, </w:t>
      </w:r>
      <w:r>
        <w:t>Retail Market Testing, prior to commencing operations with ERCOT.</w:t>
      </w:r>
    </w:p>
    <w:p w14:paraId="42BE34A4" w14:textId="77777777" w:rsidR="00FC1C5F" w:rsidRDefault="00727E32">
      <w:pPr>
        <w:pStyle w:val="BodyTextNumbered"/>
      </w:pPr>
      <w:r>
        <w:t>(3)</w:t>
      </w:r>
      <w:r>
        <w:tab/>
        <w:t xml:space="preserve">ERCOT may require that the Entity satisfactorily complete testing of interfaces between the Entity’s systems and relevant ERCOT systems.  </w:t>
      </w:r>
    </w:p>
    <w:p w14:paraId="15F6407C" w14:textId="72E7B712" w:rsidR="008932A4" w:rsidRPr="00E55B86" w:rsidRDefault="008932A4" w:rsidP="008932A4">
      <w:pPr>
        <w:spacing w:after="240"/>
        <w:ind w:left="720" w:hanging="720"/>
        <w:rPr>
          <w:iCs/>
        </w:rPr>
      </w:pPr>
      <w:r>
        <w:rPr>
          <w:iCs/>
        </w:rPr>
        <w:t>(4)</w:t>
      </w:r>
      <w:r>
        <w:rPr>
          <w:iCs/>
        </w:rPr>
        <w:tab/>
      </w:r>
      <w:r w:rsidRPr="003C5709">
        <w:rPr>
          <w:iCs/>
        </w:rPr>
        <w:t xml:space="preserve">An Entity that wishes to register as an ELSE shall select the ELSE status on the LSE application </w:t>
      </w:r>
      <w:r w:rsidR="00B35DA1" w:rsidRPr="00A35A89">
        <w:t>(</w:t>
      </w:r>
      <w:r w:rsidR="00B35DA1">
        <w:t>Section 23, Form B</w:t>
      </w:r>
      <w:r w:rsidR="00081A43">
        <w:t>, Load Serving Entity (LSE) Application for Registration</w:t>
      </w:r>
      <w:r w:rsidR="00B35DA1">
        <w:t xml:space="preserve">) </w:t>
      </w:r>
      <w:r w:rsidRPr="003C5709">
        <w:rPr>
          <w:iCs/>
        </w:rPr>
        <w:t>and other registration forms as designated by ERCOT.  An ELSE shall provide all informa</w:t>
      </w:r>
      <w:r w:rsidRPr="00376AC8">
        <w:rPr>
          <w:iCs/>
        </w:rPr>
        <w:t>tion sufficient to ju</w:t>
      </w:r>
      <w:r w:rsidRPr="00167B72">
        <w:rPr>
          <w:iCs/>
        </w:rPr>
        <w:t>stify its designation as an ELSE</w:t>
      </w:r>
      <w:r w:rsidRPr="00720C92">
        <w:rPr>
          <w:iCs/>
        </w:rPr>
        <w:t xml:space="preserve"> if so requested by ERCOT.</w:t>
      </w:r>
    </w:p>
    <w:p w14:paraId="2314A4C6" w14:textId="77777777" w:rsidR="008932A4" w:rsidRDefault="008932A4" w:rsidP="008932A4">
      <w:pPr>
        <w:pStyle w:val="BodyTextNumbered"/>
      </w:pPr>
      <w:r>
        <w:rPr>
          <w:iCs w:val="0"/>
        </w:rPr>
        <w:t>(5)</w:t>
      </w:r>
      <w:r>
        <w:rPr>
          <w:iCs w:val="0"/>
        </w:rPr>
        <w:tab/>
      </w:r>
      <w:r w:rsidRPr="003C5709">
        <w:rPr>
          <w:iCs w:val="0"/>
        </w:rPr>
        <w:t xml:space="preserve">An ELSE shall assign an </w:t>
      </w:r>
      <w:r>
        <w:t>Electric Service Identifier (</w:t>
      </w:r>
      <w:r w:rsidRPr="003C5709">
        <w:rPr>
          <w:iCs w:val="0"/>
        </w:rPr>
        <w:t>ESI ID</w:t>
      </w:r>
      <w:r>
        <w:rPr>
          <w:iCs w:val="0"/>
        </w:rPr>
        <w:t>)</w:t>
      </w:r>
      <w:r w:rsidRPr="003C5709">
        <w:rPr>
          <w:iCs w:val="0"/>
        </w:rPr>
        <w:t xml:space="preserve"> for each wholesale point of delivery as specified in these Protocols.  An ESI ID shall not be assigned to any individual Customer behind an ELSE wholesale point of delivery.</w:t>
      </w:r>
    </w:p>
    <w:p w14:paraId="6A01FD98" w14:textId="77777777" w:rsidR="00FC1C5F" w:rsidRDefault="00727E32" w:rsidP="00FC1C5F">
      <w:pPr>
        <w:pStyle w:val="Heading3"/>
        <w:numPr>
          <w:ilvl w:val="0"/>
          <w:numId w:val="0"/>
        </w:numPr>
      </w:pPr>
      <w:bookmarkStart w:id="170" w:name="_Toc390438930"/>
      <w:bookmarkStart w:id="171" w:name="_Toc405897627"/>
      <w:bookmarkStart w:id="172" w:name="_Toc415055731"/>
      <w:bookmarkStart w:id="173" w:name="_Toc415055857"/>
      <w:bookmarkStart w:id="174" w:name="_Toc415055956"/>
      <w:bookmarkStart w:id="175" w:name="_Toc415056057"/>
      <w:bookmarkStart w:id="176" w:name="_Toc70591598"/>
      <w:r>
        <w:t>16.3.1</w:t>
      </w:r>
      <w:r>
        <w:tab/>
        <w:t>Technical and Managerial Requirements for LSE Applicants</w:t>
      </w:r>
      <w:bookmarkEnd w:id="170"/>
      <w:bookmarkEnd w:id="171"/>
      <w:bookmarkEnd w:id="172"/>
      <w:bookmarkEnd w:id="173"/>
      <w:bookmarkEnd w:id="174"/>
      <w:bookmarkEnd w:id="175"/>
      <w:bookmarkEnd w:id="176"/>
    </w:p>
    <w:p w14:paraId="696A9CDD" w14:textId="77777777" w:rsidR="00FC1C5F" w:rsidRDefault="00853D39" w:rsidP="009F10FE">
      <w:pPr>
        <w:pStyle w:val="BodyText"/>
        <w:ind w:left="720" w:hanging="720"/>
      </w:pPr>
      <w:r>
        <w:t>(1)</w:t>
      </w:r>
      <w:r>
        <w:tab/>
      </w:r>
      <w:r w:rsidR="00727E32">
        <w:t>An LSE applicant must:</w:t>
      </w:r>
    </w:p>
    <w:p w14:paraId="3A10B2A9" w14:textId="77777777" w:rsidR="00FC1C5F" w:rsidRDefault="00727E32" w:rsidP="009F10FE">
      <w:pPr>
        <w:pStyle w:val="List"/>
      </w:pPr>
      <w:r>
        <w:lastRenderedPageBreak/>
        <w:t>(</w:t>
      </w:r>
      <w:r w:rsidR="00853D39">
        <w:t>a</w:t>
      </w:r>
      <w:r>
        <w:t>)</w:t>
      </w:r>
      <w:r>
        <w:tab/>
        <w:t>Be capable of complying with all policies, rules, guidelines, registration requirements and procedures established by these Protocols, ERCOT, or other Independent Organizations, if applicable;</w:t>
      </w:r>
    </w:p>
    <w:p w14:paraId="2DA2D836" w14:textId="77777777" w:rsidR="00FC1C5F" w:rsidRDefault="00727E32" w:rsidP="009F10FE">
      <w:pPr>
        <w:pStyle w:val="List"/>
      </w:pPr>
      <w:r>
        <w:t>(</w:t>
      </w:r>
      <w:r w:rsidR="00853D39">
        <w:t>b</w:t>
      </w:r>
      <w:r>
        <w:t>)</w:t>
      </w:r>
      <w:r>
        <w:tab/>
        <w:t>Be capable of purchasing  power from Entities registered with or by ERCOT or the Independent Organizations and capable of complying with its system rules; and,</w:t>
      </w:r>
    </w:p>
    <w:p w14:paraId="5B4D48C9" w14:textId="77777777" w:rsidR="00FC1C5F" w:rsidRDefault="00727E32" w:rsidP="009F10FE">
      <w:pPr>
        <w:pStyle w:val="List"/>
      </w:pPr>
      <w:r>
        <w:t>(</w:t>
      </w:r>
      <w:r w:rsidR="00853D39">
        <w:t>c</w:t>
      </w:r>
      <w:r>
        <w:t>)</w:t>
      </w:r>
      <w:r>
        <w:tab/>
        <w:t>Be capable of purchasing capacity and reserves, or other Ancillary Services, as may be required by ERCOT, or other Independent Organizations, to provide adequate electricity to all the applicant’s Customers.</w:t>
      </w:r>
    </w:p>
    <w:p w14:paraId="3EEE3790" w14:textId="77777777" w:rsidR="00FC1C5F" w:rsidRPr="00D63F95" w:rsidRDefault="00727E32">
      <w:pPr>
        <w:pStyle w:val="H4"/>
        <w:rPr>
          <w:b/>
        </w:rPr>
      </w:pPr>
      <w:bookmarkStart w:id="177" w:name="_Toc390438931"/>
      <w:bookmarkStart w:id="178" w:name="_Toc405897628"/>
      <w:bookmarkStart w:id="179" w:name="_Toc415055732"/>
      <w:bookmarkStart w:id="180" w:name="_Toc415055858"/>
      <w:bookmarkStart w:id="181" w:name="_Toc415055957"/>
      <w:bookmarkStart w:id="182" w:name="_Toc415056058"/>
      <w:bookmarkStart w:id="183" w:name="_Toc70591599"/>
      <w:r w:rsidRPr="00D63F95">
        <w:rPr>
          <w:b/>
        </w:rPr>
        <w:t>16.3.1.1</w:t>
      </w:r>
      <w:r w:rsidRPr="00D63F95">
        <w:rPr>
          <w:b/>
        </w:rPr>
        <w:tab/>
        <w:t>Designation of a Qualified Scheduling Entity</w:t>
      </w:r>
      <w:bookmarkEnd w:id="177"/>
      <w:bookmarkEnd w:id="178"/>
      <w:bookmarkEnd w:id="179"/>
      <w:bookmarkEnd w:id="180"/>
      <w:bookmarkEnd w:id="181"/>
      <w:bookmarkEnd w:id="182"/>
      <w:bookmarkEnd w:id="183"/>
    </w:p>
    <w:p w14:paraId="53D66268" w14:textId="77777777" w:rsidR="00FC1C5F" w:rsidRDefault="00727E32">
      <w:pPr>
        <w:pStyle w:val="BodyTextNumbered"/>
      </w:pPr>
      <w:r>
        <w:t>(1)</w:t>
      </w:r>
      <w:r>
        <w:tab/>
        <w:t xml:space="preserve">Each LSE applicant within the ERCOT Region shall designate the </w:t>
      </w:r>
      <w:r w:rsidR="00364DE6">
        <w:t>Qualified Scheduling Entity (</w:t>
      </w:r>
      <w:r>
        <w:t>QSE</w:t>
      </w:r>
      <w:r w:rsidR="00364DE6">
        <w:t>)</w:t>
      </w:r>
      <w:r>
        <w:t xml:space="preserve"> that will </w:t>
      </w:r>
      <w:r w:rsidR="000E3528">
        <w:t xml:space="preserve">perform QSE functions per these Protocols on behalf of the LSE.  </w:t>
      </w:r>
      <w:r>
        <w:t xml:space="preserve">Each applicant shall acknowledge that it bears sole responsibility for selecting and maintaining a QSE as its representative.  The applicant shall include a written statement from the designated QSE acknowledging that the QSE accepts responsibility for the applicant’s transactions </w:t>
      </w:r>
      <w:r w:rsidR="000E3528">
        <w:t>under</w:t>
      </w:r>
      <w:r>
        <w:t xml:space="preserve"> these Protocols</w:t>
      </w:r>
      <w:r w:rsidR="00B35DA1" w:rsidRPr="00B35DA1">
        <w:t xml:space="preserve"> (Section 23, Form B, Attachment A)</w:t>
      </w:r>
      <w:r>
        <w:t>.</w:t>
      </w:r>
      <w:r w:rsidR="000E3528">
        <w:t xml:space="preserve">  </w:t>
      </w:r>
      <w:r w:rsidR="000E3528" w:rsidRPr="00530E2D">
        <w:rPr>
          <w:szCs w:val="24"/>
        </w:rPr>
        <w:t xml:space="preserve">The acknowledgement of the LSE’s QSE designation must be approved by ERCOT prior to a CR’s enrollment of Customer ESI IDs or prior to NOIE </w:t>
      </w:r>
      <w:r w:rsidR="00364DE6">
        <w:rPr>
          <w:szCs w:val="24"/>
        </w:rPr>
        <w:t xml:space="preserve">or ELSE </w:t>
      </w:r>
      <w:r w:rsidR="000E3528" w:rsidRPr="00530E2D">
        <w:rPr>
          <w:szCs w:val="24"/>
        </w:rPr>
        <w:t>registration of a wholesale point of delivery.</w:t>
      </w:r>
    </w:p>
    <w:p w14:paraId="628A1A7A" w14:textId="77777777" w:rsidR="00FC1C5F" w:rsidRDefault="00727E32">
      <w:pPr>
        <w:pStyle w:val="BodyTextNumbered"/>
      </w:pPr>
      <w:r>
        <w:t>(</w:t>
      </w:r>
      <w:r w:rsidR="000E3528">
        <w:t>2</w:t>
      </w:r>
      <w:r>
        <w:t>)</w:t>
      </w:r>
      <w:r>
        <w:tab/>
        <w:t>If an LSE fails to maintain a QSE as its representative, the LSE may be designated as an Emergency QSE as provided in Section</w:t>
      </w:r>
      <w:r w:rsidR="000E3528">
        <w:t xml:space="preserve"> 16.2.6.1, </w:t>
      </w:r>
      <w:r w:rsidR="000E3528" w:rsidRPr="00530E2D">
        <w:rPr>
          <w:szCs w:val="24"/>
        </w:rPr>
        <w:t>Designation as an Emergency Qualified Scheduling Entity or Virtual Qualified Scheduling Entity</w:t>
      </w:r>
      <w:r>
        <w:t>.</w:t>
      </w:r>
    </w:p>
    <w:p w14:paraId="6726AD55" w14:textId="77777777" w:rsidR="00FC1C5F" w:rsidRDefault="00727E32">
      <w:pPr>
        <w:pStyle w:val="H3"/>
      </w:pPr>
      <w:bookmarkStart w:id="184" w:name="_Toc71369186"/>
      <w:bookmarkStart w:id="185" w:name="_Toc71539402"/>
      <w:bookmarkStart w:id="186" w:name="_Toc390438932"/>
      <w:bookmarkStart w:id="187" w:name="_Toc405897629"/>
      <w:bookmarkStart w:id="188" w:name="_Toc415055733"/>
      <w:bookmarkStart w:id="189" w:name="_Toc415055859"/>
      <w:bookmarkStart w:id="190" w:name="_Toc415055958"/>
      <w:bookmarkStart w:id="191" w:name="_Toc415056059"/>
      <w:bookmarkStart w:id="192" w:name="_Toc70591600"/>
      <w:r>
        <w:t>16.3.2</w:t>
      </w:r>
      <w:r>
        <w:tab/>
        <w:t>Registration Process for Load Serving Entities</w:t>
      </w:r>
      <w:bookmarkEnd w:id="184"/>
      <w:bookmarkEnd w:id="185"/>
      <w:bookmarkEnd w:id="186"/>
      <w:bookmarkEnd w:id="187"/>
      <w:bookmarkEnd w:id="188"/>
      <w:bookmarkEnd w:id="189"/>
      <w:bookmarkEnd w:id="190"/>
      <w:bookmarkEnd w:id="191"/>
      <w:bookmarkEnd w:id="192"/>
    </w:p>
    <w:p w14:paraId="51D48F1D" w14:textId="79637B27" w:rsidR="00FC1C5F" w:rsidRDefault="00727E32">
      <w:pPr>
        <w:pStyle w:val="BodyTextNumbered"/>
      </w:pPr>
      <w:r>
        <w:t>(1)</w:t>
      </w:r>
      <w:r>
        <w:tab/>
        <w:t>Any Entity providing electric service to Customers in ERCOT, or in Non-ERCOT portions of Texas in areas where Customer Choice is in effect, must submit to ERCOT a</w:t>
      </w:r>
      <w:r w:rsidR="00B35DA1">
        <w:t>n</w:t>
      </w:r>
      <w:r>
        <w:t xml:space="preserve"> LSE application</w:t>
      </w:r>
      <w:r w:rsidR="00B35DA1">
        <w:t xml:space="preserve"> (Section 23, Form B</w:t>
      </w:r>
      <w:r w:rsidR="00081A43" w:rsidRPr="00466F24">
        <w:t>, Load Serving Entity (LSE) Application for Registration</w:t>
      </w:r>
      <w:r>
        <w:t xml:space="preserve">).  ERCOT shall post on the </w:t>
      </w:r>
      <w:r w:rsidR="00F13002">
        <w:t>ERCOT website</w:t>
      </w:r>
      <w:r>
        <w:t xml:space="preserve"> the form in which LSE applications must be submitted, all materials that must be provided with the LSE application, and the fee schedule, if any, applicable to LSE applications.  </w:t>
      </w:r>
    </w:p>
    <w:p w14:paraId="62832154" w14:textId="78788605" w:rsidR="00FC1C5F" w:rsidRDefault="00727E32">
      <w:pPr>
        <w:pStyle w:val="BodyTextNumbered"/>
      </w:pPr>
      <w:r>
        <w:t>(2)</w:t>
      </w:r>
      <w:r>
        <w:tab/>
        <w:t xml:space="preserve">The LSE application must be attested to by a duly authorized officer or agent of the applicant.  The applicant shall promptly notify ERCOT of any material changes affecting a pending LSE application using the appropriate form posted on the </w:t>
      </w:r>
      <w:r w:rsidR="00F13002">
        <w:t>ERCOT website</w:t>
      </w:r>
      <w:r>
        <w:t xml:space="preserve">.  </w:t>
      </w:r>
    </w:p>
    <w:p w14:paraId="5BA26C87" w14:textId="77777777" w:rsidR="00FC1C5F" w:rsidRPr="00D63F95" w:rsidRDefault="00727E32">
      <w:pPr>
        <w:pStyle w:val="H4"/>
        <w:rPr>
          <w:b/>
        </w:rPr>
      </w:pPr>
      <w:bookmarkStart w:id="193" w:name="_Toc390438933"/>
      <w:bookmarkStart w:id="194" w:name="_Toc405897630"/>
      <w:bookmarkStart w:id="195" w:name="_Toc415055734"/>
      <w:bookmarkStart w:id="196" w:name="_Toc415055860"/>
      <w:bookmarkStart w:id="197" w:name="_Toc415055959"/>
      <w:bookmarkStart w:id="198" w:name="_Toc415056060"/>
      <w:bookmarkStart w:id="199" w:name="_Toc70591601"/>
      <w:r w:rsidRPr="00D63F95">
        <w:rPr>
          <w:b/>
        </w:rPr>
        <w:t>16.3.2.1</w:t>
      </w:r>
      <w:r w:rsidRPr="00D63F95">
        <w:rPr>
          <w:b/>
        </w:rPr>
        <w:tab/>
        <w:t>Notice of Receipt of Load Serving Entity Application</w:t>
      </w:r>
      <w:bookmarkEnd w:id="193"/>
      <w:bookmarkEnd w:id="194"/>
      <w:bookmarkEnd w:id="195"/>
      <w:bookmarkEnd w:id="196"/>
      <w:bookmarkEnd w:id="197"/>
      <w:bookmarkEnd w:id="198"/>
      <w:bookmarkEnd w:id="199"/>
    </w:p>
    <w:p w14:paraId="012A6F28" w14:textId="77777777" w:rsidR="00FC1C5F" w:rsidRDefault="00853D39" w:rsidP="009F10FE">
      <w:pPr>
        <w:pStyle w:val="BodyText"/>
        <w:ind w:left="720" w:hanging="720"/>
      </w:pPr>
      <w:r>
        <w:t>(1)</w:t>
      </w:r>
      <w:r>
        <w:tab/>
      </w:r>
      <w:r w:rsidR="00727E32">
        <w:t xml:space="preserve">Within three Business Days after receiving an LSE application, ERCOT shall issue the LSE applicant a written confirmation that ERCOT has received the LSE application.  </w:t>
      </w:r>
      <w:r w:rsidR="00727E32">
        <w:lastRenderedPageBreak/>
        <w:t>ERCOT shall return without review any LSE application that does not include the proper application fee.  The remainder of this Section does not apply to any LSE application returned for failure to include the proper application fee.</w:t>
      </w:r>
    </w:p>
    <w:p w14:paraId="53F70B86" w14:textId="77777777" w:rsidR="00FC1C5F" w:rsidRPr="00D63F95" w:rsidRDefault="00727E32">
      <w:pPr>
        <w:pStyle w:val="H4"/>
        <w:rPr>
          <w:b/>
        </w:rPr>
      </w:pPr>
      <w:bookmarkStart w:id="200" w:name="_Toc390438934"/>
      <w:bookmarkStart w:id="201" w:name="_Toc405897631"/>
      <w:bookmarkStart w:id="202" w:name="_Toc415055735"/>
      <w:bookmarkStart w:id="203" w:name="_Toc415055861"/>
      <w:bookmarkStart w:id="204" w:name="_Toc415055960"/>
      <w:bookmarkStart w:id="205" w:name="_Toc415056061"/>
      <w:bookmarkStart w:id="206" w:name="_Toc70591602"/>
      <w:r w:rsidRPr="00D63F95">
        <w:rPr>
          <w:b/>
        </w:rPr>
        <w:t>16.3.2.2</w:t>
      </w:r>
      <w:r w:rsidRPr="00D63F95">
        <w:rPr>
          <w:b/>
        </w:rPr>
        <w:tab/>
        <w:t>Incomplete Load Serving Entity Applications</w:t>
      </w:r>
      <w:bookmarkEnd w:id="200"/>
      <w:bookmarkEnd w:id="201"/>
      <w:bookmarkEnd w:id="202"/>
      <w:bookmarkEnd w:id="203"/>
      <w:bookmarkEnd w:id="204"/>
      <w:bookmarkEnd w:id="205"/>
      <w:bookmarkEnd w:id="206"/>
    </w:p>
    <w:p w14:paraId="47820426" w14:textId="77777777" w:rsidR="00FC1C5F" w:rsidRDefault="00727E32">
      <w:pPr>
        <w:pStyle w:val="BodyText"/>
        <w:ind w:left="720" w:hanging="720"/>
      </w:pPr>
      <w:r>
        <w:t>(1)</w:t>
      </w:r>
      <w:r>
        <w:tab/>
        <w:t>Not more than ten Business Days after receiving an LSE application, ERCOT shall notify the applicant in writing whether the application is complete.</w:t>
      </w:r>
    </w:p>
    <w:p w14:paraId="61E5FD65" w14:textId="77777777" w:rsidR="00FC1C5F" w:rsidRDefault="00727E32">
      <w:pPr>
        <w:pStyle w:val="BodyText"/>
        <w:ind w:left="720" w:hanging="720"/>
      </w:pPr>
      <w:r>
        <w:t>(2)</w:t>
      </w:r>
      <w:r>
        <w:tab/>
        <w:t>If ERCOT determines that an LSE application is not complete, ERCOT’s notice must explain the reasons for that determination and the additional information necessary to make the application complete.  The applicant has five Business Days from receiving ERCOT’s notice, or such longer period as ERCOT may allow, to provide the additional information set forth in ERCOT’s notice.  If the applicant timely responds to ERCOT’s notice with the required additional information, then the application is deemed complete on the date that ERCOT receives the applicant’s response.</w:t>
      </w:r>
    </w:p>
    <w:p w14:paraId="4F36F27E" w14:textId="77777777" w:rsidR="00FC1C5F" w:rsidRDefault="00727E32">
      <w:pPr>
        <w:pStyle w:val="BodyText"/>
        <w:ind w:left="720" w:hanging="720"/>
      </w:pPr>
      <w:r>
        <w:t>(3)</w:t>
      </w:r>
      <w:r>
        <w:tab/>
        <w:t>If the applicant does not timely respond to ERCOT’s Notice, then the application must be rejected, and ERCOT shall retain any application fee included with the application.</w:t>
      </w:r>
    </w:p>
    <w:p w14:paraId="0A01ADB5" w14:textId="77777777" w:rsidR="00FC1C5F" w:rsidRPr="00D63F95" w:rsidRDefault="00727E32">
      <w:pPr>
        <w:pStyle w:val="H4"/>
        <w:rPr>
          <w:b/>
        </w:rPr>
      </w:pPr>
      <w:bookmarkStart w:id="207" w:name="_Toc390438935"/>
      <w:bookmarkStart w:id="208" w:name="_Toc405897632"/>
      <w:bookmarkStart w:id="209" w:name="_Toc415055736"/>
      <w:bookmarkStart w:id="210" w:name="_Toc415055862"/>
      <w:bookmarkStart w:id="211" w:name="_Toc415055961"/>
      <w:bookmarkStart w:id="212" w:name="_Toc415056062"/>
      <w:bookmarkStart w:id="213" w:name="_Toc70591603"/>
      <w:r w:rsidRPr="00D63F95">
        <w:rPr>
          <w:b/>
        </w:rPr>
        <w:t>16.3.2.3</w:t>
      </w:r>
      <w:r w:rsidRPr="00D63F95">
        <w:rPr>
          <w:b/>
        </w:rPr>
        <w:tab/>
        <w:t>ERCOT Approval or Rejection of Load Serving Entity Application</w:t>
      </w:r>
      <w:bookmarkEnd w:id="207"/>
      <w:bookmarkEnd w:id="208"/>
      <w:bookmarkEnd w:id="209"/>
      <w:bookmarkEnd w:id="210"/>
      <w:bookmarkEnd w:id="211"/>
      <w:bookmarkEnd w:id="212"/>
      <w:bookmarkEnd w:id="213"/>
    </w:p>
    <w:p w14:paraId="7D71BBBD" w14:textId="77777777" w:rsidR="00FC1C5F" w:rsidRDefault="00727E32">
      <w:pPr>
        <w:pStyle w:val="BodyTextNumbered"/>
      </w:pPr>
      <w:r>
        <w:t>(1)</w:t>
      </w:r>
      <w:r>
        <w:tab/>
        <w:t>ERCOT may reject an LSE application within ten Business Days after the application has been deemed complete in accordance with this Section.  If ERCOT does not reject the LSE application within ten Business Days after the application is deemed complete then the application is deemed approved.</w:t>
      </w:r>
    </w:p>
    <w:p w14:paraId="0F3C2A57" w14:textId="77777777" w:rsidR="00FC1C5F" w:rsidRDefault="00727E32">
      <w:pPr>
        <w:pStyle w:val="BodyTextNumbered"/>
      </w:pPr>
      <w:r>
        <w:t>(2)</w:t>
      </w:r>
      <w:r>
        <w:tab/>
        <w:t>If ERCOT rejects a LSE application, ERCOT shall send the LSE applicant a rejection letter explaining the grounds upon which ERCOT rejected the LSE application.  Appropriate grounds for rejecting a LSE application include the following:</w:t>
      </w:r>
    </w:p>
    <w:p w14:paraId="1230F5A5" w14:textId="77777777" w:rsidR="00FC1C5F" w:rsidRDefault="00727E32">
      <w:pPr>
        <w:pStyle w:val="List"/>
      </w:pPr>
      <w:r>
        <w:t>(a)</w:t>
      </w:r>
      <w:r>
        <w:tab/>
        <w:t>Required information is not provided to ERCOT in the allotted time;</w:t>
      </w:r>
    </w:p>
    <w:p w14:paraId="7B4C6A98" w14:textId="77777777" w:rsidR="00FC1C5F" w:rsidRDefault="00727E32">
      <w:pPr>
        <w:pStyle w:val="List"/>
      </w:pPr>
      <w:r>
        <w:t>(b)</w:t>
      </w:r>
      <w:r>
        <w:tab/>
        <w:t>Noncompliance with technical requirements; and</w:t>
      </w:r>
    </w:p>
    <w:p w14:paraId="3DA23724" w14:textId="77777777" w:rsidR="00FC1C5F" w:rsidRDefault="00727E32">
      <w:pPr>
        <w:pStyle w:val="List"/>
      </w:pPr>
      <w:r>
        <w:t>(c)</w:t>
      </w:r>
      <w:r>
        <w:tab/>
        <w:t>Noncompliance with other specific eligibility requirements set forth in this Section or in any other part of these Protocols.</w:t>
      </w:r>
    </w:p>
    <w:p w14:paraId="132A258A" w14:textId="77777777" w:rsidR="00FC1C5F" w:rsidRDefault="00727E32">
      <w:pPr>
        <w:pStyle w:val="BodyTextNumbered"/>
      </w:pPr>
      <w:r>
        <w:t>(3)</w:t>
      </w:r>
      <w:r>
        <w:tab/>
        <w:t>Not later than ten Business Days after receiving a rejection letter, the LSE applicant may challenge the rejection of its LSE application using the dispute resolution procedures set forth in Section 20, Alternative Dispute Resolution Procedure.  The applicant may submit a new LSE application and fee at any time, and ERCOT shall process the new LSE application under this Section.</w:t>
      </w:r>
    </w:p>
    <w:p w14:paraId="52EEE138" w14:textId="77777777" w:rsidR="00FC1C5F" w:rsidRDefault="00727E32">
      <w:pPr>
        <w:pStyle w:val="H3"/>
      </w:pPr>
      <w:bookmarkStart w:id="214" w:name="_Toc390438936"/>
      <w:bookmarkStart w:id="215" w:name="_Toc405897633"/>
      <w:bookmarkStart w:id="216" w:name="_Toc415055737"/>
      <w:bookmarkStart w:id="217" w:name="_Toc415055863"/>
      <w:bookmarkStart w:id="218" w:name="_Toc415055962"/>
      <w:bookmarkStart w:id="219" w:name="_Toc415056063"/>
      <w:bookmarkStart w:id="220" w:name="_Toc70591604"/>
      <w:r>
        <w:lastRenderedPageBreak/>
        <w:t xml:space="preserve">16.3.3 </w:t>
      </w:r>
      <w:r>
        <w:tab/>
        <w:t>Changing QSE Designation</w:t>
      </w:r>
      <w:bookmarkEnd w:id="214"/>
      <w:bookmarkEnd w:id="215"/>
      <w:bookmarkEnd w:id="216"/>
      <w:bookmarkEnd w:id="217"/>
      <w:bookmarkEnd w:id="218"/>
      <w:bookmarkEnd w:id="219"/>
      <w:bookmarkEnd w:id="220"/>
      <w:r>
        <w:t xml:space="preserve"> </w:t>
      </w:r>
    </w:p>
    <w:p w14:paraId="31430320" w14:textId="77777777" w:rsidR="00FC1C5F" w:rsidRDefault="00727E32">
      <w:pPr>
        <w:pStyle w:val="List"/>
        <w:ind w:left="720" w:right="-360"/>
      </w:pPr>
      <w:r>
        <w:t>(1)</w:t>
      </w:r>
      <w:r>
        <w:tab/>
        <w:t xml:space="preserve">An LSE may change its designation of QSE </w:t>
      </w:r>
      <w:r w:rsidR="000E3528">
        <w:t xml:space="preserve">with written notice to ERCOT </w:t>
      </w:r>
      <w:r>
        <w:t xml:space="preserve">no more than once in any consecutive three days.  </w:t>
      </w:r>
    </w:p>
    <w:p w14:paraId="72DBBE09" w14:textId="77777777" w:rsidR="00FC1C5F" w:rsidRDefault="00727E32">
      <w:pPr>
        <w:pStyle w:val="List"/>
        <w:ind w:left="720" w:right="-360"/>
      </w:pPr>
      <w:r>
        <w:t>(2)</w:t>
      </w:r>
      <w:r>
        <w:tab/>
      </w:r>
      <w:r w:rsidR="000E3528">
        <w:t>If an LSE’s representation by a QSE will terminate or the LSE intends to be represented by a different QSE, the LSE shall provide the name of the newly designated QSE to ERCOT along with a written statement from the designated</w:t>
      </w:r>
      <w:r w:rsidR="00AC443B">
        <w:t xml:space="preserve"> QSE acknowledging</w:t>
      </w:r>
      <w:r w:rsidR="000E3528">
        <w:t xml:space="preserve"> </w:t>
      </w:r>
      <w:r>
        <w:t>the QSE</w:t>
      </w:r>
      <w:r w:rsidR="000E3528">
        <w:t>’s agreement to</w:t>
      </w:r>
      <w:r>
        <w:t xml:space="preserve"> accept responsibility for the LSE’s transactions under these Protocols.</w:t>
      </w:r>
      <w:r w:rsidR="000E3528">
        <w:t xml:space="preserve">  </w:t>
      </w:r>
      <w:r w:rsidR="000E3528" w:rsidRPr="000B3BF7">
        <w:t>ERCOT shall notify the LSE of approval or disapproval as soon as practicable after receipt of the designation</w:t>
      </w:r>
      <w:r w:rsidR="000E3528">
        <w:t>.</w:t>
      </w:r>
    </w:p>
    <w:p w14:paraId="7316502F" w14:textId="77777777" w:rsidR="000E3528" w:rsidRDefault="00727E32">
      <w:pPr>
        <w:pStyle w:val="List"/>
        <w:ind w:left="720"/>
      </w:pPr>
      <w:r>
        <w:t>(3)</w:t>
      </w:r>
      <w:r>
        <w:tab/>
      </w:r>
      <w:r w:rsidR="000E3528">
        <w:t>The</w:t>
      </w:r>
      <w:r>
        <w:t xml:space="preserve"> LSE shall submit updated QSE designation information to ERCOT no less than six days prior to the effective date.  </w:t>
      </w:r>
    </w:p>
    <w:p w14:paraId="3A0F1116" w14:textId="77777777" w:rsidR="00FC1C5F" w:rsidRDefault="000E3528">
      <w:pPr>
        <w:pStyle w:val="List"/>
        <w:ind w:left="720"/>
      </w:pPr>
      <w:r>
        <w:t>(4)</w:t>
      </w:r>
      <w:r>
        <w:tab/>
      </w:r>
      <w:r w:rsidR="00727E32">
        <w:t xml:space="preserve">Within two days of </w:t>
      </w:r>
      <w:r>
        <w:t xml:space="preserve">approving the LSE’s </w:t>
      </w:r>
      <w:r w:rsidR="00727E32">
        <w:t>notice, ERCOT shall notify all affected Entities, including the LSE’s current QSE, of the effective date of the change.</w:t>
      </w:r>
    </w:p>
    <w:p w14:paraId="6F0F5620" w14:textId="77777777" w:rsidR="00FC1C5F" w:rsidRDefault="00727E32">
      <w:pPr>
        <w:pStyle w:val="H3"/>
      </w:pPr>
      <w:bookmarkStart w:id="221" w:name="_Toc390438937"/>
      <w:bookmarkStart w:id="222" w:name="_Toc405897634"/>
      <w:bookmarkStart w:id="223" w:name="_Toc415055738"/>
      <w:bookmarkStart w:id="224" w:name="_Toc415055864"/>
      <w:bookmarkStart w:id="225" w:name="_Toc415055963"/>
      <w:bookmarkStart w:id="226" w:name="_Toc415056064"/>
      <w:bookmarkStart w:id="227" w:name="_Toc70591605"/>
      <w:r>
        <w:t>16.3.4</w:t>
      </w:r>
      <w:r>
        <w:tab/>
        <w:t>Maintaining and Updating LSE Information</w:t>
      </w:r>
      <w:bookmarkEnd w:id="221"/>
      <w:bookmarkEnd w:id="222"/>
      <w:bookmarkEnd w:id="223"/>
      <w:bookmarkEnd w:id="224"/>
      <w:bookmarkEnd w:id="225"/>
      <w:bookmarkEnd w:id="226"/>
      <w:bookmarkEnd w:id="227"/>
      <w:r>
        <w:t xml:space="preserve"> </w:t>
      </w:r>
    </w:p>
    <w:p w14:paraId="3A68015C" w14:textId="77777777" w:rsidR="00FC1C5F" w:rsidRDefault="00853D39" w:rsidP="009F10FE">
      <w:pPr>
        <w:pStyle w:val="ListIntroduction"/>
        <w:ind w:left="720" w:hanging="720"/>
      </w:pPr>
      <w:r>
        <w:rPr>
          <w:lang w:val="en-US"/>
        </w:rPr>
        <w:t>(1)</w:t>
      </w:r>
      <w:r>
        <w:rPr>
          <w:lang w:val="en-US"/>
        </w:rPr>
        <w:tab/>
      </w:r>
      <w:r w:rsidR="00727E32">
        <w:t>Each LSE must timely update information the LSE provided to ERCOT in the application process, and an LSE must promptly respond to any reasonable request by ERCOT for updated information regarding the LSE or the information provided to ERCOT by the LSE, including:</w:t>
      </w:r>
    </w:p>
    <w:p w14:paraId="43090A74" w14:textId="77777777" w:rsidR="00FC1C5F" w:rsidRDefault="00727E32">
      <w:pPr>
        <w:pStyle w:val="List"/>
        <w:ind w:left="1260" w:hanging="540"/>
      </w:pPr>
      <w:r>
        <w:t>(a)</w:t>
      </w:r>
      <w:r>
        <w:tab/>
        <w:t>The LSE’s addresses;</w:t>
      </w:r>
    </w:p>
    <w:p w14:paraId="4CE2CA6C" w14:textId="77777777" w:rsidR="00FC1C5F" w:rsidRDefault="00727E32">
      <w:pPr>
        <w:pStyle w:val="List"/>
        <w:ind w:left="1260" w:hanging="540"/>
      </w:pPr>
      <w:r>
        <w:t>(b)</w:t>
      </w:r>
      <w:r>
        <w:tab/>
        <w:t>A list of Affiliates; and</w:t>
      </w:r>
    </w:p>
    <w:p w14:paraId="337C799C" w14:textId="77777777" w:rsidR="00FC1C5F" w:rsidRDefault="00727E32">
      <w:pPr>
        <w:pStyle w:val="List"/>
        <w:ind w:left="1260" w:hanging="540"/>
      </w:pPr>
      <w:r>
        <w:t>(c)</w:t>
      </w:r>
      <w:r>
        <w:tab/>
        <w:t>Designation of the LSE’s officers, directors, Authorized Representatives, and User Security Administrator (all per the LSE application) including the addresses (if different), telephone and facsimile numbers, and e-mail addresses for those persons.</w:t>
      </w:r>
    </w:p>
    <w:p w14:paraId="4952307C" w14:textId="77777777" w:rsidR="00FC1C5F" w:rsidRDefault="00727E32">
      <w:pPr>
        <w:pStyle w:val="H2"/>
      </w:pPr>
      <w:bookmarkStart w:id="228" w:name="_Toc71369189"/>
      <w:bookmarkStart w:id="229" w:name="_Toc71539405"/>
      <w:bookmarkStart w:id="230" w:name="_Toc390438938"/>
      <w:bookmarkStart w:id="231" w:name="_Toc405897635"/>
      <w:bookmarkStart w:id="232" w:name="_Toc415055739"/>
      <w:bookmarkStart w:id="233" w:name="_Toc415055865"/>
      <w:bookmarkStart w:id="234" w:name="_Toc415055964"/>
      <w:bookmarkStart w:id="235" w:name="_Toc415056065"/>
      <w:bookmarkStart w:id="236" w:name="_Toc70591606"/>
      <w:r>
        <w:t>16.4</w:t>
      </w:r>
      <w:r>
        <w:tab/>
        <w:t>Registration of Transmission and Distribution Service Providers</w:t>
      </w:r>
      <w:bookmarkEnd w:id="228"/>
      <w:bookmarkEnd w:id="229"/>
      <w:bookmarkEnd w:id="230"/>
      <w:bookmarkEnd w:id="231"/>
      <w:bookmarkEnd w:id="232"/>
      <w:bookmarkEnd w:id="233"/>
      <w:bookmarkEnd w:id="234"/>
      <w:bookmarkEnd w:id="235"/>
      <w:bookmarkEnd w:id="236"/>
    </w:p>
    <w:p w14:paraId="711AE494" w14:textId="77777777" w:rsidR="00FC1C5F" w:rsidRDefault="00727E32">
      <w:pPr>
        <w:pStyle w:val="BodyTextNumbered"/>
      </w:pPr>
      <w:r>
        <w:t>(1)</w:t>
      </w:r>
      <w:r>
        <w:tab/>
        <w:t>Each Entity operating as a Transmission Service Provider (</w:t>
      </w:r>
      <w:smartTag w:uri="urn:schemas-microsoft-com:office:smarttags" w:element="stockticker">
        <w:r>
          <w:t>TSP</w:t>
        </w:r>
      </w:smartTag>
      <w:r>
        <w:t xml:space="preserve">) or Distribution Service Provider (DSP) within the ERCOT Region, including Municipally Owned Utilities (MOUs) and Electric Cooperatives (ECs), shall register as a </w:t>
      </w:r>
      <w:smartTag w:uri="urn:schemas-microsoft-com:office:smarttags" w:element="stockticker">
        <w:r>
          <w:t>TSP</w:t>
        </w:r>
      </w:smartTag>
      <w:r>
        <w:t xml:space="preserve"> or DSP, or both, as applicable, with ERCOT.  To register as a </w:t>
      </w:r>
      <w:smartTag w:uri="urn:schemas-microsoft-com:office:smarttags" w:element="stockticker">
        <w:r>
          <w:t>TSP</w:t>
        </w:r>
      </w:smartTag>
      <w:r>
        <w:t xml:space="preserve"> or DSP, an Entity must comply with the backup plan requirements in the Operating Guides, execute a Standard Form Market Participant Agreement (using the form provided in Section 22</w:t>
      </w:r>
      <w:r w:rsidR="007349BB">
        <w:t>, Attachment A, Standard Form Market Participant Agreement</w:t>
      </w:r>
      <w:r>
        <w:t>), designate TSP or DSP Authorized Representatives, contacts, and a User Security Administrator</w:t>
      </w:r>
      <w:r w:rsidR="007349BB">
        <w:t xml:space="preserve"> (USA)</w:t>
      </w:r>
      <w:r>
        <w:t xml:space="preserve"> (per </w:t>
      </w:r>
      <w:r w:rsidR="00B35DA1">
        <w:t xml:space="preserve">Section 23, Form J, </w:t>
      </w:r>
      <w:r w:rsidR="00B35DA1" w:rsidRPr="005B010C">
        <w:t>Transmission and/or Distribution Service Provider Application for Registration</w:t>
      </w:r>
      <w:r>
        <w:t xml:space="preserve">), and be capable of performing the functions of a </w:t>
      </w:r>
      <w:smartTag w:uri="urn:schemas-microsoft-com:office:smarttags" w:element="stockticker">
        <w:r>
          <w:t>TSP</w:t>
        </w:r>
      </w:smartTag>
      <w:r>
        <w:t xml:space="preserve"> or DSP, as applicable, as described in these Protocols. </w:t>
      </w:r>
    </w:p>
    <w:p w14:paraId="2FBFF24F" w14:textId="77777777" w:rsidR="00FC1C5F" w:rsidRDefault="00727E32">
      <w:pPr>
        <w:pStyle w:val="BodyTextNumbered"/>
      </w:pPr>
      <w:r>
        <w:lastRenderedPageBreak/>
        <w:t>(2)</w:t>
      </w:r>
      <w:r>
        <w:tab/>
        <w:t xml:space="preserve">DSPs operating within portions of Texas in areas where Customer Choice is in effect (including opt-in MOUs and opt-in co-ops) must participate in and successfully complete testing as described in Section </w:t>
      </w:r>
      <w:r w:rsidR="007349BB">
        <w:t xml:space="preserve">19.8, </w:t>
      </w:r>
      <w:r>
        <w:t>Retail Market Testing, before starting operations with ERCOT.</w:t>
      </w:r>
    </w:p>
    <w:p w14:paraId="71BF93F1" w14:textId="77777777" w:rsidR="00FC1C5F" w:rsidRDefault="00727E32">
      <w:pPr>
        <w:pStyle w:val="H2"/>
      </w:pPr>
      <w:bookmarkStart w:id="237" w:name="_Toc390438939"/>
      <w:bookmarkStart w:id="238" w:name="_Toc405897636"/>
      <w:bookmarkStart w:id="239" w:name="_Toc415055740"/>
      <w:bookmarkStart w:id="240" w:name="_Toc415055866"/>
      <w:bookmarkStart w:id="241" w:name="_Toc415055965"/>
      <w:bookmarkStart w:id="242" w:name="_Toc415056066"/>
      <w:bookmarkStart w:id="243" w:name="_Toc70591607"/>
      <w:bookmarkStart w:id="244" w:name="_Toc71369190"/>
      <w:bookmarkStart w:id="245" w:name="_Toc71539406"/>
      <w:r>
        <w:t>16.5</w:t>
      </w:r>
      <w:r>
        <w:tab/>
        <w:t>Registration of a Resource Entity</w:t>
      </w:r>
      <w:bookmarkEnd w:id="237"/>
      <w:bookmarkEnd w:id="238"/>
      <w:bookmarkEnd w:id="239"/>
      <w:bookmarkEnd w:id="240"/>
      <w:bookmarkEnd w:id="241"/>
      <w:bookmarkEnd w:id="242"/>
      <w:bookmarkEnd w:id="243"/>
      <w:r>
        <w:t xml:space="preserve"> </w:t>
      </w:r>
      <w:bookmarkEnd w:id="244"/>
      <w:bookmarkEnd w:id="245"/>
    </w:p>
    <w:p w14:paraId="5D9B7D2F" w14:textId="3DBF04E8" w:rsidR="002D332F" w:rsidRDefault="00A723FE">
      <w:pPr>
        <w:pStyle w:val="BodyText"/>
        <w:ind w:left="720" w:hanging="720"/>
      </w:pPr>
      <w:r>
        <w:t>(1)</w:t>
      </w:r>
      <w:r>
        <w:tab/>
      </w:r>
      <w:r w:rsidR="00CB766B" w:rsidRPr="00971DA3">
        <w:rPr>
          <w:iCs w:val="0"/>
        </w:rPr>
        <w:t xml:space="preserve">A Resource Entity owns or controls a </w:t>
      </w:r>
      <w:r w:rsidR="00CB766B">
        <w:rPr>
          <w:iCs w:val="0"/>
        </w:rPr>
        <w:t>Generation Resource, Settlement Only Generator (SOG), or Load Resource</w:t>
      </w:r>
      <w:r w:rsidR="00CB766B" w:rsidRPr="00971DA3">
        <w:rPr>
          <w:iCs w:val="0"/>
        </w:rPr>
        <w:t xml:space="preserv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w:t>
      </w:r>
      <w:r w:rsidR="00CB766B">
        <w:rPr>
          <w:iCs w:val="0"/>
        </w:rPr>
        <w:t>Generation Resource, SOG, or Load Resource</w:t>
      </w:r>
      <w:r w:rsidR="00CB766B" w:rsidRPr="00971DA3">
        <w:rPr>
          <w:iCs w:val="0"/>
        </w:rPr>
        <w:t xml:space="preserve"> through ERCOT registration, except for Distributed Generation (DG) with an installed capacity equal to or lower than the DG registration threshold</w:t>
      </w:r>
      <w:r w:rsidR="00CB766B">
        <w:rPr>
          <w:iCs w:val="0"/>
        </w:rPr>
        <w:t xml:space="preserve"> that has chosen not to register with ERCOT</w:t>
      </w:r>
      <w:r w:rsidR="00CB766B" w:rsidRPr="00971DA3">
        <w:rPr>
          <w:iCs w:val="0"/>
        </w:rPr>
        <w:t>.  A Resource Entity may submit a proposal to register the aggregation of generators, with the exception of Intermittent Renewable Resources (IRRs) pursuant to paragraph (1</w:t>
      </w:r>
      <w:r w:rsidR="00CB766B">
        <w:rPr>
          <w:iCs w:val="0"/>
        </w:rPr>
        <w:t>2</w:t>
      </w:r>
      <w:r w:rsidR="00CB766B" w:rsidRPr="00971DA3">
        <w:rPr>
          <w:iCs w:val="0"/>
        </w:rPr>
        <w:t>) of Section 3.10.7.2, Modeling of Resources and Transmission Loads, as an Aggregate Generation Resource (AGR) which ERCOT may grant at its sole discretion.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D69E1" w14:paraId="41C3221D" w14:textId="77777777" w:rsidTr="00CD51A8">
        <w:tc>
          <w:tcPr>
            <w:tcW w:w="9558" w:type="dxa"/>
            <w:shd w:val="pct12" w:color="auto" w:fill="auto"/>
          </w:tcPr>
          <w:p w14:paraId="72A648DA" w14:textId="67E9BBC5" w:rsidR="008D69E1" w:rsidRPr="0002450E" w:rsidRDefault="008D69E1" w:rsidP="00CD51A8">
            <w:pPr>
              <w:pStyle w:val="Instructions"/>
              <w:spacing w:before="120"/>
              <w:rPr>
                <w:iCs/>
              </w:rPr>
            </w:pPr>
            <w:r>
              <w:rPr>
                <w:iCs/>
              </w:rPr>
              <w:t>[</w:t>
            </w:r>
            <w:r w:rsidR="00DF27BC">
              <w:rPr>
                <w:iCs/>
              </w:rPr>
              <w:t xml:space="preserve">NPRR995, </w:t>
            </w:r>
            <w:r>
              <w:rPr>
                <w:iCs/>
              </w:rPr>
              <w:t>NPRR1002</w:t>
            </w:r>
            <w:r w:rsidR="00DF27BC">
              <w:rPr>
                <w:iCs/>
              </w:rPr>
              <w:t>,</w:t>
            </w:r>
            <w:r w:rsidR="00B6428C">
              <w:rPr>
                <w:iCs/>
              </w:rPr>
              <w:t xml:space="preserve"> and NPRR1052</w:t>
            </w:r>
            <w:r w:rsidRPr="0002450E">
              <w:rPr>
                <w:iCs/>
              </w:rPr>
              <w:t xml:space="preserve">:  Replace </w:t>
            </w:r>
            <w:r w:rsidR="00B6428C">
              <w:rPr>
                <w:iCs/>
              </w:rPr>
              <w:t xml:space="preserve">applicable portions of </w:t>
            </w:r>
            <w:r>
              <w:rPr>
                <w:iCs/>
              </w:rPr>
              <w:t xml:space="preserve">paragraph (1) </w:t>
            </w:r>
            <w:r w:rsidRPr="0002450E">
              <w:rPr>
                <w:iCs/>
              </w:rPr>
              <w:t>above with the following upon system implementation</w:t>
            </w:r>
            <w:r w:rsidR="00B6428C">
              <w:rPr>
                <w:iCs/>
              </w:rPr>
              <w:t xml:space="preserve"> for </w:t>
            </w:r>
            <w:r w:rsidR="00DF27BC">
              <w:rPr>
                <w:iCs/>
              </w:rPr>
              <w:t xml:space="preserve">NPRR995 or </w:t>
            </w:r>
            <w:r w:rsidR="00B6428C">
              <w:rPr>
                <w:iCs/>
              </w:rPr>
              <w:t>NPRR1002; or upon system implementation of NPRR917 for NPRR1052</w:t>
            </w:r>
            <w:r w:rsidRPr="0002450E">
              <w:rPr>
                <w:iCs/>
              </w:rPr>
              <w:t xml:space="preserve">:] </w:t>
            </w:r>
          </w:p>
          <w:p w14:paraId="7045D32C" w14:textId="0B95F443" w:rsidR="008D69E1" w:rsidRPr="008D69E1" w:rsidRDefault="008D69E1" w:rsidP="00C279DC">
            <w:pPr>
              <w:spacing w:after="240"/>
              <w:ind w:left="720" w:hanging="720"/>
            </w:pPr>
            <w:r>
              <w:rPr>
                <w:iCs/>
              </w:rPr>
              <w:t>(1)</w:t>
            </w:r>
            <w:r>
              <w:rPr>
                <w:iCs/>
              </w:rPr>
              <w:tab/>
            </w:r>
            <w:r>
              <w:t xml:space="preserve">A Resource Entity owns or controls a Generation Resource, Energy Storage Resource (ESR), Settlement Only Generator (SOG), </w:t>
            </w:r>
            <w:r w:rsidR="00DF27BC" w:rsidRPr="00DF27BC">
              <w:t>Settlement Only Energy Storage System (SOESS),</w:t>
            </w:r>
            <w:r w:rsidR="00DF27BC">
              <w:t xml:space="preserve"> </w:t>
            </w:r>
            <w:r>
              <w:t>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Resource</w:t>
            </w:r>
            <w:r w:rsidR="00DF27BC">
              <w:t>,</w:t>
            </w:r>
            <w:r>
              <w:t xml:space="preserve"> SOG</w:t>
            </w:r>
            <w:r w:rsidR="00DF27BC">
              <w:t>, or SOESS</w:t>
            </w:r>
            <w:r>
              <w:t xml:space="preserve"> 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w:t>
            </w:r>
            <w:r>
              <w:lastRenderedPageBreak/>
              <w:t>Renewable Resources (IRRs) pursuant to paragraph (12) of Section 3.10.7.2, Modeling of Resources and Transmission Loads, as an Aggregate Generation Resource (AGR) which ERCOT may grant at its sole discretion.</w:t>
            </w:r>
            <w:r w:rsidR="00B6428C">
              <w:t xml:space="preserve">  If a Resource Entity intends to register one or more Energy Storage Systems (ESS</w:t>
            </w:r>
            <w:r w:rsidR="00C279DC">
              <w:t>s</w:t>
            </w:r>
            <w:r w:rsidR="00B6428C">
              <w:t xml:space="preserve">) and one or more non-ESS generators as SOGs at the same site, the Resource Entity must provide an affidavit attesting to the amount of ESS and non-ESS capacity at the site as a condition for registration.    </w:t>
            </w:r>
          </w:p>
        </w:tc>
      </w:tr>
    </w:tbl>
    <w:p w14:paraId="1878FF7B" w14:textId="0FE1FBDC" w:rsidR="008F6D05" w:rsidRDefault="008F6D05" w:rsidP="00AA42E8">
      <w:pPr>
        <w:pStyle w:val="BodyText"/>
        <w:spacing w:before="240"/>
        <w:ind w:left="720" w:hanging="720"/>
      </w:pPr>
      <w:r>
        <w:lastRenderedPageBreak/>
        <w:t>(2)</w:t>
      </w:r>
      <w:r>
        <w:tab/>
      </w:r>
      <w:r w:rsidRPr="00767D61">
        <w:t>Prior to commissioning, Resources Entities will regularly update the data necessary for modeling.  These</w:t>
      </w:r>
      <w:r>
        <w:t xml:space="preserve"> updates will reflect the best available information at the time submitted.</w:t>
      </w:r>
    </w:p>
    <w:p w14:paraId="74EDC0BC" w14:textId="1F27E239" w:rsidR="008F6D05" w:rsidRDefault="008F6D05">
      <w:pPr>
        <w:pStyle w:val="BodyText"/>
        <w:ind w:left="720" w:hanging="720"/>
      </w:pPr>
      <w:r>
        <w:t>(3)</w:t>
      </w:r>
      <w:r>
        <w:tab/>
      </w:r>
      <w:r w:rsidR="00CB766B" w:rsidRPr="00971DA3">
        <w:rPr>
          <w:iCs w:val="0"/>
        </w:rPr>
        <w:t xml:space="preserve">Once ERCOT has received a new or amended Standard Generation Interconnection Agreement (SGIA) or a letter from a duly authorized official from the Municipally Owned Utility (MOU) or Electric Cooperative (EC) and has determined that the proposed Generation Resource </w:t>
      </w:r>
      <w:r w:rsidR="00CB766B">
        <w:rPr>
          <w:iCs w:val="0"/>
        </w:rPr>
        <w:t xml:space="preserve">or SOG </w:t>
      </w:r>
      <w:r w:rsidR="00CB766B" w:rsidRPr="00971DA3">
        <w:rPr>
          <w:iCs w:val="0"/>
        </w:rPr>
        <w:t xml:space="preserve">meets the requirements of Planning Guide Section 6.9, Addition of Proposed Generation to the Planning Models, ERCOT shall review the description of the proposed Generation Resource </w:t>
      </w:r>
      <w:r w:rsidR="00CB766B">
        <w:rPr>
          <w:iCs w:val="0"/>
        </w:rPr>
        <w:t xml:space="preserve">or SOG </w:t>
      </w:r>
      <w:r w:rsidR="00CB766B" w:rsidRPr="00971DA3">
        <w:rPr>
          <w:iCs w:val="0"/>
        </w:rPr>
        <w:t>in Exhibit “C” (or similar exhibit) to the SGIA and the data submitted pursuant to Planning Guide Section 6.8.2 to assess whether the Generation Resource</w:t>
      </w:r>
      <w:r w:rsidR="00CB766B">
        <w:rPr>
          <w:iCs w:val="0"/>
        </w:rPr>
        <w:t xml:space="preserve"> or SOG</w:t>
      </w:r>
      <w:r w:rsidR="00CB766B" w:rsidRPr="00971DA3">
        <w:rPr>
          <w:iCs w:val="0"/>
        </w:rPr>
        <w:t>, as proposed, would violate any operational standards established in the Protocols, Planning Guide, Nodal Operating Guides, and Other Binding Documents.  ERCOT must provide its determination to the Transmission Service Provider (TSP) and the owner of the proposed Generation Resource</w:t>
      </w:r>
      <w:r w:rsidR="00CB766B">
        <w:rPr>
          <w:iCs w:val="0"/>
        </w:rPr>
        <w:t xml:space="preserve"> or SOG</w:t>
      </w:r>
      <w:r w:rsidR="00CB766B" w:rsidRPr="00971DA3">
        <w:rPr>
          <w:iCs w:val="0"/>
        </w:rPr>
        <w:t xml:space="preserve"> within 90 days of the date the Generation Resource</w:t>
      </w:r>
      <w:r w:rsidR="00CB766B">
        <w:rPr>
          <w:iCs w:val="0"/>
        </w:rPr>
        <w:t xml:space="preserve"> or SOG</w:t>
      </w:r>
      <w:r w:rsidR="00CB766B" w:rsidRPr="00971DA3">
        <w:rPr>
          <w:iCs w:val="0"/>
        </w:rPr>
        <w:t xml:space="preserve"> meets the conditions for review.  Notwithstanding the foregoing, this determination shall not preclude ERCOT from subsequently determining that the Generation Resource</w:t>
      </w:r>
      <w:r w:rsidR="00CB766B">
        <w:rPr>
          <w:iCs w:val="0"/>
        </w:rPr>
        <w:t xml:space="preserve"> or SOG</w:t>
      </w:r>
      <w:r w:rsidR="00CB766B" w:rsidRPr="00971DA3">
        <w:rPr>
          <w:iCs w:val="0"/>
        </w:rPr>
        <w:t xml:space="preserve"> violates any operational standards established in the Protocols, Planning Guide, Nodal Operating Guides, and Other Binding Documents or from taking any appropriate action based on that determination.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D69E1" w14:paraId="70FE857C" w14:textId="77777777" w:rsidTr="00CD51A8">
        <w:tc>
          <w:tcPr>
            <w:tcW w:w="9558" w:type="dxa"/>
            <w:shd w:val="pct12" w:color="auto" w:fill="auto"/>
          </w:tcPr>
          <w:p w14:paraId="7141ADF9" w14:textId="21937C8C" w:rsidR="008D69E1" w:rsidRPr="0002450E" w:rsidRDefault="008D69E1" w:rsidP="00CD51A8">
            <w:pPr>
              <w:pStyle w:val="Instructions"/>
              <w:spacing w:before="120"/>
              <w:rPr>
                <w:iCs/>
              </w:rPr>
            </w:pPr>
            <w:r>
              <w:rPr>
                <w:iCs/>
              </w:rPr>
              <w:t>[</w:t>
            </w:r>
            <w:r w:rsidR="00DF27BC">
              <w:rPr>
                <w:iCs/>
              </w:rPr>
              <w:t xml:space="preserve">NPRR995 and </w:t>
            </w:r>
            <w:r>
              <w:rPr>
                <w:iCs/>
              </w:rPr>
              <w:t>NPRR1002</w:t>
            </w:r>
            <w:r w:rsidRPr="0002450E">
              <w:rPr>
                <w:iCs/>
              </w:rPr>
              <w:t xml:space="preserve">:  Replace </w:t>
            </w:r>
            <w:r w:rsidR="00DF27BC">
              <w:rPr>
                <w:iCs/>
              </w:rPr>
              <w:t xml:space="preserve">applicable portions of </w:t>
            </w:r>
            <w:r>
              <w:rPr>
                <w:iCs/>
              </w:rPr>
              <w:t xml:space="preserve">paragraph (3) </w:t>
            </w:r>
            <w:r w:rsidRPr="0002450E">
              <w:rPr>
                <w:iCs/>
              </w:rPr>
              <w:t xml:space="preserve">above with the following upon system implementation:] </w:t>
            </w:r>
          </w:p>
          <w:p w14:paraId="7FBC2C5A" w14:textId="6C158AD7" w:rsidR="008D69E1" w:rsidRPr="008D69E1" w:rsidRDefault="008D69E1" w:rsidP="00925CF6">
            <w:pPr>
              <w:spacing w:after="240"/>
              <w:ind w:left="720" w:hanging="720"/>
              <w:rPr>
                <w:iCs/>
              </w:rPr>
            </w:pPr>
            <w:r>
              <w:rPr>
                <w:iCs/>
              </w:rPr>
              <w:t>(3)</w:t>
            </w:r>
            <w:r>
              <w:rPr>
                <w:iCs/>
              </w:rPr>
              <w:tab/>
            </w:r>
            <w:r>
              <w:t>Once ERCOT has received a new or amended Standard Generation Interconnection Agreement (SGIA) or a letter from a duly authorized official from the Municipally Owned Utility (MOU) or Electric Cooperative (EC) and has determined that the proposed Generation Resource, ESR, SOG</w:t>
            </w:r>
            <w:r w:rsidR="00DF27BC">
              <w:t>, or SOESS</w:t>
            </w:r>
            <w:r>
              <w:t xml:space="preserve"> meets the requirements of Planning Guide Section 6.9, Addition of Proposed Generation to the Planning Models, ERCOT shall review the description of the proposed Generation Resource, ESR, SOG</w:t>
            </w:r>
            <w:r w:rsidR="00DF27BC">
              <w:t>, or SOESS</w:t>
            </w:r>
            <w:r>
              <w:t xml:space="preserve"> in Exhibit “C” (or similar exhibit) to the SGIA and the data submitted pursuant to Planning Guide Section 6.8.2, to assess whether the Generation Resource, ESR, SOG</w:t>
            </w:r>
            <w:r w:rsidR="00DF27BC">
              <w:t>, or SOESS</w:t>
            </w:r>
            <w:r>
              <w:t>, as proposed, would violate any operational standards established in the Protocols, Planning Guide, Nodal Operating Guides, and Other Binding Documents.  ERCOT must provide its determination to the Transmission Service Provider (TSP) and the owner of the proposed Generation Resource, ESR, SOG</w:t>
            </w:r>
            <w:r w:rsidR="00DF27BC">
              <w:t>, or SOESS</w:t>
            </w:r>
            <w:r>
              <w:t xml:space="preserve"> within 90 days of the date the Generation Resource, ESR, SOG</w:t>
            </w:r>
            <w:r w:rsidR="00DF27BC">
              <w:t>, or SOESS</w:t>
            </w:r>
            <w:r>
              <w:t xml:space="preserve"> meets the conditions for review.  Notwithstanding the foregoing, this determination shall not preclude ERCOT from subsequently determining that the </w:t>
            </w:r>
            <w:r>
              <w:lastRenderedPageBreak/>
              <w:t>Generation Resource, ESR, SOG</w:t>
            </w:r>
            <w:r w:rsidR="00DF27BC">
              <w:t>, or SOESS</w:t>
            </w:r>
            <w:r>
              <w:t xml:space="preserve"> violates any operational standards established in the Protocols, Planning Guide, Nodal Operating Guides, and Other Binding Documents or from taking any appropriate action based on that determination.</w:t>
            </w:r>
          </w:p>
        </w:tc>
      </w:tr>
    </w:tbl>
    <w:p w14:paraId="399A8B4B" w14:textId="7CB5A509" w:rsidR="00CB766B" w:rsidRPr="00971DA3" w:rsidRDefault="00CB766B" w:rsidP="00AA42E8">
      <w:pPr>
        <w:spacing w:before="240" w:after="240"/>
        <w:ind w:left="720" w:hanging="720"/>
      </w:pPr>
      <w:r w:rsidRPr="00971DA3">
        <w:lastRenderedPageBreak/>
        <w:t>(4)</w:t>
      </w:r>
      <w:r w:rsidRPr="00971DA3">
        <w:tab/>
        <w:t>An Interconnecting Entity (IE) shall not proceed to Initial Synchronization of a Generation Resource</w:t>
      </w:r>
      <w:r>
        <w:t>,</w:t>
      </w:r>
      <w:r w:rsidRPr="004A52A9">
        <w:t xml:space="preserve"> </w:t>
      </w:r>
      <w:r>
        <w:t xml:space="preserve">Settlement Only Transmission Generator (SOTG), or Settlement Only Transmission Self-Generator (SOTSG) </w:t>
      </w:r>
      <w:r w:rsidRPr="00971DA3">
        <w:t>in the event of any of the following conditions:</w:t>
      </w:r>
    </w:p>
    <w:p w14:paraId="78DE7CAE" w14:textId="77777777" w:rsidR="00CB766B" w:rsidRPr="00971DA3" w:rsidRDefault="00CB766B" w:rsidP="00CB766B">
      <w:pPr>
        <w:spacing w:after="240"/>
        <w:ind w:left="1440" w:hanging="720"/>
      </w:pPr>
      <w:r w:rsidRPr="00971DA3">
        <w:t>(a)</w:t>
      </w:r>
      <w:r w:rsidRPr="00971DA3">
        <w:tab/>
        <w:t>Pursuant to paragraph (3) above, ERCOT has reasonably determined that the Generation Resource</w:t>
      </w:r>
      <w:r>
        <w:t>, SOTG,</w:t>
      </w:r>
      <w:r>
        <w:rPr>
          <w:iCs/>
        </w:rPr>
        <w:t xml:space="preserve"> or SOTSG</w:t>
      </w:r>
      <w:r w:rsidRPr="00971DA3">
        <w:t xml:space="preserve"> may violate operational standards established in the Protocols, Planning Guide, Nodal Operating Guides, and Other Binding Documents, and the Resource Entity has not yet demonstrated to ERCOT’s satisfaction that the Generation Resource</w:t>
      </w:r>
      <w:r>
        <w:t>, SOTG,</w:t>
      </w:r>
      <w:r>
        <w:rPr>
          <w:iCs/>
        </w:rPr>
        <w:t xml:space="preserve"> or SOTSG</w:t>
      </w:r>
      <w:r w:rsidRPr="00971DA3">
        <w:t xml:space="preserve"> can comply with these standards;</w:t>
      </w:r>
    </w:p>
    <w:p w14:paraId="0A622782" w14:textId="77777777" w:rsidR="00CB766B" w:rsidRPr="00971DA3" w:rsidRDefault="00CB766B" w:rsidP="00CB766B">
      <w:pPr>
        <w:spacing w:after="240"/>
        <w:ind w:left="1440" w:hanging="720"/>
      </w:pPr>
      <w:r w:rsidRPr="00971DA3">
        <w:t>(b)</w:t>
      </w:r>
      <w:r w:rsidRPr="00971DA3">
        <w:tab/>
        <w:t>The requirements of Planning Guide Section</w:t>
      </w:r>
      <w:r>
        <w:t xml:space="preserve"> </w:t>
      </w:r>
      <w:r w:rsidRPr="00971DA3">
        <w:t>5.9, Quarterly Stability Assessment, have not been completed for the Generation Resource</w:t>
      </w:r>
      <w:r>
        <w:t>, SOTG,</w:t>
      </w:r>
      <w:r>
        <w:rPr>
          <w:iCs/>
        </w:rPr>
        <w:t xml:space="preserve"> or SOTSG</w:t>
      </w:r>
      <w:r w:rsidRPr="00971DA3">
        <w:t>; or</w:t>
      </w:r>
    </w:p>
    <w:p w14:paraId="7680861B" w14:textId="5AAB3F31" w:rsidR="0084081E" w:rsidRDefault="00CB766B" w:rsidP="00784E29">
      <w:pPr>
        <w:spacing w:after="240"/>
        <w:ind w:left="1440" w:hanging="720"/>
      </w:pPr>
      <w:r w:rsidRPr="00971DA3">
        <w:t>(c)</w:t>
      </w:r>
      <w:r w:rsidRPr="00971DA3">
        <w:tab/>
        <w:t xml:space="preserve">Any required </w:t>
      </w:r>
      <w:r>
        <w:t>S</w:t>
      </w:r>
      <w:r w:rsidRPr="00971DA3">
        <w:t xml:space="preserve">ubsynchronous </w:t>
      </w:r>
      <w:r>
        <w:t>R</w:t>
      </w:r>
      <w:r w:rsidRPr="00971DA3">
        <w:t xml:space="preserve">esonance </w:t>
      </w:r>
      <w:r>
        <w:t xml:space="preserve">(SSR) </w:t>
      </w:r>
      <w:r w:rsidRPr="00971DA3">
        <w:t>studies</w:t>
      </w:r>
      <w:r w:rsidRPr="00B86BC1">
        <w:t xml:space="preserve">, SSR Mitigation </w:t>
      </w:r>
      <w:r>
        <w:t>P</w:t>
      </w:r>
      <w:r w:rsidRPr="00B86BC1">
        <w:t xml:space="preserve">lan, </w:t>
      </w:r>
      <w:r>
        <w:t xml:space="preserve">SSR Protection, </w:t>
      </w:r>
      <w:r w:rsidRPr="00B86BC1">
        <w:t>and SSR monitoring if required,</w:t>
      </w:r>
      <w:r w:rsidRPr="00971DA3">
        <w:t xml:space="preserve"> have not been complete</w:t>
      </w:r>
      <w:r>
        <w:t>d</w:t>
      </w:r>
      <w:r w:rsidRPr="00971DA3">
        <w:t xml:space="preserve"> and approved by ERCOT.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D69E1" w14:paraId="215AB732" w14:textId="77777777" w:rsidTr="00CD51A8">
        <w:tc>
          <w:tcPr>
            <w:tcW w:w="9558" w:type="dxa"/>
            <w:shd w:val="pct12" w:color="auto" w:fill="auto"/>
          </w:tcPr>
          <w:p w14:paraId="57426CE6" w14:textId="548DCC0D" w:rsidR="008D69E1" w:rsidRPr="0002450E" w:rsidRDefault="008D69E1" w:rsidP="00CD51A8">
            <w:pPr>
              <w:pStyle w:val="Instructions"/>
              <w:spacing w:before="120"/>
              <w:rPr>
                <w:iCs/>
              </w:rPr>
            </w:pPr>
            <w:r>
              <w:rPr>
                <w:iCs/>
              </w:rPr>
              <w:t>[</w:t>
            </w:r>
            <w:r w:rsidR="00DF27BC">
              <w:rPr>
                <w:iCs/>
              </w:rPr>
              <w:t xml:space="preserve">NPRR995, </w:t>
            </w:r>
            <w:r>
              <w:rPr>
                <w:iCs/>
              </w:rPr>
              <w:t>NPRR1002</w:t>
            </w:r>
            <w:r w:rsidR="00DF27BC">
              <w:rPr>
                <w:iCs/>
              </w:rPr>
              <w:t>,</w:t>
            </w:r>
            <w:r w:rsidR="00FB1D0F">
              <w:rPr>
                <w:iCs/>
              </w:rPr>
              <w:t xml:space="preserve"> and NPRR1016</w:t>
            </w:r>
            <w:r w:rsidRPr="0002450E">
              <w:rPr>
                <w:iCs/>
              </w:rPr>
              <w:t xml:space="preserve">:  Replace </w:t>
            </w:r>
            <w:r w:rsidR="00FB1D0F">
              <w:rPr>
                <w:iCs/>
              </w:rPr>
              <w:t xml:space="preserve">applicable portions of </w:t>
            </w:r>
            <w:r>
              <w:rPr>
                <w:iCs/>
              </w:rPr>
              <w:t xml:space="preserve">paragraph (4) </w:t>
            </w:r>
            <w:r w:rsidRPr="0002450E">
              <w:rPr>
                <w:iCs/>
              </w:rPr>
              <w:t xml:space="preserve">above with the following upon system implementation:] </w:t>
            </w:r>
          </w:p>
          <w:p w14:paraId="2DF7C6B3" w14:textId="117C5A89" w:rsidR="008D69E1" w:rsidRDefault="008D69E1" w:rsidP="008D69E1">
            <w:pPr>
              <w:spacing w:after="240"/>
              <w:ind w:left="720" w:hanging="720"/>
            </w:pPr>
            <w:r>
              <w:t>(4)</w:t>
            </w:r>
            <w:r>
              <w:tab/>
              <w:t>An Interconnecting Entity (IE) shall not proceed to Initial Synchronization of a Generation Resource, ESR, Settlement Only Transmission Generator (SOTG), Settlement Only Transmission Self-Generator (SOTSG)</w:t>
            </w:r>
            <w:r w:rsidR="00DF27BC">
              <w:t>, or Settlement Only Transmission Energy Storage System (SOTESS)</w:t>
            </w:r>
            <w:r>
              <w:t xml:space="preserve"> in the event of any of the following conditions:</w:t>
            </w:r>
          </w:p>
          <w:p w14:paraId="158E9B52" w14:textId="15EDC551" w:rsidR="008D69E1" w:rsidRDefault="008D69E1" w:rsidP="008D69E1">
            <w:pPr>
              <w:spacing w:after="240"/>
              <w:ind w:left="1440" w:hanging="720"/>
            </w:pPr>
            <w:r>
              <w:t>(a)</w:t>
            </w:r>
            <w:r>
              <w:tab/>
              <w:t>Pursuant to paragraph (3) above, ERCOT has reasonably determined that the Generation Resource, ESR, SOTG,</w:t>
            </w:r>
            <w:r>
              <w:rPr>
                <w:iCs/>
              </w:rPr>
              <w:t xml:space="preserve"> SOTSG</w:t>
            </w:r>
            <w:r w:rsidR="00DF27BC">
              <w:rPr>
                <w:iCs/>
              </w:rPr>
              <w:t>, or SOTESS</w:t>
            </w:r>
            <w:r>
              <w:t xml:space="preserve"> may violate operational standards established in the Protocols, Planning Guide, Nodal Operating Guides, and Other Binding Documents, and the Resource Entity has not yet demonstrated to ERCOT’s satisfaction that the Generation Resource, ESR, SOTG,</w:t>
            </w:r>
            <w:r>
              <w:rPr>
                <w:iCs/>
              </w:rPr>
              <w:t xml:space="preserve"> SOTSG</w:t>
            </w:r>
            <w:r w:rsidR="00DF27BC">
              <w:rPr>
                <w:iCs/>
              </w:rPr>
              <w:t>, or SOTESS</w:t>
            </w:r>
            <w:r>
              <w:t xml:space="preserve"> can comply with these standards;</w:t>
            </w:r>
          </w:p>
          <w:p w14:paraId="1AE9478C" w14:textId="5DB77B88" w:rsidR="008D69E1" w:rsidRDefault="008D69E1" w:rsidP="008D69E1">
            <w:pPr>
              <w:spacing w:after="240"/>
              <w:ind w:left="1440" w:hanging="720"/>
            </w:pPr>
            <w:r>
              <w:t>(b)</w:t>
            </w:r>
            <w:r>
              <w:tab/>
              <w:t>The requirements of Planning Guide Section 5.9, Quarterly Stability Assessment</w:t>
            </w:r>
            <w:r w:rsidR="00331248">
              <w:t xml:space="preserve">, if applicable, </w:t>
            </w:r>
            <w:r>
              <w:t>have not been completed for the Generation Resource, ESR, SOTG,</w:t>
            </w:r>
            <w:r>
              <w:rPr>
                <w:iCs/>
              </w:rPr>
              <w:t xml:space="preserve"> SOTSG</w:t>
            </w:r>
            <w:r w:rsidR="00DF27BC">
              <w:rPr>
                <w:iCs/>
              </w:rPr>
              <w:t>, or SOTESS</w:t>
            </w:r>
            <w:r>
              <w:t>; or</w:t>
            </w:r>
          </w:p>
          <w:p w14:paraId="2A5887B3" w14:textId="4BB79327" w:rsidR="008D69E1" w:rsidRPr="008D69E1" w:rsidRDefault="008D69E1" w:rsidP="008D69E1">
            <w:pPr>
              <w:spacing w:after="240"/>
              <w:ind w:left="1440" w:hanging="720"/>
            </w:pPr>
            <w:r>
              <w:lastRenderedPageBreak/>
              <w:t>(c)</w:t>
            </w:r>
            <w:r>
              <w:tab/>
              <w:t>Any required Subsynchronous Resonance (SSR) studies, SSR Mitigation Plan, SSR Protection, and SSR monitoring if required, have not been completed and approved by ERCOT.</w:t>
            </w:r>
          </w:p>
        </w:tc>
      </w:tr>
    </w:tbl>
    <w:p w14:paraId="1AFE4147" w14:textId="23F6172A" w:rsidR="00D629DE" w:rsidRDefault="00A723FE" w:rsidP="00AA42E8">
      <w:pPr>
        <w:pStyle w:val="BodyText"/>
        <w:spacing w:before="240"/>
        <w:ind w:left="720" w:hanging="720"/>
      </w:pPr>
      <w:r>
        <w:lastRenderedPageBreak/>
        <w:t>(</w:t>
      </w:r>
      <w:r w:rsidR="008F6D05">
        <w:t>5</w:t>
      </w:r>
      <w:r>
        <w:t>)</w:t>
      </w:r>
      <w:r>
        <w:tab/>
      </w:r>
      <w:r w:rsidR="00FD6B07" w:rsidRPr="006730E5">
        <w:rPr>
          <w:iCs w:val="0"/>
        </w:rPr>
        <w:t>DG with an installed capacity greater than one MW, the DG registration threshold,</w:t>
      </w:r>
      <w:r w:rsidR="00FD6B07">
        <w:rPr>
          <w:iCs w:val="0"/>
        </w:rPr>
        <w:t xml:space="preserve"> which exports energy into a Distribution System, </w:t>
      </w:r>
      <w:r w:rsidR="00FD6B07" w:rsidRPr="006730E5">
        <w:rPr>
          <w:iCs w:val="0"/>
        </w:rPr>
        <w:t>must register with ERCOT</w:t>
      </w:r>
      <w:r w:rsidR="00FD6B07">
        <w:rPr>
          <w:iCs w:val="0"/>
        </w:rPr>
        <w:t>.</w:t>
      </w:r>
      <w:r w:rsidR="00FD6B07" w:rsidRPr="006730E5">
        <w:rPr>
          <w:iCs w:val="0"/>
        </w:rPr>
        <w:t xml:space="preserve">  </w:t>
      </w:r>
    </w:p>
    <w:p w14:paraId="5BB74F4D" w14:textId="77777777" w:rsidR="007D280D" w:rsidRDefault="007D280D" w:rsidP="007D280D">
      <w:pPr>
        <w:pStyle w:val="BodyText"/>
        <w:ind w:left="720" w:hanging="720"/>
      </w:pPr>
      <w:bookmarkStart w:id="246" w:name="_Toc390438940"/>
      <w:bookmarkStart w:id="247" w:name="_Toc405897637"/>
      <w:bookmarkStart w:id="248" w:name="_Toc415055741"/>
      <w:bookmarkStart w:id="249" w:name="_Toc415055867"/>
      <w:bookmarkStart w:id="250" w:name="_Toc415055966"/>
      <w:bookmarkStart w:id="251" w:name="_Toc415056067"/>
      <w:r>
        <w:t>(6)</w:t>
      </w:r>
      <w:r>
        <w:tab/>
      </w:r>
      <w:r>
        <w:rPr>
          <w:iCs w:val="0"/>
        </w:rPr>
        <w:t>A Resource Entity representing an Energy Storage Resource (ESR) shall register the ESR as both a Generation Resource and a Controllable Load Resource.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D69E1" w14:paraId="4DBBD77A" w14:textId="77777777" w:rsidTr="00CD51A8">
        <w:tc>
          <w:tcPr>
            <w:tcW w:w="9558" w:type="dxa"/>
            <w:shd w:val="pct12" w:color="auto" w:fill="auto"/>
          </w:tcPr>
          <w:p w14:paraId="5EB1F2E7" w14:textId="13C1EBE7" w:rsidR="008D69E1" w:rsidRPr="0002450E" w:rsidRDefault="008D69E1" w:rsidP="00CD51A8">
            <w:pPr>
              <w:pStyle w:val="Instructions"/>
              <w:spacing w:before="120"/>
              <w:rPr>
                <w:iCs/>
              </w:rPr>
            </w:pPr>
            <w:r>
              <w:rPr>
                <w:iCs/>
              </w:rPr>
              <w:t>[NPRR1002</w:t>
            </w:r>
            <w:r w:rsidRPr="0002450E">
              <w:rPr>
                <w:iCs/>
              </w:rPr>
              <w:t xml:space="preserve">:  Replace </w:t>
            </w:r>
            <w:r>
              <w:rPr>
                <w:iCs/>
              </w:rPr>
              <w:t xml:space="preserve">paragraph (6) </w:t>
            </w:r>
            <w:r w:rsidRPr="0002450E">
              <w:rPr>
                <w:iCs/>
              </w:rPr>
              <w:t xml:space="preserve">above with the following upon system implementation:] </w:t>
            </w:r>
          </w:p>
          <w:p w14:paraId="3B4E811C" w14:textId="6CE8C13C" w:rsidR="008D69E1" w:rsidRPr="008D69E1" w:rsidRDefault="008D69E1" w:rsidP="008D69E1">
            <w:pPr>
              <w:spacing w:after="240"/>
              <w:ind w:left="720" w:hanging="720"/>
            </w:pPr>
            <w:r>
              <w:t>(6)</w:t>
            </w:r>
            <w:r>
              <w:tab/>
              <w:t xml:space="preserve">A Resource Entity representing an ESR shall register the ESR as </w:t>
            </w:r>
            <w:r>
              <w:rPr>
                <w:iCs/>
              </w:rPr>
              <w:t>an ESR</w:t>
            </w:r>
            <w:r>
              <w:t>.</w:t>
            </w:r>
            <w:r>
              <w:rPr>
                <w:iCs/>
              </w:rPr>
              <w:t xml:space="preserve">  ERCOT systems, including the Energy and Market Management System (EM</w:t>
            </w:r>
            <w:r w:rsidR="00331248">
              <w:rPr>
                <w:iCs/>
              </w:rPr>
              <w:t>M</w:t>
            </w:r>
            <w:r>
              <w:rPr>
                <w:iCs/>
              </w:rPr>
              <w:t xml:space="preserve">S) and Settlement system, shall continue to treat the ESR as </w:t>
            </w:r>
            <w:r>
              <w:t>both a Generation Resource and a Controllable Load Resource</w:t>
            </w:r>
            <w:r>
              <w:rPr>
                <w:iCs/>
              </w:rPr>
              <w:t xml:space="preserve"> until such time as all ERCOT systems are capable of treating an ESR as a single Resource</w:t>
            </w:r>
            <w:r>
              <w:t>.</w:t>
            </w:r>
          </w:p>
        </w:tc>
      </w:tr>
    </w:tbl>
    <w:p w14:paraId="271AF791" w14:textId="6179FB9E" w:rsidR="00FC1C5F" w:rsidRDefault="00727E32" w:rsidP="00AA42E8">
      <w:pPr>
        <w:pStyle w:val="H3"/>
        <w:spacing w:before="480"/>
      </w:pPr>
      <w:bookmarkStart w:id="252" w:name="_Toc70591608"/>
      <w:r>
        <w:t>16.5.1</w:t>
      </w:r>
      <w:r>
        <w:tab/>
        <w:t>Technical and Managerial Requirements for Resource Entity Applicants</w:t>
      </w:r>
      <w:bookmarkEnd w:id="246"/>
      <w:bookmarkEnd w:id="247"/>
      <w:bookmarkEnd w:id="248"/>
      <w:bookmarkEnd w:id="249"/>
      <w:bookmarkEnd w:id="250"/>
      <w:bookmarkEnd w:id="251"/>
      <w:bookmarkEnd w:id="252"/>
    </w:p>
    <w:p w14:paraId="5098470C" w14:textId="77777777" w:rsidR="00FC1C5F" w:rsidRDefault="007B6516" w:rsidP="00D169BA">
      <w:pPr>
        <w:pStyle w:val="BodyText"/>
        <w:ind w:left="720" w:hanging="720"/>
      </w:pPr>
      <w:r>
        <w:t>(1)</w:t>
      </w:r>
      <w:r>
        <w:tab/>
      </w:r>
      <w:r w:rsidR="00727E32">
        <w:t>A Resource Entity applicant must:</w:t>
      </w:r>
    </w:p>
    <w:p w14:paraId="7CEA7B3C" w14:textId="77777777" w:rsidR="00FC1C5F" w:rsidRDefault="00727E32" w:rsidP="00D169BA">
      <w:pPr>
        <w:pStyle w:val="List"/>
      </w:pPr>
      <w:r>
        <w:t>(</w:t>
      </w:r>
      <w:r w:rsidR="007B6516">
        <w:t>a</w:t>
      </w:r>
      <w:r>
        <w:t>)</w:t>
      </w:r>
      <w:r>
        <w:tab/>
        <w:t>Be capable of complying with all policies, rules, guidelines, registration requirements, and procedures established by these Protocols, ERCOT, or other Independent Organizations, if applicable; and</w:t>
      </w:r>
    </w:p>
    <w:p w14:paraId="4A86B1DF" w14:textId="77777777" w:rsidR="00FC1C5F" w:rsidRDefault="00727E32" w:rsidP="00D169BA">
      <w:pPr>
        <w:pStyle w:val="List"/>
      </w:pPr>
      <w:r>
        <w:t>(</w:t>
      </w:r>
      <w:r w:rsidR="007B6516">
        <w:t>b</w:t>
      </w:r>
      <w:r>
        <w:t>)</w:t>
      </w:r>
      <w:r>
        <w:tab/>
        <w:t>Be capable of purchasing power from Entities registered with or by ERCOT or the Independent Organizations and capable of complying with its system rules.</w:t>
      </w:r>
    </w:p>
    <w:p w14:paraId="2C628244" w14:textId="77777777" w:rsidR="00FC1C5F" w:rsidRPr="00D63F95" w:rsidRDefault="00727E32">
      <w:pPr>
        <w:pStyle w:val="H4"/>
        <w:rPr>
          <w:b/>
        </w:rPr>
      </w:pPr>
      <w:bookmarkStart w:id="253" w:name="_Toc390438941"/>
      <w:bookmarkStart w:id="254" w:name="_Toc405897638"/>
      <w:bookmarkStart w:id="255" w:name="_Toc415055742"/>
      <w:bookmarkStart w:id="256" w:name="_Toc415055868"/>
      <w:bookmarkStart w:id="257" w:name="_Toc415055967"/>
      <w:bookmarkStart w:id="258" w:name="_Toc415056068"/>
      <w:bookmarkStart w:id="259" w:name="_Toc70591609"/>
      <w:r w:rsidRPr="00D63F95">
        <w:rPr>
          <w:b/>
        </w:rPr>
        <w:t>16.5.1.1</w:t>
      </w:r>
      <w:r w:rsidRPr="00D63F95">
        <w:rPr>
          <w:b/>
        </w:rPr>
        <w:tab/>
        <w:t>Designation of a Qualified Scheduling Entity</w:t>
      </w:r>
      <w:bookmarkEnd w:id="253"/>
      <w:bookmarkEnd w:id="254"/>
      <w:bookmarkEnd w:id="255"/>
      <w:bookmarkEnd w:id="256"/>
      <w:bookmarkEnd w:id="257"/>
      <w:bookmarkEnd w:id="258"/>
      <w:bookmarkEnd w:id="259"/>
    </w:p>
    <w:p w14:paraId="5A2C44C4" w14:textId="77777777" w:rsidR="00FC1C5F" w:rsidRDefault="00727E32" w:rsidP="000E3528">
      <w:pPr>
        <w:pStyle w:val="BodyTextNumbered"/>
      </w:pPr>
      <w:r>
        <w:t>(1)</w:t>
      </w:r>
      <w:r>
        <w:tab/>
        <w:t>Each Resource Entity applicant within the ERCOT Region shall designate the Qualified Scheduling Entity (QSE) that will</w:t>
      </w:r>
      <w:r w:rsidR="000E3528">
        <w:t xml:space="preserve"> perform QSE functions per these Protocol</w:t>
      </w:r>
      <w:r w:rsidR="00AC443B">
        <w:t>s</w:t>
      </w:r>
      <w:r w:rsidR="000E3528">
        <w:t xml:space="preserve"> on behalf of the Resource Entity</w:t>
      </w:r>
      <w:r>
        <w:t>.  Each applicant shall acknowledge that it bears sole responsibility for selecting and maintaining a QSE as its representative.  The applicant shall include a written statement from the designated QSE acknowledging that the QSE accepts responsibility for the applicant’s transactions pursuant to these Protocols.</w:t>
      </w:r>
      <w:r w:rsidR="000E3528">
        <w:t xml:space="preserve">  For the Resource Entity that owns or operates a Generation Resource, the Resource Entity’s QSE designation must be submitted to ERCOT no later than 45 days prior to the Network Operations Model change date</w:t>
      </w:r>
      <w:r w:rsidR="000E3528" w:rsidRPr="00940B2B">
        <w:t xml:space="preserve">, </w:t>
      </w:r>
      <w:r w:rsidR="000E3528" w:rsidRPr="00940B2B">
        <w:rPr>
          <w:szCs w:val="24"/>
        </w:rPr>
        <w:t xml:space="preserve">as described in Section </w:t>
      </w:r>
      <w:bookmarkStart w:id="260" w:name="_Toc333405817"/>
      <w:bookmarkStart w:id="261" w:name="_Toc204048545"/>
      <w:bookmarkEnd w:id="260"/>
      <w:bookmarkEnd w:id="261"/>
      <w:r w:rsidR="000E3528" w:rsidRPr="00940B2B">
        <w:rPr>
          <w:szCs w:val="24"/>
        </w:rPr>
        <w:t xml:space="preserve">3.10.1, Time Line for Network Operations Model Changes, </w:t>
      </w:r>
      <w:r w:rsidR="000E3528" w:rsidRPr="00940B2B">
        <w:t>for</w:t>
      </w:r>
      <w:r w:rsidR="000E3528">
        <w:t xml:space="preserve"> the Resource.</w:t>
      </w:r>
    </w:p>
    <w:p w14:paraId="6F56F9C7" w14:textId="77777777" w:rsidR="00FC1C5F" w:rsidRDefault="00727E32" w:rsidP="000E3528">
      <w:pPr>
        <w:pStyle w:val="BodyTextNumbered"/>
      </w:pPr>
      <w:r>
        <w:lastRenderedPageBreak/>
        <w:t>(2)</w:t>
      </w:r>
      <w:r>
        <w:tab/>
      </w:r>
      <w:r w:rsidR="000E3528">
        <w:t xml:space="preserve">If a Resource Entity fails to maintain a QSE as its representative, the Resource Entity may be designated as an Emergency QSE as provided in Section </w:t>
      </w:r>
      <w:r w:rsidR="000E3528" w:rsidRPr="00C44315">
        <w:t>16.2.6.1, Designation as an Emergency Qualified Scheduling Entity or Virtual Qualified Scheduling Entity</w:t>
      </w:r>
      <w:r w:rsidR="000E3528">
        <w:t>.</w:t>
      </w:r>
    </w:p>
    <w:p w14:paraId="76B93AAE" w14:textId="77777777" w:rsidR="00FC1C5F" w:rsidRPr="00D63F95" w:rsidRDefault="00727E32">
      <w:pPr>
        <w:pStyle w:val="H4"/>
        <w:rPr>
          <w:b/>
        </w:rPr>
      </w:pPr>
      <w:bookmarkStart w:id="262" w:name="_Toc390438942"/>
      <w:bookmarkStart w:id="263" w:name="_Toc405897639"/>
      <w:bookmarkStart w:id="264" w:name="_Toc415055743"/>
      <w:bookmarkStart w:id="265" w:name="_Toc415055869"/>
      <w:bookmarkStart w:id="266" w:name="_Toc415055968"/>
      <w:bookmarkStart w:id="267" w:name="_Toc415056069"/>
      <w:bookmarkStart w:id="268" w:name="_Toc70591610"/>
      <w:r w:rsidRPr="00D63F95">
        <w:rPr>
          <w:b/>
        </w:rPr>
        <w:t>16.5.1.2</w:t>
      </w:r>
      <w:r w:rsidRPr="00D63F95">
        <w:rPr>
          <w:b/>
        </w:rPr>
        <w:tab/>
        <w:t>Waiver for Federal Hydroelectric Facilities</w:t>
      </w:r>
      <w:bookmarkEnd w:id="262"/>
      <w:bookmarkEnd w:id="263"/>
      <w:bookmarkEnd w:id="264"/>
      <w:bookmarkEnd w:id="265"/>
      <w:bookmarkEnd w:id="266"/>
      <w:bookmarkEnd w:id="267"/>
      <w:bookmarkEnd w:id="268"/>
    </w:p>
    <w:p w14:paraId="3B0D1AED" w14:textId="0AA29697" w:rsidR="00CB766B" w:rsidRPr="001E138D" w:rsidRDefault="00CB766B" w:rsidP="00CB766B">
      <w:pPr>
        <w:spacing w:after="240"/>
        <w:ind w:left="720" w:hanging="720"/>
        <w:rPr>
          <w:iCs/>
        </w:rPr>
      </w:pPr>
      <w:r w:rsidRPr="001E138D">
        <w:rPr>
          <w:iCs/>
        </w:rPr>
        <w:t>(1)</w:t>
      </w:r>
      <w:r w:rsidRPr="001E138D">
        <w:rPr>
          <w:iCs/>
        </w:rPr>
        <w:tab/>
        <w:t xml:space="preserve">ERCOT may grant a waiver to any federally owned hydroelectric </w:t>
      </w:r>
      <w:r>
        <w:rPr>
          <w:iCs/>
        </w:rPr>
        <w:t>Generation Resource, SOG, or Load Resource</w:t>
      </w:r>
      <w:r w:rsidRPr="001E138D">
        <w:rPr>
          <w:iCs/>
        </w:rPr>
        <w:t xml:space="preserve"> within the ERCOT System from fulfilling the requirements in </w:t>
      </w:r>
      <w:r w:rsidRPr="0032725A">
        <w:rPr>
          <w:iCs/>
        </w:rPr>
        <w:t>Section 16.5</w:t>
      </w:r>
      <w:r w:rsidRPr="001E138D">
        <w:rPr>
          <w:iCs/>
        </w:rPr>
        <w:t xml:space="preserve">, Registration of a Resource Entity, as they pertain to the submission of a Resource Entity application and the execution of a </w:t>
      </w:r>
      <w:r w:rsidR="00081A43">
        <w:rPr>
          <w:iCs/>
        </w:rPr>
        <w:t xml:space="preserve">Standard Form </w:t>
      </w:r>
      <w:r w:rsidRPr="001E138D">
        <w:rPr>
          <w:iCs/>
        </w:rPr>
        <w:t>Market Participant Agreement (</w:t>
      </w:r>
      <w:r w:rsidRPr="0032725A">
        <w:rPr>
          <w:iCs/>
        </w:rPr>
        <w:t>Section 22, Attachment A</w:t>
      </w:r>
      <w:r w:rsidRPr="001E138D">
        <w:rPr>
          <w:iCs/>
        </w:rPr>
        <w:t>, Standard Form Market Participant Agreement).  ERCOT may grant such waiver after the federally owned hydroelectric Resource Entity provides ERCOT with the following:</w:t>
      </w:r>
    </w:p>
    <w:p w14:paraId="00CEB75D" w14:textId="77777777" w:rsidR="00CB766B" w:rsidRPr="001E138D" w:rsidRDefault="00CB766B" w:rsidP="00CB766B">
      <w:pPr>
        <w:spacing w:after="240"/>
        <w:ind w:left="1440" w:hanging="720"/>
      </w:pPr>
      <w:r w:rsidRPr="001E138D">
        <w:t>(a)</w:t>
      </w:r>
      <w:r w:rsidRPr="001E138D">
        <w:tab/>
        <w:t>All information necessary to meet the Resource Entity registration requirements as provided in this Section;</w:t>
      </w:r>
    </w:p>
    <w:p w14:paraId="155D2648" w14:textId="77777777" w:rsidR="00CB766B" w:rsidRDefault="00CB766B" w:rsidP="00CB766B">
      <w:pPr>
        <w:spacing w:after="240"/>
        <w:ind w:left="1440" w:hanging="720"/>
      </w:pPr>
      <w:r w:rsidRPr="001E138D">
        <w:t>(b)</w:t>
      </w:r>
      <w:r w:rsidRPr="001E138D">
        <w:tab/>
        <w:t xml:space="preserve">The designation of a </w:t>
      </w:r>
      <w:r w:rsidRPr="0032725A">
        <w:t>QSE</w:t>
      </w:r>
      <w:r w:rsidRPr="001E138D">
        <w:t xml:space="preserve"> for each </w:t>
      </w:r>
      <w:r>
        <w:rPr>
          <w:iCs/>
        </w:rPr>
        <w:t>Generation Resource, SOG, or Load Resource</w:t>
      </w:r>
      <w:r w:rsidRPr="001E138D">
        <w:t xml:space="preserve"> that it owns or controls; and</w:t>
      </w:r>
    </w:p>
    <w:p w14:paraId="1ED97B23" w14:textId="16B398B2" w:rsidR="00FC1C5F" w:rsidRDefault="00CB766B">
      <w:pPr>
        <w:pStyle w:val="List"/>
      </w:pPr>
      <w:r w:rsidRPr="001E138D">
        <w:t>(c)</w:t>
      </w:r>
      <w:r w:rsidRPr="001E138D">
        <w:tab/>
        <w:t xml:space="preserve">Assignment of each </w:t>
      </w:r>
      <w:r>
        <w:t>Generation Resource’s, SOG’s, or Load Resource’s</w:t>
      </w:r>
      <w:r w:rsidRPr="001E138D">
        <w:t xml:space="preserve"> Electric Service Identifier (ESI ID) to a Load Serving Entity (LSE) serving any Load or net Load, if the </w:t>
      </w:r>
      <w:r>
        <w:t>Generation Resource, SOG, or Load Resource</w:t>
      </w:r>
      <w:r w:rsidRPr="001E138D">
        <w:t xml:space="preserve"> is net metered and will be connected to the ERCOT System.  Such Load, if retail Load, is subject to all applicable rules and procedures, including rules concerning disconnection and Provider of Last Resort (POLR) service, applicable to other retail points of delivery.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DF27BC" w14:paraId="45E6A4ED" w14:textId="77777777" w:rsidTr="008552F8">
        <w:tc>
          <w:tcPr>
            <w:tcW w:w="9558" w:type="dxa"/>
            <w:shd w:val="pct12" w:color="auto" w:fill="auto"/>
          </w:tcPr>
          <w:p w14:paraId="40D1DE84" w14:textId="04059C09" w:rsidR="00DF27BC" w:rsidRPr="0002450E" w:rsidRDefault="00DF27BC" w:rsidP="008552F8">
            <w:pPr>
              <w:pStyle w:val="Instructions"/>
              <w:spacing w:before="120"/>
              <w:rPr>
                <w:iCs/>
              </w:rPr>
            </w:pPr>
            <w:bookmarkStart w:id="269" w:name="_Toc390438943"/>
            <w:bookmarkStart w:id="270" w:name="_Toc405897640"/>
            <w:bookmarkStart w:id="271" w:name="_Toc415055744"/>
            <w:bookmarkStart w:id="272" w:name="_Toc415055870"/>
            <w:bookmarkStart w:id="273" w:name="_Toc415055969"/>
            <w:bookmarkStart w:id="274" w:name="_Toc415056070"/>
            <w:bookmarkStart w:id="275" w:name="_Toc70591611"/>
            <w:r>
              <w:rPr>
                <w:iCs/>
              </w:rPr>
              <w:t>[NPRR995</w:t>
            </w:r>
            <w:r w:rsidRPr="0002450E">
              <w:rPr>
                <w:iCs/>
              </w:rPr>
              <w:t xml:space="preserve">:  Replace </w:t>
            </w:r>
            <w:r>
              <w:rPr>
                <w:iCs/>
              </w:rPr>
              <w:t xml:space="preserve">paragraph (1) </w:t>
            </w:r>
            <w:r w:rsidRPr="0002450E">
              <w:rPr>
                <w:iCs/>
              </w:rPr>
              <w:t xml:space="preserve">above with the following upon system implementation:] </w:t>
            </w:r>
          </w:p>
          <w:p w14:paraId="0DEF59F3" w14:textId="77777777" w:rsidR="00DF27BC" w:rsidRPr="007405C8" w:rsidRDefault="00DF27BC" w:rsidP="00DF27BC">
            <w:pPr>
              <w:spacing w:after="240"/>
              <w:ind w:left="720" w:hanging="720"/>
              <w:rPr>
                <w:iCs/>
              </w:rPr>
            </w:pPr>
            <w:r w:rsidRPr="007405C8">
              <w:rPr>
                <w:iCs/>
              </w:rPr>
              <w:t>(1)</w:t>
            </w:r>
            <w:r w:rsidRPr="007405C8">
              <w:rPr>
                <w:iCs/>
              </w:rPr>
              <w:tab/>
              <w:t xml:space="preserve">ERCOT may grant a waiver to any federally owned hydroelectric Generation Resource, SOG, </w:t>
            </w:r>
            <w:r>
              <w:rPr>
                <w:iCs/>
              </w:rPr>
              <w:t xml:space="preserve">SOESS, </w:t>
            </w:r>
            <w:r w:rsidRPr="007405C8">
              <w:rPr>
                <w:iCs/>
              </w:rPr>
              <w:t xml:space="preserve">or Load Resource within the ERCOT System from fulfilling the requirements in Section 16.5, Registration of a Resource Entity, as they pertain to the submission of a Resource Entity application and the execution of a </w:t>
            </w:r>
            <w:r w:rsidRPr="005D4CCB">
              <w:rPr>
                <w:iCs/>
              </w:rPr>
              <w:t xml:space="preserve">Standard Form </w:t>
            </w:r>
            <w:r w:rsidRPr="007405C8">
              <w:rPr>
                <w:iCs/>
              </w:rPr>
              <w:t>Market Participant Agreement (Section 22, Attachment A, Standard Form Market Participant Agreement).  ERCOT may grant such waiver after the federally owned hydroelectric Resource Entity provides ERCOT with the following:</w:t>
            </w:r>
          </w:p>
          <w:p w14:paraId="325A66B1" w14:textId="77777777" w:rsidR="00DF27BC" w:rsidRPr="007405C8" w:rsidRDefault="00DF27BC" w:rsidP="00DF27BC">
            <w:pPr>
              <w:spacing w:after="240"/>
              <w:ind w:left="1440" w:hanging="720"/>
            </w:pPr>
            <w:r w:rsidRPr="007405C8">
              <w:t>(a)</w:t>
            </w:r>
            <w:r w:rsidRPr="007405C8">
              <w:tab/>
              <w:t>All information necessary to meet the Resource Entity registration requirements as provided in this Section;</w:t>
            </w:r>
          </w:p>
          <w:p w14:paraId="51225C9B" w14:textId="77777777" w:rsidR="00DF27BC" w:rsidRPr="007405C8" w:rsidRDefault="00DF27BC" w:rsidP="00DF27BC">
            <w:pPr>
              <w:spacing w:after="240"/>
              <w:ind w:left="1440" w:hanging="720"/>
            </w:pPr>
            <w:r w:rsidRPr="007405C8">
              <w:t>(b)</w:t>
            </w:r>
            <w:r w:rsidRPr="007405C8">
              <w:tab/>
              <w:t xml:space="preserve">The designation of a QSE for each </w:t>
            </w:r>
            <w:r w:rsidRPr="007405C8">
              <w:rPr>
                <w:iCs/>
              </w:rPr>
              <w:t xml:space="preserve">Generation Resource, SOG, </w:t>
            </w:r>
            <w:r>
              <w:rPr>
                <w:iCs/>
              </w:rPr>
              <w:t xml:space="preserve">SOESS, </w:t>
            </w:r>
            <w:r w:rsidRPr="007405C8">
              <w:rPr>
                <w:iCs/>
              </w:rPr>
              <w:t>or Load Resource</w:t>
            </w:r>
            <w:r w:rsidRPr="007405C8">
              <w:t xml:space="preserve"> that it owns or controls; and</w:t>
            </w:r>
          </w:p>
          <w:p w14:paraId="4E5249D1" w14:textId="5F3BD9BE" w:rsidR="00DF27BC" w:rsidRPr="008D69E1" w:rsidRDefault="00DF27BC" w:rsidP="00DF27BC">
            <w:pPr>
              <w:spacing w:after="240"/>
              <w:ind w:left="1440" w:hanging="720"/>
            </w:pPr>
            <w:r w:rsidRPr="007405C8">
              <w:t>(c)</w:t>
            </w:r>
            <w:r w:rsidRPr="007405C8">
              <w:tab/>
              <w:t xml:space="preserve">Assignment of each Generation Resource’s, SOG’s, </w:t>
            </w:r>
            <w:r>
              <w:rPr>
                <w:iCs/>
              </w:rPr>
              <w:t xml:space="preserve">SOESS’s, </w:t>
            </w:r>
            <w:r w:rsidRPr="007405C8">
              <w:t xml:space="preserve">or Load Resource’s Electric Service Identifier (ESI ID) to a Load Serving Entity (LSE) </w:t>
            </w:r>
            <w:r w:rsidRPr="007405C8">
              <w:lastRenderedPageBreak/>
              <w:t xml:space="preserve">serving any Load or net Load, if the Generation Resource, SOG, </w:t>
            </w:r>
            <w:r>
              <w:rPr>
                <w:iCs/>
              </w:rPr>
              <w:t xml:space="preserve">SOESS, </w:t>
            </w:r>
            <w:r w:rsidRPr="007405C8">
              <w:t>or Load Resource is net metered and will be connected to the ERCOT System.  Such Load, if retail Load, is subject to all applicable rules and procedures, including rules concerning disconnection and Provider of Last Resort (POLR) service, applicable to other retail points of delivery.</w:t>
            </w:r>
          </w:p>
        </w:tc>
      </w:tr>
    </w:tbl>
    <w:p w14:paraId="604FAA6B" w14:textId="77777777" w:rsidR="00FC1C5F" w:rsidRPr="00D63F95" w:rsidRDefault="00727E32" w:rsidP="00C33516">
      <w:pPr>
        <w:pStyle w:val="H4"/>
        <w:keepNext w:val="0"/>
        <w:spacing w:before="480"/>
        <w:rPr>
          <w:b/>
        </w:rPr>
      </w:pPr>
      <w:r w:rsidRPr="00D63F95">
        <w:rPr>
          <w:b/>
        </w:rPr>
        <w:lastRenderedPageBreak/>
        <w:t>16.5.1.3</w:t>
      </w:r>
      <w:r w:rsidRPr="00D63F95">
        <w:rPr>
          <w:b/>
        </w:rPr>
        <w:tab/>
        <w:t>Waiver for Block Load Transfer Resources</w:t>
      </w:r>
      <w:bookmarkEnd w:id="269"/>
      <w:bookmarkEnd w:id="270"/>
      <w:bookmarkEnd w:id="271"/>
      <w:bookmarkEnd w:id="272"/>
      <w:bookmarkEnd w:id="273"/>
      <w:bookmarkEnd w:id="274"/>
      <w:bookmarkEnd w:id="275"/>
    </w:p>
    <w:p w14:paraId="6B49AF46" w14:textId="600A68CB" w:rsidR="00FC1C5F" w:rsidRDefault="00853D39" w:rsidP="009F10FE">
      <w:pPr>
        <w:pStyle w:val="ListIntroduction"/>
        <w:keepNext w:val="0"/>
        <w:ind w:left="720" w:hanging="720"/>
      </w:pPr>
      <w:r>
        <w:rPr>
          <w:lang w:val="en-US"/>
        </w:rPr>
        <w:t>(1)</w:t>
      </w:r>
      <w:r>
        <w:rPr>
          <w:lang w:val="en-US"/>
        </w:rPr>
        <w:tab/>
      </w:r>
      <w:r w:rsidR="00727E32">
        <w:t>ERCOT may grant a waiver to a Resource Entity for a Block Load Transfer (</w:t>
      </w:r>
      <w:smartTag w:uri="urn:schemas-microsoft-com:office:smarttags" w:element="stockticker">
        <w:r w:rsidR="00727E32">
          <w:t>BLT</w:t>
        </w:r>
      </w:smartTag>
      <w:r w:rsidR="00727E32">
        <w:t xml:space="preserve">) Resource from fulfilling the requirements in Section 16.5, Registration of a Resource Entity, as they pertain to the submission of a Resource Entity application and the execution of a </w:t>
      </w:r>
      <w:r w:rsidR="00081A43">
        <w:rPr>
          <w:lang w:val="en-US"/>
        </w:rPr>
        <w:t xml:space="preserve">Standard Form </w:t>
      </w:r>
      <w:r w:rsidR="00727E32">
        <w:t>Market Participant Agreement (Section 22, Attachment A, Standard Form Market Participant Agreement).  ERCOT may grant such waiver after the Resource Entity for the BLT Resource provides ERCOT with the following:</w:t>
      </w:r>
    </w:p>
    <w:p w14:paraId="04D5F98F" w14:textId="77777777" w:rsidR="00FC1C5F" w:rsidRDefault="00727E32">
      <w:pPr>
        <w:pStyle w:val="List"/>
      </w:pPr>
      <w:r>
        <w:t>(a)</w:t>
      </w:r>
      <w:r>
        <w:tab/>
        <w:t>All applicable information necessary to meet the Resource Entity registration requirements as provided in this Section; and</w:t>
      </w:r>
    </w:p>
    <w:p w14:paraId="1FD3906F" w14:textId="77777777" w:rsidR="00FC1C5F" w:rsidRDefault="00727E32">
      <w:pPr>
        <w:pStyle w:val="List"/>
      </w:pPr>
      <w:r>
        <w:t>(b)</w:t>
      </w:r>
      <w:r>
        <w:tab/>
        <w:t>The designation of a QSE for the BLT Resource.</w:t>
      </w:r>
    </w:p>
    <w:p w14:paraId="1258AF9E" w14:textId="77777777" w:rsidR="00FC1C5F" w:rsidRDefault="00727E32">
      <w:pPr>
        <w:pStyle w:val="H3"/>
      </w:pPr>
      <w:bookmarkStart w:id="276" w:name="_Toc390438944"/>
      <w:bookmarkStart w:id="277" w:name="_Toc405897641"/>
      <w:bookmarkStart w:id="278" w:name="_Toc415055745"/>
      <w:bookmarkStart w:id="279" w:name="_Toc415055871"/>
      <w:bookmarkStart w:id="280" w:name="_Toc415055970"/>
      <w:bookmarkStart w:id="281" w:name="_Toc415056071"/>
      <w:bookmarkStart w:id="282" w:name="_Toc70591612"/>
      <w:r>
        <w:t>16.5.2</w:t>
      </w:r>
      <w:r>
        <w:tab/>
        <w:t>Registration Process for a Resource Entity</w:t>
      </w:r>
      <w:bookmarkEnd w:id="276"/>
      <w:bookmarkEnd w:id="277"/>
      <w:bookmarkEnd w:id="278"/>
      <w:bookmarkEnd w:id="279"/>
      <w:bookmarkEnd w:id="280"/>
      <w:bookmarkEnd w:id="281"/>
      <w:bookmarkEnd w:id="282"/>
    </w:p>
    <w:p w14:paraId="6F560A33" w14:textId="42BA5B96" w:rsidR="00FC1C5F" w:rsidRDefault="00727E32">
      <w:pPr>
        <w:pStyle w:val="BodyTextNumbered"/>
      </w:pPr>
      <w:r>
        <w:t>(1)</w:t>
      </w:r>
      <w:r>
        <w:tab/>
        <w:t xml:space="preserve">To register as a Resource Entity, an applicant must submit to ERCOT a completed Resource Entity application and any applicable fee.  ERCOT shall post on the </w:t>
      </w:r>
      <w:r w:rsidR="00F13002">
        <w:t>ERCOT website</w:t>
      </w:r>
      <w:r>
        <w:t xml:space="preserve"> the form in which Resource Entity applications must be submitted, all materials that must be provided with the Resource Entity application.  </w:t>
      </w:r>
    </w:p>
    <w:p w14:paraId="52D24382" w14:textId="02586762" w:rsidR="00FC1C5F" w:rsidRDefault="00727E32">
      <w:pPr>
        <w:pStyle w:val="BodyTextNumbered"/>
      </w:pPr>
      <w:r>
        <w:t>(2)</w:t>
      </w:r>
      <w:r>
        <w:tab/>
        <w:t xml:space="preserve">The Resource Entity application must be attested to by a duly authorized officer or agent of the applicant.  The applicant shall promptly notify ERCOT of any material changes affecting a pending Resource Entity application using the appropriate form posted on the </w:t>
      </w:r>
      <w:r w:rsidR="00F13002">
        <w:t>ERCOT website</w:t>
      </w:r>
      <w:r>
        <w:t xml:space="preserve">.  </w:t>
      </w:r>
    </w:p>
    <w:p w14:paraId="6774AB2A" w14:textId="77777777" w:rsidR="004E6267" w:rsidRDefault="004E6267">
      <w:pPr>
        <w:pStyle w:val="BodyTextNumbered"/>
      </w:pPr>
      <w:r>
        <w:t>(3)</w:t>
      </w:r>
      <w:r>
        <w:tab/>
        <w:t>If the Resource Entity intends to own or control a Load Resource located within a Non-Opt-In Entity’s (NOIE’s) service territory, such applicant must designate the NOIE’s QSE, or an alternate QSE authorized by the NOIE.  If an alternate QSE is designated, then such QSE representing that Load Resource must first obtain written permission from the NOIE prior to offering any services in the NOIE’s service territory.  The alternate QSE shall submit the NOIE’s written permission to ERCOT at the time of designation.</w:t>
      </w:r>
    </w:p>
    <w:p w14:paraId="01D75B67" w14:textId="77777777" w:rsidR="00FC1C5F" w:rsidRPr="00D63F95" w:rsidRDefault="00727E32">
      <w:pPr>
        <w:pStyle w:val="H4"/>
        <w:rPr>
          <w:b/>
        </w:rPr>
      </w:pPr>
      <w:bookmarkStart w:id="283" w:name="_Toc390438945"/>
      <w:bookmarkStart w:id="284" w:name="_Toc405897642"/>
      <w:bookmarkStart w:id="285" w:name="_Toc415055746"/>
      <w:bookmarkStart w:id="286" w:name="_Toc415055872"/>
      <w:bookmarkStart w:id="287" w:name="_Toc415055971"/>
      <w:bookmarkStart w:id="288" w:name="_Toc415056072"/>
      <w:bookmarkStart w:id="289" w:name="_Toc70591613"/>
      <w:r w:rsidRPr="00D63F95">
        <w:rPr>
          <w:b/>
        </w:rPr>
        <w:t>16.5.2.1</w:t>
      </w:r>
      <w:r w:rsidRPr="00D63F95">
        <w:rPr>
          <w:b/>
        </w:rPr>
        <w:tab/>
        <w:t>Notice of Receipt of Resource Entity Application</w:t>
      </w:r>
      <w:bookmarkEnd w:id="283"/>
      <w:bookmarkEnd w:id="284"/>
      <w:bookmarkEnd w:id="285"/>
      <w:bookmarkEnd w:id="286"/>
      <w:bookmarkEnd w:id="287"/>
      <w:bookmarkEnd w:id="288"/>
      <w:bookmarkEnd w:id="289"/>
    </w:p>
    <w:p w14:paraId="3DDA3C89" w14:textId="77777777" w:rsidR="00FC1C5F" w:rsidRDefault="00853D39" w:rsidP="009F10FE">
      <w:pPr>
        <w:pStyle w:val="BodyText"/>
        <w:ind w:left="720" w:hanging="720"/>
      </w:pPr>
      <w:r>
        <w:t>(1)</w:t>
      </w:r>
      <w:r>
        <w:tab/>
      </w:r>
      <w:r w:rsidR="00727E32">
        <w:t xml:space="preserve">Within three Business Days after receiving a Resource Entity application, ERCOT shall issue the Resource Entity applicant a written confirmation that ERCOT has received the </w:t>
      </w:r>
      <w:r w:rsidR="00727E32">
        <w:lastRenderedPageBreak/>
        <w:t>application.  ERCOT shall return without review any Resource Entity application that is not complete.</w:t>
      </w:r>
    </w:p>
    <w:p w14:paraId="78511D80" w14:textId="77777777" w:rsidR="00FC1C5F" w:rsidRPr="00D63F95" w:rsidRDefault="00727E32">
      <w:pPr>
        <w:pStyle w:val="H4"/>
        <w:rPr>
          <w:b/>
        </w:rPr>
      </w:pPr>
      <w:bookmarkStart w:id="290" w:name="_Toc390438946"/>
      <w:bookmarkStart w:id="291" w:name="_Toc405897643"/>
      <w:bookmarkStart w:id="292" w:name="_Toc415055747"/>
      <w:bookmarkStart w:id="293" w:name="_Toc415055873"/>
      <w:bookmarkStart w:id="294" w:name="_Toc415055972"/>
      <w:bookmarkStart w:id="295" w:name="_Toc415056073"/>
      <w:bookmarkStart w:id="296" w:name="_Toc70591614"/>
      <w:r w:rsidRPr="00D63F95">
        <w:rPr>
          <w:b/>
        </w:rPr>
        <w:t>16.5.2.2</w:t>
      </w:r>
      <w:r w:rsidRPr="00D63F95">
        <w:rPr>
          <w:b/>
        </w:rPr>
        <w:tab/>
        <w:t>Incomplete Resource Entity Applications</w:t>
      </w:r>
      <w:bookmarkEnd w:id="290"/>
      <w:bookmarkEnd w:id="291"/>
      <w:bookmarkEnd w:id="292"/>
      <w:bookmarkEnd w:id="293"/>
      <w:bookmarkEnd w:id="294"/>
      <w:bookmarkEnd w:id="295"/>
      <w:bookmarkEnd w:id="296"/>
    </w:p>
    <w:p w14:paraId="5AE59E27" w14:textId="77777777" w:rsidR="00FC1C5F" w:rsidRDefault="00727E32">
      <w:pPr>
        <w:pStyle w:val="BodyTextNumbered"/>
      </w:pPr>
      <w:r>
        <w:t>(1)</w:t>
      </w:r>
      <w:r>
        <w:tab/>
        <w:t>Not more than ten Business Days after receiving a Resource Entity application, ERCOT shall notify the applicant in writing whether the application is complete.</w:t>
      </w:r>
    </w:p>
    <w:p w14:paraId="35F11250" w14:textId="77777777" w:rsidR="00FC1C5F" w:rsidRDefault="00727E32">
      <w:pPr>
        <w:pStyle w:val="BodyTextNumbered"/>
      </w:pPr>
      <w:r>
        <w:t>(2)</w:t>
      </w:r>
      <w:r>
        <w:tab/>
        <w:t xml:space="preserve">If ERCOT determines that a Resource Entity application is not complete, ERCOT’s notice must explain the reasons for that determination and the additional information necessary to make the application complete.  The applicant has five Business Days from receiving ERCOT’s notice, or such longer period as ERCOT may allow, to provide the additional information set forth in ERCOT’s notice.  If the applicant timely responds to ERCOT’s notice with the required additional information, then the application is deemed complete on the date that ERCOT receives the applicant’s response. </w:t>
      </w:r>
    </w:p>
    <w:p w14:paraId="7C586039" w14:textId="77777777" w:rsidR="00FC1C5F" w:rsidRDefault="00727E32">
      <w:pPr>
        <w:pStyle w:val="BodyTextNumbered"/>
      </w:pPr>
      <w:r>
        <w:t>(3)</w:t>
      </w:r>
      <w:r>
        <w:tab/>
        <w:t>If the applicant does not timely respond to ERCOT’s notice, then the application must be rejected, and ERCOT shall retain any application fee included with the application.</w:t>
      </w:r>
    </w:p>
    <w:p w14:paraId="657070C0" w14:textId="77777777" w:rsidR="00FC1C5F" w:rsidRDefault="00727E32">
      <w:pPr>
        <w:pStyle w:val="BodyText"/>
        <w:ind w:left="720" w:hanging="720"/>
        <w:rPr>
          <w:b/>
        </w:rPr>
      </w:pPr>
      <w:r>
        <w:rPr>
          <w:b/>
        </w:rPr>
        <w:t>16.5.2.3</w:t>
      </w:r>
      <w:r>
        <w:rPr>
          <w:b/>
        </w:rPr>
        <w:tab/>
        <w:t>ERCOT Approval or Rejection of a Resource Entity Application</w:t>
      </w:r>
    </w:p>
    <w:p w14:paraId="25A2744E" w14:textId="77777777" w:rsidR="00FC1C5F" w:rsidRDefault="00727E32">
      <w:pPr>
        <w:pStyle w:val="BodyTextNumbered"/>
      </w:pPr>
      <w:r>
        <w:t>(1)</w:t>
      </w:r>
      <w:r>
        <w:tab/>
        <w:t>ERCOT may reject a Resource Entity application within ten Business Days after the application has been deemed complete in accordance with this Section.  If ERCOT does not reject the Resource Entity application within ten Business Days after the application is deemed complete then the application is deemed approved.</w:t>
      </w:r>
    </w:p>
    <w:p w14:paraId="6454A628" w14:textId="77777777" w:rsidR="00FC1C5F" w:rsidRDefault="00727E32">
      <w:pPr>
        <w:pStyle w:val="BodyTextNumbered"/>
      </w:pPr>
      <w:r>
        <w:t>(2)</w:t>
      </w:r>
      <w:r>
        <w:tab/>
        <w:t>If ERCOT rejects a Resource Entity application, ERCOT shall send the Resource Entity applicant a rejection letter explaining the grounds upon which ERCOT rejected the Resource Entity application.  Appropriate grounds for rejecting a Resource Entity application include the following:</w:t>
      </w:r>
    </w:p>
    <w:p w14:paraId="1E7733DC" w14:textId="77777777" w:rsidR="00FC1C5F" w:rsidRDefault="00727E32">
      <w:pPr>
        <w:pStyle w:val="List"/>
      </w:pPr>
      <w:r>
        <w:t>(a)</w:t>
      </w:r>
      <w:r>
        <w:tab/>
        <w:t>Required information is not provided to ERCOT in the allotted time;</w:t>
      </w:r>
    </w:p>
    <w:p w14:paraId="5E0D44E7" w14:textId="77777777" w:rsidR="00FC1C5F" w:rsidRDefault="00727E32">
      <w:pPr>
        <w:pStyle w:val="List"/>
      </w:pPr>
      <w:r>
        <w:t>(b)</w:t>
      </w:r>
      <w:r>
        <w:tab/>
        <w:t>Noncompliance with technical requirements; and</w:t>
      </w:r>
    </w:p>
    <w:p w14:paraId="3E1944C9" w14:textId="77777777" w:rsidR="00FC1C5F" w:rsidRDefault="00727E32">
      <w:pPr>
        <w:pStyle w:val="List"/>
      </w:pPr>
      <w:r>
        <w:t>(c)</w:t>
      </w:r>
      <w:r>
        <w:tab/>
        <w:t>Noncompliance with other specific eligibility requirements set forth in this Section or in any other part of these Protocols.</w:t>
      </w:r>
    </w:p>
    <w:p w14:paraId="6A7097F4" w14:textId="77777777" w:rsidR="00FC1C5F" w:rsidRDefault="00727E32">
      <w:pPr>
        <w:pStyle w:val="BodyTextNumbered"/>
      </w:pPr>
      <w:r>
        <w:t>(3)</w:t>
      </w:r>
      <w:r>
        <w:tab/>
        <w:t>Not later than ten Business Days after receiving a rejection letter, the Resource Entity applicant may challenge the rejection of its Resource Entity application using the dispute resolution procedures set forth in Section 20, Alternative Dispute Resolution Procedure.  The applicant may submit a new Resource Entity application and fee at any time, and ERCOT shall process the new Resource Entity application under this Section.</w:t>
      </w:r>
    </w:p>
    <w:p w14:paraId="7C8249AC" w14:textId="77777777" w:rsidR="00FC1C5F" w:rsidRDefault="00727E32">
      <w:pPr>
        <w:pStyle w:val="H3"/>
      </w:pPr>
      <w:bookmarkStart w:id="297" w:name="_Toc71369193"/>
      <w:bookmarkStart w:id="298" w:name="_Toc71539409"/>
      <w:bookmarkStart w:id="299" w:name="_Toc390438947"/>
      <w:bookmarkStart w:id="300" w:name="_Toc405897644"/>
      <w:bookmarkStart w:id="301" w:name="_Toc415055748"/>
      <w:bookmarkStart w:id="302" w:name="_Toc415055874"/>
      <w:bookmarkStart w:id="303" w:name="_Toc415055973"/>
      <w:bookmarkStart w:id="304" w:name="_Toc415056074"/>
      <w:bookmarkStart w:id="305" w:name="_Toc70591615"/>
      <w:r>
        <w:lastRenderedPageBreak/>
        <w:t>16.5.3</w:t>
      </w:r>
      <w:r>
        <w:tab/>
        <w:t>Changing QSE Designation</w:t>
      </w:r>
      <w:bookmarkEnd w:id="297"/>
      <w:bookmarkEnd w:id="298"/>
      <w:bookmarkEnd w:id="299"/>
      <w:bookmarkEnd w:id="300"/>
      <w:bookmarkEnd w:id="301"/>
      <w:bookmarkEnd w:id="302"/>
      <w:bookmarkEnd w:id="303"/>
      <w:bookmarkEnd w:id="304"/>
      <w:bookmarkEnd w:id="305"/>
    </w:p>
    <w:p w14:paraId="2D514A1D" w14:textId="77777777" w:rsidR="00FC1C5F" w:rsidRDefault="00727E32">
      <w:pPr>
        <w:pStyle w:val="BodyTextNumbered"/>
      </w:pPr>
      <w:r>
        <w:t>(1)</w:t>
      </w:r>
      <w:r>
        <w:tab/>
        <w:t xml:space="preserve">A Resource Entity may change its designation of QSE </w:t>
      </w:r>
      <w:r w:rsidR="00F97889">
        <w:t>with written notice to ERCOT</w:t>
      </w:r>
      <w:r w:rsidR="000E3528">
        <w:t>, no more than once in any consecutive three days</w:t>
      </w:r>
      <w:r w:rsidR="00F97889">
        <w:t>.</w:t>
      </w:r>
      <w:r>
        <w:t xml:space="preserve">  </w:t>
      </w:r>
    </w:p>
    <w:p w14:paraId="2295137A" w14:textId="77777777" w:rsidR="000E3528" w:rsidRPr="00530E2D" w:rsidRDefault="00727E32" w:rsidP="000E3528">
      <w:pPr>
        <w:pStyle w:val="BodyTextNumbered"/>
        <w:rPr>
          <w:szCs w:val="24"/>
        </w:rPr>
      </w:pPr>
      <w:r>
        <w:t>(2)</w:t>
      </w:r>
      <w:r>
        <w:tab/>
      </w:r>
      <w:r w:rsidR="000E3528" w:rsidRPr="00530E2D">
        <w:rPr>
          <w:szCs w:val="24"/>
        </w:rPr>
        <w:t xml:space="preserve">If a Resource Entity’s representation by a QSE will terminate or the Resource Entity intends to be represented by a different QSE, the Resource Entity shall provide the name of the newly designated QSE to ERCOT along with </w:t>
      </w:r>
      <w:r>
        <w:t xml:space="preserve">a written statement from the </w:t>
      </w:r>
      <w:r w:rsidR="00F97889">
        <w:t xml:space="preserve">newly </w:t>
      </w:r>
      <w:r>
        <w:t>designated QSE acknowledging the QSE</w:t>
      </w:r>
      <w:r w:rsidR="000E3528">
        <w:t xml:space="preserve">’s agreement to </w:t>
      </w:r>
      <w:r>
        <w:t>accept responsibility for the Resource Entity’s transactions under these Protocols.</w:t>
      </w:r>
      <w:r w:rsidR="00F97889">
        <w:t xml:space="preserve">  </w:t>
      </w:r>
      <w:r w:rsidR="000E3528" w:rsidRPr="00530E2D">
        <w:rPr>
          <w:szCs w:val="24"/>
        </w:rPr>
        <w:t>For the Resource Entity that owns or operates a Generation Resource, the Resource Entity’s QSE designation must be approved by ERCOT before the Resource Entity will be evaluated for compliance with the requirements of paragraph (3) below.  ERCOT shall notify the Resource Entity of approval or disapproval as soon as practicable after receipt of the request.</w:t>
      </w:r>
    </w:p>
    <w:p w14:paraId="4C18FA19" w14:textId="77777777" w:rsidR="000E3528" w:rsidRDefault="000E3528">
      <w:pPr>
        <w:pStyle w:val="BodyTextNumbered"/>
      </w:pPr>
      <w:r>
        <w:t>(3)</w:t>
      </w:r>
      <w:r>
        <w:tab/>
      </w:r>
      <w:r w:rsidR="00F97889">
        <w:t>For Resources required by these Protocols to be in the Network Operations Model, the</w:t>
      </w:r>
      <w:r>
        <w:t xml:space="preserve"> following apply:</w:t>
      </w:r>
    </w:p>
    <w:p w14:paraId="753F758F" w14:textId="77777777" w:rsidR="000E3528" w:rsidRDefault="000E3528" w:rsidP="00D77FC8">
      <w:pPr>
        <w:pStyle w:val="BodyTextNumbered"/>
        <w:ind w:left="1440"/>
      </w:pPr>
      <w:r>
        <w:t>(a)</w:t>
      </w:r>
      <w:r>
        <w:tab/>
        <w:t xml:space="preserve">The </w:t>
      </w:r>
      <w:r w:rsidR="00F97889">
        <w:t xml:space="preserve">designated QSE shall install all telemetry required of these Protocols for the requesting Resource Entity and schedule point-to-point data verification with ERCOT.  </w:t>
      </w:r>
    </w:p>
    <w:p w14:paraId="1E8DDF0B" w14:textId="77777777" w:rsidR="00FC1C5F" w:rsidRDefault="000E3528" w:rsidP="00D77FC8">
      <w:pPr>
        <w:pStyle w:val="BodyTextNumbered"/>
        <w:ind w:left="1440"/>
      </w:pPr>
      <w:r>
        <w:t>(b)</w:t>
      </w:r>
      <w:r>
        <w:tab/>
      </w:r>
      <w:r w:rsidR="00F97889">
        <w:t xml:space="preserve">The </w:t>
      </w:r>
      <w:r>
        <w:t xml:space="preserve">designated </w:t>
      </w:r>
      <w:r w:rsidR="00F97889">
        <w:t>QSE shall submit telemetry data descriptions to ERCOT to meet ERCOT’s normal model update process.</w:t>
      </w:r>
    </w:p>
    <w:p w14:paraId="43B278A5" w14:textId="77777777" w:rsidR="000E3528" w:rsidRDefault="00727E32" w:rsidP="00D77FC8">
      <w:pPr>
        <w:pStyle w:val="BodyTextNumbered"/>
        <w:ind w:left="1440"/>
      </w:pPr>
      <w:r>
        <w:t>(</w:t>
      </w:r>
      <w:r w:rsidR="000E3528">
        <w:t>c</w:t>
      </w:r>
      <w:r>
        <w:t>)</w:t>
      </w:r>
      <w:r>
        <w:tab/>
      </w:r>
      <w:r w:rsidR="000E3528">
        <w:t>The</w:t>
      </w:r>
      <w:r w:rsidR="00F97889">
        <w:t xml:space="preserve"> Resource must submit any changes in system topology or telemetry according to Section </w:t>
      </w:r>
      <w:r w:rsidR="00F97889" w:rsidRPr="005265DB">
        <w:t>3.3.2.1</w:t>
      </w:r>
      <w:r w:rsidR="00F97889">
        <w:t xml:space="preserve">, </w:t>
      </w:r>
      <w:r w:rsidR="00F97889" w:rsidRPr="005265DB">
        <w:t>Information to Be Provided to ERCOT</w:t>
      </w:r>
      <w:r>
        <w:t xml:space="preserve">.  </w:t>
      </w:r>
    </w:p>
    <w:p w14:paraId="30CB2F01" w14:textId="77777777" w:rsidR="000E3528" w:rsidRDefault="000E3528" w:rsidP="00D77FC8">
      <w:pPr>
        <w:pStyle w:val="BodyTextNumbered"/>
        <w:ind w:left="1440"/>
      </w:pPr>
      <w:r>
        <w:t>(d)</w:t>
      </w:r>
      <w:r>
        <w:tab/>
        <w:t>T</w:t>
      </w:r>
      <w:r w:rsidR="00F97889">
        <w:t xml:space="preserve">he effective date for </w:t>
      </w:r>
      <w:r>
        <w:t xml:space="preserve">the </w:t>
      </w:r>
      <w:r w:rsidR="00F97889">
        <w:t xml:space="preserve">newly designated QSE shall be in accordance with Section 3.10.1, Time Line for Network Operations Model Changes.  </w:t>
      </w:r>
    </w:p>
    <w:p w14:paraId="7DD703C3" w14:textId="77777777" w:rsidR="00FC1C5F" w:rsidRDefault="000E3528" w:rsidP="00D77FC8">
      <w:pPr>
        <w:pStyle w:val="BodyTextNumbered"/>
        <w:ind w:left="1440"/>
      </w:pPr>
      <w:r>
        <w:t>(e)</w:t>
      </w:r>
      <w:r>
        <w:tab/>
      </w:r>
      <w:r w:rsidR="00F97889">
        <w:t>ERCOT may request the Resource Entity to develop a transition implementation plan to be approved by ERCOT that sets appropriate deadlines for completion of all required data and telemetry verification and cutover testing activities with ERCOT</w:t>
      </w:r>
      <w:r w:rsidR="00727E32">
        <w:t>.</w:t>
      </w:r>
    </w:p>
    <w:p w14:paraId="3CB85E34" w14:textId="77777777" w:rsidR="000E3528" w:rsidRPr="00530E2D" w:rsidRDefault="000E3528" w:rsidP="000E3528">
      <w:pPr>
        <w:pStyle w:val="BodyTextNumbered"/>
        <w:rPr>
          <w:szCs w:val="24"/>
        </w:rPr>
      </w:pPr>
      <w:r w:rsidRPr="00530E2D">
        <w:rPr>
          <w:szCs w:val="24"/>
        </w:rPr>
        <w:t>(4)</w:t>
      </w:r>
      <w:r w:rsidRPr="00530E2D">
        <w:rPr>
          <w:szCs w:val="24"/>
        </w:rPr>
        <w:tab/>
        <w:t xml:space="preserve">For all other Resources, the new QSE designation is to be received no less than six days prior to the effective date.  </w:t>
      </w:r>
    </w:p>
    <w:p w14:paraId="0802CF3B" w14:textId="77777777" w:rsidR="000E3528" w:rsidRPr="000E3528" w:rsidRDefault="000E3528" w:rsidP="000E3528">
      <w:pPr>
        <w:pStyle w:val="BodyTextNumbered"/>
        <w:rPr>
          <w:szCs w:val="24"/>
        </w:rPr>
      </w:pPr>
      <w:r w:rsidRPr="00530E2D">
        <w:rPr>
          <w:szCs w:val="24"/>
        </w:rPr>
        <w:t>(5)</w:t>
      </w:r>
      <w:r w:rsidRPr="00530E2D">
        <w:rPr>
          <w:szCs w:val="24"/>
        </w:rPr>
        <w:tab/>
        <w:t xml:space="preserve">Within two days of approving a Resource Entity’s notice, ERCOT shall notify all affected Entities, including the Resource Entity’s current QSE, of the effective date of the change.  </w:t>
      </w:r>
    </w:p>
    <w:p w14:paraId="6ED4B1D8" w14:textId="77777777" w:rsidR="00FC1C5F" w:rsidRDefault="00727E32">
      <w:pPr>
        <w:pStyle w:val="H3"/>
      </w:pPr>
      <w:bookmarkStart w:id="306" w:name="_Toc390438948"/>
      <w:bookmarkStart w:id="307" w:name="_Toc405897645"/>
      <w:bookmarkStart w:id="308" w:name="_Toc415055749"/>
      <w:bookmarkStart w:id="309" w:name="_Toc415055875"/>
      <w:bookmarkStart w:id="310" w:name="_Toc415055974"/>
      <w:bookmarkStart w:id="311" w:name="_Toc415056075"/>
      <w:bookmarkStart w:id="312" w:name="_Toc70591616"/>
      <w:r>
        <w:t>16.5.4</w:t>
      </w:r>
      <w:r>
        <w:tab/>
        <w:t>Maintaining and Updating Resource Entity Information</w:t>
      </w:r>
      <w:bookmarkEnd w:id="306"/>
      <w:bookmarkEnd w:id="307"/>
      <w:bookmarkEnd w:id="308"/>
      <w:bookmarkEnd w:id="309"/>
      <w:bookmarkEnd w:id="310"/>
      <w:bookmarkEnd w:id="311"/>
      <w:bookmarkEnd w:id="312"/>
      <w:r>
        <w:t xml:space="preserve"> </w:t>
      </w:r>
    </w:p>
    <w:p w14:paraId="70B79A23" w14:textId="77777777" w:rsidR="00FC1C5F" w:rsidRDefault="00727E32">
      <w:pPr>
        <w:pStyle w:val="ListIntroduction"/>
        <w:ind w:left="720" w:hanging="720"/>
      </w:pPr>
      <w:r>
        <w:t>(1)</w:t>
      </w:r>
      <w:r>
        <w:tab/>
        <w:t xml:space="preserve">Each Resource Entity must timely update information the Resource Entity provided to ERCOT in the application process, and a Resource Entity must promptly respond to any </w:t>
      </w:r>
      <w:r>
        <w:lastRenderedPageBreak/>
        <w:t>reasonable request by ERCOT for updated information regarding the Resource Entity or the information provided to ERCOT by the Resource Entity, including:</w:t>
      </w:r>
    </w:p>
    <w:p w14:paraId="4EA1157E" w14:textId="77777777" w:rsidR="00FC1C5F" w:rsidRDefault="00727E32">
      <w:pPr>
        <w:pStyle w:val="List"/>
      </w:pPr>
      <w:r>
        <w:t>(a)</w:t>
      </w:r>
      <w:r>
        <w:tab/>
        <w:t>The Resource Entity’s addresses;</w:t>
      </w:r>
    </w:p>
    <w:p w14:paraId="14C26874" w14:textId="77777777" w:rsidR="00FC1C5F" w:rsidRDefault="00727E32">
      <w:pPr>
        <w:pStyle w:val="List"/>
      </w:pPr>
      <w:r>
        <w:t>(b)</w:t>
      </w:r>
      <w:r>
        <w:tab/>
        <w:t>A list of Affiliates; and</w:t>
      </w:r>
    </w:p>
    <w:p w14:paraId="012DF047" w14:textId="77777777" w:rsidR="00FC1C5F" w:rsidRDefault="00727E32">
      <w:pPr>
        <w:pStyle w:val="BodyText"/>
        <w:ind w:left="1440" w:hanging="720"/>
      </w:pPr>
      <w:r>
        <w:t>(c)</w:t>
      </w:r>
      <w:r>
        <w:tab/>
        <w:t xml:space="preserve">Designation of the Resource Entity’s officers, directors, Authorized Representatives, and </w:t>
      </w:r>
      <w:r w:rsidR="00AB2D05">
        <w:t>USA</w:t>
      </w:r>
      <w:r>
        <w:t xml:space="preserve"> (all per the Resource Entity application) including the addresses (if different), telephone and facsimile numbers, and e-mail addresses for those persons.</w:t>
      </w:r>
    </w:p>
    <w:p w14:paraId="5A6787DE" w14:textId="2097AB43" w:rsidR="00FC1C5F" w:rsidRDefault="00727E32">
      <w:pPr>
        <w:pStyle w:val="BodyText"/>
        <w:ind w:left="720" w:hanging="720"/>
        <w:rPr>
          <w:color w:val="000000"/>
        </w:rPr>
      </w:pPr>
      <w:r>
        <w:t>(2)</w:t>
      </w:r>
      <w:r>
        <w:tab/>
      </w:r>
      <w:r w:rsidR="00B500DC">
        <w:rPr>
          <w:color w:val="000000"/>
        </w:rPr>
        <w:t>A</w:t>
      </w:r>
      <w:r>
        <w:rPr>
          <w:color w:val="000000"/>
        </w:rPr>
        <w:t xml:space="preserve"> Resource Entity </w:t>
      </w:r>
      <w:r w:rsidR="00B500DC">
        <w:rPr>
          <w:color w:val="000000"/>
        </w:rPr>
        <w:t xml:space="preserve">that </w:t>
      </w:r>
      <w:r>
        <w:rPr>
          <w:color w:val="000000"/>
        </w:rPr>
        <w:t>has a Switchable Generation Resource</w:t>
      </w:r>
      <w:r w:rsidR="00AC0153">
        <w:rPr>
          <w:color w:val="000000"/>
        </w:rPr>
        <w:t xml:space="preserve"> (SWGR)</w:t>
      </w:r>
      <w:r>
        <w:rPr>
          <w:color w:val="000000"/>
        </w:rPr>
        <w:t xml:space="preserve"> shall </w:t>
      </w:r>
      <w:r w:rsidR="00B500DC">
        <w:rPr>
          <w:color w:val="000000"/>
        </w:rPr>
        <w:t xml:space="preserve">submit a </w:t>
      </w:r>
      <w:r>
        <w:rPr>
          <w:color w:val="000000"/>
        </w:rPr>
        <w:t xml:space="preserve">report to ERCOT in writing </w:t>
      </w:r>
      <w:r w:rsidR="00B500DC">
        <w:rPr>
          <w:color w:val="000000"/>
        </w:rPr>
        <w:t xml:space="preserve">indicating whether or not it has any contractual requirement in a non-ERCOT Control Area during </w:t>
      </w:r>
      <w:r>
        <w:rPr>
          <w:color w:val="000000"/>
        </w:rPr>
        <w:t xml:space="preserve">the </w:t>
      </w:r>
      <w:r w:rsidR="00B500DC">
        <w:rPr>
          <w:color w:val="000000"/>
        </w:rPr>
        <w:t xml:space="preserve">summer or winter </w:t>
      </w:r>
      <w:r w:rsidR="00AF4A46">
        <w:rPr>
          <w:color w:val="000000"/>
        </w:rPr>
        <w:t>Peak Load Seasons which</w:t>
      </w:r>
      <w:r>
        <w:rPr>
          <w:color w:val="000000"/>
        </w:rPr>
        <w:t xml:space="preserve"> </w:t>
      </w:r>
      <w:r w:rsidR="00B500DC">
        <w:rPr>
          <w:color w:val="000000"/>
        </w:rPr>
        <w:t xml:space="preserve">may cause </w:t>
      </w:r>
      <w:r>
        <w:rPr>
          <w:color w:val="000000"/>
        </w:rPr>
        <w:t xml:space="preserve">the identified capacity </w:t>
      </w:r>
      <w:r w:rsidR="00B500DC">
        <w:rPr>
          <w:color w:val="000000"/>
        </w:rPr>
        <w:t>to</w:t>
      </w:r>
      <w:r>
        <w:rPr>
          <w:color w:val="000000"/>
        </w:rPr>
        <w:t xml:space="preserve"> not be available to the ERCOT System </w:t>
      </w:r>
      <w:r w:rsidR="007E1826">
        <w:rPr>
          <w:color w:val="000000"/>
        </w:rPr>
        <w:t>for the subsequent ten years</w:t>
      </w:r>
      <w:r>
        <w:rPr>
          <w:color w:val="000000"/>
        </w:rPr>
        <w:t>.</w:t>
      </w:r>
      <w:r w:rsidR="00FA469C">
        <w:rPr>
          <w:color w:val="000000"/>
        </w:rPr>
        <w:t xml:space="preserve">  </w:t>
      </w:r>
      <w:r w:rsidR="00AF4A46">
        <w:rPr>
          <w:color w:val="000000"/>
        </w:rPr>
        <w:t xml:space="preserve">The initial </w:t>
      </w:r>
      <w:r w:rsidR="00AF4A46" w:rsidRPr="00127F54">
        <w:t xml:space="preserve">communication </w:t>
      </w:r>
      <w:r w:rsidR="00AF4A46">
        <w:rPr>
          <w:color w:val="000000"/>
        </w:rPr>
        <w:t>and subsequent updates to previously reported unavailable capacity</w:t>
      </w:r>
      <w:r w:rsidR="00AF4A46" w:rsidRPr="00127F54">
        <w:t xml:space="preserve"> shall be </w:t>
      </w:r>
      <w:r w:rsidR="00AF4A46">
        <w:t>filed with ERCOT as soon as possible, but in no event later than ten Business Days after the information is obtained</w:t>
      </w:r>
      <w:r w:rsidR="00AF4A46" w:rsidRPr="00127F54">
        <w:t>.</w:t>
      </w:r>
      <w:r w:rsidR="00AF4A46">
        <w:t xml:space="preserve">  The communications should reflect the Resource Entity’s best estimate of the required information at the time the filing is made.</w:t>
      </w:r>
      <w:r w:rsidR="00AF4A46" w:rsidRPr="00127F54">
        <w:t xml:space="preserve"> </w:t>
      </w:r>
      <w:r w:rsidR="00AF4A46">
        <w:t xml:space="preserve"> </w:t>
      </w:r>
      <w:r w:rsidR="00AF4A46" w:rsidRPr="00127F54">
        <w:t>ERCOT</w:t>
      </w:r>
      <w:r w:rsidR="00AF4A46">
        <w:rPr>
          <w:color w:val="000000"/>
        </w:rPr>
        <w:t xml:space="preserve"> shall use the provided data for preparation of the Report on Capacity, Demand and Reserves in the ERCOT Region and other planning purposes.</w:t>
      </w:r>
    </w:p>
    <w:p w14:paraId="50D432B4" w14:textId="77777777" w:rsidR="00FC1C5F" w:rsidRDefault="00727E32">
      <w:pPr>
        <w:pStyle w:val="H2"/>
      </w:pPr>
      <w:bookmarkStart w:id="313" w:name="_Toc71369194"/>
      <w:bookmarkStart w:id="314" w:name="_Toc71539410"/>
      <w:bookmarkStart w:id="315" w:name="_Toc390438949"/>
      <w:bookmarkStart w:id="316" w:name="_Toc405897646"/>
      <w:bookmarkStart w:id="317" w:name="_Toc415055750"/>
      <w:bookmarkStart w:id="318" w:name="_Toc415055876"/>
      <w:bookmarkStart w:id="319" w:name="_Toc415055975"/>
      <w:bookmarkStart w:id="320" w:name="_Toc415056076"/>
      <w:bookmarkStart w:id="321" w:name="_Toc70591617"/>
      <w:r>
        <w:t>16.6</w:t>
      </w:r>
      <w:r>
        <w:tab/>
        <w:t>Registration of Municipally Owned Utilities and Electric Cooperatives in the ERCOT Region</w:t>
      </w:r>
      <w:bookmarkEnd w:id="313"/>
      <w:bookmarkEnd w:id="314"/>
      <w:bookmarkEnd w:id="315"/>
      <w:bookmarkEnd w:id="316"/>
      <w:bookmarkEnd w:id="317"/>
      <w:bookmarkEnd w:id="318"/>
      <w:bookmarkEnd w:id="319"/>
      <w:bookmarkEnd w:id="320"/>
      <w:bookmarkEnd w:id="321"/>
    </w:p>
    <w:p w14:paraId="77AA0DA3" w14:textId="77777777" w:rsidR="00FC1C5F" w:rsidRDefault="00727E32">
      <w:pPr>
        <w:pStyle w:val="BodyTextNumbered"/>
      </w:pPr>
      <w:r>
        <w:t>(1)</w:t>
      </w:r>
      <w:r>
        <w:tab/>
        <w:t>Each Municipally Owned Utility (MOU) and Electric Cooperative (EC) shall register with ERCOT and sign the Agreements that apply to the functions it performs in the ERCOT Region, regardless of whether planning to be a Non-Opt-In Entity (NOIE) or a Competitive Retailer</w:t>
      </w:r>
      <w:r w:rsidR="00364DE6">
        <w:t xml:space="preserve"> (CR)</w:t>
      </w:r>
      <w:r>
        <w:t>.</w:t>
      </w:r>
    </w:p>
    <w:p w14:paraId="51DA15C8" w14:textId="77777777" w:rsidR="00FC1C5F" w:rsidRDefault="00727E32">
      <w:pPr>
        <w:pStyle w:val="BodyTextNumbered"/>
      </w:pPr>
      <w:r>
        <w:t>(2)</w:t>
      </w:r>
      <w:r>
        <w:tab/>
        <w:t xml:space="preserve">Each MOU and EC that decides to opt in shall register as a </w:t>
      </w:r>
      <w:r w:rsidR="00364DE6">
        <w:t>CR</w:t>
      </w:r>
      <w:r>
        <w:t xml:space="preserve"> and notify ERCOT of its intentions six months prior to opting in.  </w:t>
      </w:r>
    </w:p>
    <w:p w14:paraId="36828554" w14:textId="77777777" w:rsidR="00FC1C5F" w:rsidRDefault="00727E32">
      <w:pPr>
        <w:pStyle w:val="BodyTextNumbered"/>
      </w:pPr>
      <w:r>
        <w:t>(3)</w:t>
      </w:r>
      <w:r>
        <w:tab/>
        <w:t xml:space="preserve">Each MOU and EC shall designate a </w:t>
      </w:r>
      <w:r w:rsidR="00364DE6">
        <w:t>Qualified Scheduling Entity (</w:t>
      </w:r>
      <w:r>
        <w:t>QSE</w:t>
      </w:r>
      <w:r w:rsidR="00364DE6">
        <w:t>)</w:t>
      </w:r>
      <w:r>
        <w:t xml:space="preserve"> with ERCOT on its behalf.</w:t>
      </w:r>
    </w:p>
    <w:p w14:paraId="4841C207" w14:textId="77777777" w:rsidR="00FC1C5F" w:rsidRDefault="00727E32">
      <w:pPr>
        <w:pStyle w:val="BodyTextNumbered"/>
      </w:pPr>
      <w:r>
        <w:t>(4)</w:t>
      </w:r>
      <w:r>
        <w:tab/>
      </w:r>
      <w:r w:rsidR="00364DE6">
        <w:t xml:space="preserve">Each MOU and EC </w:t>
      </w:r>
      <w:r>
        <w:t xml:space="preserve">shall assign an </w:t>
      </w:r>
      <w:r w:rsidR="00364DE6">
        <w:t>Electric Service Identifier (</w:t>
      </w:r>
      <w:r>
        <w:t>ESI ID</w:t>
      </w:r>
      <w:r w:rsidR="00364DE6">
        <w:t>)</w:t>
      </w:r>
      <w:r>
        <w:t xml:space="preserve"> to each NOIE wholesale point of delivery as specified in these Protocols.  The ESI IDs must be assigned to a</w:t>
      </w:r>
      <w:r w:rsidR="00364DE6">
        <w:t xml:space="preserve"> Load Serving Entity (</w:t>
      </w:r>
      <w:r>
        <w:t>LSE</w:t>
      </w:r>
      <w:r w:rsidR="00364DE6">
        <w:t>)</w:t>
      </w:r>
      <w:r>
        <w:t>.</w:t>
      </w:r>
    </w:p>
    <w:p w14:paraId="1DBD7092" w14:textId="77777777" w:rsidR="00FC1C5F" w:rsidRDefault="00727E32">
      <w:pPr>
        <w:pStyle w:val="H2"/>
      </w:pPr>
      <w:bookmarkStart w:id="322" w:name="_Toc71369195"/>
      <w:bookmarkStart w:id="323" w:name="_Toc71539411"/>
      <w:bookmarkStart w:id="324" w:name="_Toc390438950"/>
      <w:bookmarkStart w:id="325" w:name="_Toc405897647"/>
      <w:bookmarkStart w:id="326" w:name="_Toc415055751"/>
      <w:bookmarkStart w:id="327" w:name="_Toc415055877"/>
      <w:bookmarkStart w:id="328" w:name="_Toc415055976"/>
      <w:bookmarkStart w:id="329" w:name="_Toc415056077"/>
      <w:bookmarkStart w:id="330" w:name="_Toc70591618"/>
      <w:r>
        <w:t>16.7</w:t>
      </w:r>
      <w:r>
        <w:tab/>
        <w:t>Registration of Renewable Energy Credit Account Holders</w:t>
      </w:r>
      <w:bookmarkEnd w:id="322"/>
      <w:bookmarkEnd w:id="323"/>
      <w:bookmarkEnd w:id="324"/>
      <w:bookmarkEnd w:id="325"/>
      <w:bookmarkEnd w:id="326"/>
      <w:bookmarkEnd w:id="327"/>
      <w:bookmarkEnd w:id="328"/>
      <w:bookmarkEnd w:id="329"/>
      <w:bookmarkEnd w:id="330"/>
    </w:p>
    <w:p w14:paraId="07944558" w14:textId="7EB5341D" w:rsidR="00FC1C5F" w:rsidRDefault="00853D39" w:rsidP="009F10FE">
      <w:pPr>
        <w:pStyle w:val="BodyText"/>
        <w:ind w:left="720" w:hanging="720"/>
      </w:pPr>
      <w:r>
        <w:t>(1)</w:t>
      </w:r>
      <w:r>
        <w:tab/>
      </w:r>
      <w:r w:rsidR="00727E32">
        <w:t xml:space="preserve">Each Entity intending to participate in the Renewable Energy Credit (REC) program shall register with ERCOT and execute a </w:t>
      </w:r>
      <w:r w:rsidR="00081A43">
        <w:t xml:space="preserve">Standard Form </w:t>
      </w:r>
      <w:r w:rsidR="00727E32">
        <w:t xml:space="preserve">Market Participant Agreement (as </w:t>
      </w:r>
      <w:r w:rsidR="00727E32">
        <w:lastRenderedPageBreak/>
        <w:t>provided in Section 22, Attachment A, Standard Form Market Participant Agreement) prior to participation in the REC program.</w:t>
      </w:r>
    </w:p>
    <w:p w14:paraId="5E34EC33" w14:textId="77777777" w:rsidR="00FC1C5F" w:rsidRDefault="00727E32">
      <w:pPr>
        <w:pStyle w:val="H2"/>
        <w:spacing w:after="120"/>
        <w:ind w:left="0" w:firstLine="0"/>
      </w:pPr>
      <w:bookmarkStart w:id="331" w:name="_Toc71369196"/>
      <w:bookmarkStart w:id="332" w:name="_Toc71539412"/>
      <w:bookmarkStart w:id="333" w:name="_Toc390438951"/>
      <w:bookmarkStart w:id="334" w:name="_Toc405897648"/>
      <w:bookmarkStart w:id="335" w:name="_Toc415055752"/>
      <w:bookmarkStart w:id="336" w:name="_Toc415055878"/>
      <w:bookmarkStart w:id="337" w:name="_Toc415055977"/>
      <w:bookmarkStart w:id="338" w:name="_Toc415056078"/>
      <w:bookmarkStart w:id="339" w:name="_Toc70591619"/>
      <w:r>
        <w:t>16.8</w:t>
      </w:r>
      <w:r>
        <w:tab/>
        <w:t>Registration and Qualification of Congestion Revenue Rights Account Holders</w:t>
      </w:r>
      <w:bookmarkEnd w:id="331"/>
      <w:bookmarkEnd w:id="332"/>
      <w:bookmarkEnd w:id="333"/>
      <w:bookmarkEnd w:id="334"/>
      <w:bookmarkEnd w:id="335"/>
      <w:bookmarkEnd w:id="336"/>
      <w:bookmarkEnd w:id="337"/>
      <w:bookmarkEnd w:id="338"/>
      <w:bookmarkEnd w:id="339"/>
    </w:p>
    <w:p w14:paraId="2F565950" w14:textId="77777777" w:rsidR="00FC1C5F" w:rsidRDefault="00727E32" w:rsidP="00FC1C5F">
      <w:pPr>
        <w:pStyle w:val="H3"/>
      </w:pPr>
      <w:bookmarkStart w:id="340" w:name="_Toc390438952"/>
      <w:bookmarkStart w:id="341" w:name="_Toc405897649"/>
      <w:bookmarkStart w:id="342" w:name="_Toc415055753"/>
      <w:bookmarkStart w:id="343" w:name="_Toc415055879"/>
      <w:bookmarkStart w:id="344" w:name="_Toc415055978"/>
      <w:bookmarkStart w:id="345" w:name="_Toc415056079"/>
      <w:bookmarkStart w:id="346" w:name="_Toc70591620"/>
      <w:r>
        <w:t>16.8.1</w:t>
      </w:r>
      <w:r>
        <w:tab/>
        <w:t>Criteria for Qualification as a CRR Account Holder</w:t>
      </w:r>
      <w:bookmarkEnd w:id="340"/>
      <w:bookmarkEnd w:id="341"/>
      <w:bookmarkEnd w:id="342"/>
      <w:bookmarkEnd w:id="343"/>
      <w:bookmarkEnd w:id="344"/>
      <w:bookmarkEnd w:id="345"/>
      <w:bookmarkEnd w:id="346"/>
      <w:r>
        <w:t xml:space="preserve"> </w:t>
      </w:r>
    </w:p>
    <w:p w14:paraId="1EAD2469" w14:textId="77777777" w:rsidR="00FC1C5F" w:rsidRDefault="00727E32">
      <w:pPr>
        <w:pStyle w:val="BodyTextNumbered"/>
      </w:pPr>
      <w:r>
        <w:t>(1)</w:t>
      </w:r>
      <w:r>
        <w:tab/>
        <w:t xml:space="preserve">To become and remain a </w:t>
      </w:r>
      <w:r w:rsidR="0097211A">
        <w:t>Congestion Revenue Right (</w:t>
      </w:r>
      <w:r>
        <w:t>CRR</w:t>
      </w:r>
      <w:r w:rsidR="0097211A">
        <w:t>)</w:t>
      </w:r>
      <w:r>
        <w:t xml:space="preserve"> Account Holder, an Entity must meet the following requirements: </w:t>
      </w:r>
    </w:p>
    <w:p w14:paraId="735A9B85" w14:textId="77777777" w:rsidR="00FC1C5F" w:rsidRDefault="00727E32">
      <w:pPr>
        <w:pStyle w:val="List"/>
      </w:pPr>
      <w:r>
        <w:t>(a)</w:t>
      </w:r>
      <w:r>
        <w:tab/>
        <w:t>Submit a properly completed CRR Account Holder application</w:t>
      </w:r>
      <w:r w:rsidR="00B35DA1" w:rsidRPr="00A35A89">
        <w:t xml:space="preserve"> (</w:t>
      </w:r>
      <w:r w:rsidR="00B35DA1">
        <w:t>Section 23, Form A, Congestion Revenue Right (CRR) Account Holder Application for Registration)</w:t>
      </w:r>
      <w:r>
        <w:t xml:space="preserve"> for qualification, including any applicable fee and including designation of  “Authorized Representatives,” each of whom is responsible for administrative communications with the CRR Account Holder and each of whom has enough authority to commit and bind the CRR Account Holder;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552F8" w14:paraId="01E9D270" w14:textId="77777777" w:rsidTr="008552F8">
        <w:tc>
          <w:tcPr>
            <w:tcW w:w="9332" w:type="dxa"/>
            <w:shd w:val="pct12" w:color="auto" w:fill="auto"/>
          </w:tcPr>
          <w:p w14:paraId="77D916E0" w14:textId="5E0CB031" w:rsidR="008552F8" w:rsidRDefault="008552F8" w:rsidP="008552F8">
            <w:pPr>
              <w:pStyle w:val="Instructions"/>
              <w:spacing w:before="120"/>
              <w:rPr>
                <w:iCs/>
              </w:rPr>
            </w:pPr>
            <w:r>
              <w:rPr>
                <w:iCs/>
              </w:rPr>
              <w:t>[NPRR1073</w:t>
            </w:r>
            <w:r w:rsidRPr="0002450E">
              <w:rPr>
                <w:iCs/>
              </w:rPr>
              <w:t xml:space="preserve">:  </w:t>
            </w:r>
            <w:r>
              <w:rPr>
                <w:iCs/>
              </w:rPr>
              <w:t>Replace paragraph (a) above</w:t>
            </w:r>
            <w:r w:rsidRPr="0002450E">
              <w:rPr>
                <w:iCs/>
              </w:rPr>
              <w:t xml:space="preserve"> </w:t>
            </w:r>
            <w:r>
              <w:rPr>
                <w:iCs/>
              </w:rPr>
              <w:t xml:space="preserve">with the following </w:t>
            </w:r>
            <w:r w:rsidRPr="0002450E">
              <w:rPr>
                <w:iCs/>
              </w:rPr>
              <w:t xml:space="preserve">upon </w:t>
            </w:r>
            <w:r>
              <w:rPr>
                <w:iCs/>
              </w:rPr>
              <w:t>staffing completion</w:t>
            </w:r>
            <w:r w:rsidRPr="0002450E">
              <w:rPr>
                <w:iCs/>
              </w:rPr>
              <w:t xml:space="preserve">:] </w:t>
            </w:r>
          </w:p>
          <w:p w14:paraId="29502009" w14:textId="33D52A9F" w:rsidR="008552F8" w:rsidRPr="008552F8" w:rsidRDefault="008552F8" w:rsidP="008552F8">
            <w:pPr>
              <w:pStyle w:val="List"/>
            </w:pPr>
            <w:r>
              <w:t>(a)</w:t>
            </w:r>
            <w:r>
              <w:tab/>
              <w:t>Submit a properly completed CRR Account Holder application</w:t>
            </w:r>
            <w:r w:rsidRPr="00A35A89">
              <w:t xml:space="preserve"> (</w:t>
            </w:r>
            <w:r>
              <w:t>Section 23, Form A, Congestion Revenue Right (CRR) Account Holder Application for Registration) for qualification, including any applicable fee, any necessary disclosures, and designation of “Authorized Representatives,” each of whom is responsible for administrative communications with the CRR Account Holder and each of whom has enough authority to commit and bind the CRR Account Holder;</w:t>
            </w:r>
          </w:p>
        </w:tc>
      </w:tr>
    </w:tbl>
    <w:p w14:paraId="760D332D" w14:textId="24B140D9" w:rsidR="00FC1C5F" w:rsidRDefault="00727E32" w:rsidP="00C33516">
      <w:pPr>
        <w:pStyle w:val="List"/>
        <w:spacing w:before="240"/>
      </w:pPr>
      <w:r>
        <w:t>(b)</w:t>
      </w:r>
      <w:r>
        <w:tab/>
        <w:t xml:space="preserve">Sign a CRR Account Holder Agreement; </w:t>
      </w:r>
    </w:p>
    <w:p w14:paraId="73713AE8" w14:textId="77777777" w:rsidR="00FC1C5F" w:rsidRDefault="00727E32">
      <w:pPr>
        <w:pStyle w:val="List"/>
      </w:pPr>
      <w:r>
        <w:t>(c)</w:t>
      </w:r>
      <w:r>
        <w:tab/>
        <w:t>Sign any required Agreements relating to use of the ERCOT network, software, and systems;</w:t>
      </w:r>
    </w:p>
    <w:p w14:paraId="59EDD655" w14:textId="77777777" w:rsidR="00FC1C5F" w:rsidRDefault="00727E32">
      <w:pPr>
        <w:pStyle w:val="List"/>
      </w:pPr>
      <w:r>
        <w:t>(d)</w:t>
      </w:r>
      <w:r>
        <w:tab/>
        <w:t xml:space="preserve">Demonstrate to ERCOT’s reasonable satisfaction that the Entity is capable of performing the functions of a CRR Account Holder; </w:t>
      </w:r>
    </w:p>
    <w:p w14:paraId="1444650E" w14:textId="77777777" w:rsidR="00FC1C5F" w:rsidRDefault="00727E32">
      <w:pPr>
        <w:pStyle w:val="List"/>
      </w:pPr>
      <w:r>
        <w:t>(e)</w:t>
      </w:r>
      <w:r>
        <w:tab/>
        <w:t xml:space="preserve">Demonstrate to ERCOT’s reasonable satisfaction that the Entity is capable of complying with the requirements of all ERCOT Protocols and Operating Guides; </w:t>
      </w:r>
    </w:p>
    <w:p w14:paraId="1EE58C53" w14:textId="77777777" w:rsidR="00FC1C5F" w:rsidRDefault="00727E32">
      <w:pPr>
        <w:pStyle w:val="List"/>
      </w:pPr>
      <w:r>
        <w:t>(f)</w:t>
      </w:r>
      <w:r>
        <w:tab/>
        <w:t>Satisfy ERCOT’s creditworthiness requirements as set forth in this Section;</w:t>
      </w:r>
    </w:p>
    <w:p w14:paraId="67451581" w14:textId="77777777" w:rsidR="00FC1C5F" w:rsidRDefault="00727E32">
      <w:pPr>
        <w:pStyle w:val="List"/>
      </w:pPr>
      <w:r>
        <w:t>(g)</w:t>
      </w:r>
      <w:r>
        <w:tab/>
        <w:t>Be generally able to pay its debts as they come due; ERCOT may request evidence of compliance with this qualification only if ERCOT reasonably believes that a CRR Account Holder is failing to comply with it;</w:t>
      </w:r>
    </w:p>
    <w:p w14:paraId="6056EF65" w14:textId="77777777" w:rsidR="00FC1C5F" w:rsidRDefault="00727E32">
      <w:pPr>
        <w:pStyle w:val="List"/>
      </w:pPr>
      <w:r>
        <w:lastRenderedPageBreak/>
        <w:t>(h)</w:t>
      </w:r>
      <w:r>
        <w:tab/>
        <w:t xml:space="preserve">Provide all necessary bank account information and arrange for Fedwire system transfers for two-way confirmation; </w:t>
      </w:r>
    </w:p>
    <w:p w14:paraId="022AE75D" w14:textId="77777777" w:rsidR="00FC1C5F" w:rsidRDefault="00727E32">
      <w:pPr>
        <w:pStyle w:val="List"/>
      </w:pPr>
      <w:r>
        <w:t>(i)</w:t>
      </w:r>
      <w:r>
        <w:tab/>
        <w:t xml:space="preserve">Be financially responsible for payment of its </w:t>
      </w:r>
      <w:r w:rsidR="00B35DA1">
        <w:t>S</w:t>
      </w:r>
      <w:r>
        <w:t>ettlement charges under these Protocols; and</w:t>
      </w:r>
    </w:p>
    <w:p w14:paraId="42FA7CF4" w14:textId="77777777" w:rsidR="00FC1C5F" w:rsidRDefault="00727E32">
      <w:pPr>
        <w:pStyle w:val="List"/>
      </w:pPr>
      <w:r>
        <w:t xml:space="preserve">(j) </w:t>
      </w:r>
      <w:r>
        <w:tab/>
        <w:t xml:space="preserve">Not be an unbundled </w:t>
      </w:r>
      <w:r w:rsidR="0097211A">
        <w:t>Transmission Service Provider (</w:t>
      </w:r>
      <w:r>
        <w:t>TSP</w:t>
      </w:r>
      <w:r w:rsidR="0097211A">
        <w:t>)</w:t>
      </w:r>
      <w:r>
        <w:t xml:space="preserve">, </w:t>
      </w:r>
      <w:r w:rsidR="0097211A">
        <w:t>Distribution Service Provider (</w:t>
      </w:r>
      <w:r>
        <w:t>DSP</w:t>
      </w:r>
      <w:r w:rsidR="0097211A">
        <w:t>)</w:t>
      </w:r>
      <w:r>
        <w:t>, or an ERCOT employee.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552F8" w14:paraId="62FD966A" w14:textId="77777777" w:rsidTr="008552F8">
        <w:tc>
          <w:tcPr>
            <w:tcW w:w="9332" w:type="dxa"/>
            <w:shd w:val="pct12" w:color="auto" w:fill="auto"/>
          </w:tcPr>
          <w:p w14:paraId="0C4848EE" w14:textId="742C3167" w:rsidR="008552F8" w:rsidRDefault="008552F8" w:rsidP="008552F8">
            <w:pPr>
              <w:pStyle w:val="Instructions"/>
              <w:spacing w:before="120"/>
              <w:rPr>
                <w:iCs/>
              </w:rPr>
            </w:pPr>
            <w:r>
              <w:rPr>
                <w:iCs/>
              </w:rPr>
              <w:t>[NPRR1073</w:t>
            </w:r>
            <w:r w:rsidRPr="0002450E">
              <w:rPr>
                <w:iCs/>
              </w:rPr>
              <w:t xml:space="preserve">:  </w:t>
            </w:r>
            <w:r>
              <w:rPr>
                <w:iCs/>
              </w:rPr>
              <w:t xml:space="preserve">Insert paragraphs (2) and (3) below </w:t>
            </w:r>
            <w:r w:rsidRPr="0002450E">
              <w:rPr>
                <w:iCs/>
              </w:rPr>
              <w:t xml:space="preserve">upon </w:t>
            </w:r>
            <w:r>
              <w:rPr>
                <w:iCs/>
              </w:rPr>
              <w:t>staffing completion and renumber accordingly</w:t>
            </w:r>
            <w:r w:rsidRPr="0002450E">
              <w:rPr>
                <w:iCs/>
              </w:rPr>
              <w:t xml:space="preserve">:] </w:t>
            </w:r>
          </w:p>
          <w:p w14:paraId="0262DB9E" w14:textId="1D33FB5B" w:rsidR="008552F8" w:rsidRDefault="008552F8" w:rsidP="008552F8">
            <w:pPr>
              <w:pStyle w:val="BodyTextNumbered"/>
            </w:pPr>
            <w:r>
              <w:t>(2)</w:t>
            </w:r>
            <w:r>
              <w:tab/>
              <w:t xml:space="preserve">A CRR Account Holder or CRR Account Holder applicant must be able to demonstrate to ERCOT’s reasonable satisfaction that none of its Principals </w:t>
            </w:r>
            <w:bookmarkStart w:id="347" w:name="_Hlk68869353"/>
            <w:r>
              <w:t xml:space="preserve">were or are Principals of any Entity with an outstanding payment obligation that remains owing to ERCOT under any Agreement or these Protocols.  For purposes of this </w:t>
            </w:r>
            <w:r w:rsidR="00EC4F5C">
              <w:t>S</w:t>
            </w:r>
            <w:r>
              <w:t>ection, ERCOT will only consider disqualifying those Principals of the CRR Account Holder or CRR Account Holder applicant who were Principals of the other Entity at a time during which the unpaid financial obligation remained owing to ERCOT or during the 120-day period prior to the date on which the unpaid financial obligation first became due and owing to ERCOT.</w:t>
            </w:r>
          </w:p>
          <w:p w14:paraId="4C2282B7" w14:textId="64E10783" w:rsidR="008552F8" w:rsidRPr="008552F8" w:rsidRDefault="008552F8" w:rsidP="008552F8">
            <w:pPr>
              <w:pStyle w:val="BodyTextNumbered"/>
              <w:rPr>
                <w:rFonts w:eastAsia="Calibri"/>
                <w:szCs w:val="24"/>
              </w:rPr>
            </w:pPr>
            <w:r>
              <w:t xml:space="preserve">(3) </w:t>
            </w:r>
            <w:r>
              <w:tab/>
              <w:t xml:space="preserve">If any of a CRR Account Holder’s or CRR Account Holder applicant’s Principals were or are Principals of a terminated Market Participant with an obligation for Default Uplift Ratio Share allocated under Section </w:t>
            </w:r>
            <w:r w:rsidR="00EC4F5C">
              <w:t xml:space="preserve">9.19.1, Default Uplift Invoices, the </w:t>
            </w:r>
            <w:r>
              <w:t>terminated Market Participant must be current on all payment obligations for Default Uplift Invoices in order for the</w:t>
            </w:r>
            <w:r w:rsidRPr="00FF4FD4">
              <w:t xml:space="preserve"> </w:t>
            </w:r>
            <w:r>
              <w:t xml:space="preserve">CRR Account Holder to remain, or CRR Account Holder applicant to become, a registered CRR Account Holder.  For purposes of this </w:t>
            </w:r>
            <w:r w:rsidR="00EC4F5C">
              <w:t>S</w:t>
            </w:r>
            <w:r>
              <w:t>ection, ERCOT will only consider as disqualifying those Principals of the CRR Account Holder or CRR Account Holder applicant who were Principals of the other Entity at a time during which the other Entity was not current on its payment obligation for Default Uplift Invoices or 120 days prior to the date the other Entity first failed to pay a Default Uplift Invoice.</w:t>
            </w:r>
            <w:bookmarkEnd w:id="347"/>
          </w:p>
        </w:tc>
      </w:tr>
    </w:tbl>
    <w:p w14:paraId="1E986FE4" w14:textId="1322FBD1" w:rsidR="00FC1C5F" w:rsidRDefault="00727E32" w:rsidP="00C33516">
      <w:pPr>
        <w:pStyle w:val="BodyText"/>
        <w:spacing w:before="240"/>
        <w:ind w:left="720" w:hanging="720"/>
      </w:pPr>
      <w:r>
        <w:t>(2)</w:t>
      </w:r>
      <w:r>
        <w:tab/>
        <w:t xml:space="preserve">A CRR Account Holder shall promptly notify ERCOT of any change that materially affects the Entity’s ability to satisfy the criteria set forth above, and of any material change in the information provided by the CRR Account Holder to ERCOT that may adversely affect the financial security of ERCOT.  If the CRR Account Holder fails to so notify ERCOT within one day after the change, then ERCOT may refuse to allow the CRR Account Holder to perform as a CRR Account Holder and may take any other action ERCOT deems appropriate, in its sole discretion, to prevent ERCOT or Market Participants from bearing potential or actual risks, financial or otherwise, arising from those changes, and in accordance with these Protocols.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552F8" w14:paraId="0E95AEEA" w14:textId="77777777" w:rsidTr="008552F8">
        <w:tc>
          <w:tcPr>
            <w:tcW w:w="9332" w:type="dxa"/>
            <w:shd w:val="pct12" w:color="auto" w:fill="auto"/>
          </w:tcPr>
          <w:p w14:paraId="1D0DF26A" w14:textId="3105FE50" w:rsidR="008552F8" w:rsidRDefault="008552F8" w:rsidP="008552F8">
            <w:pPr>
              <w:pStyle w:val="Instructions"/>
              <w:spacing w:before="120"/>
              <w:rPr>
                <w:iCs/>
              </w:rPr>
            </w:pPr>
            <w:r>
              <w:rPr>
                <w:iCs/>
              </w:rPr>
              <w:t>[NPRR1073</w:t>
            </w:r>
            <w:r w:rsidRPr="0002450E">
              <w:rPr>
                <w:iCs/>
              </w:rPr>
              <w:t xml:space="preserve">:  </w:t>
            </w:r>
            <w:r>
              <w:rPr>
                <w:iCs/>
              </w:rPr>
              <w:t xml:space="preserve">Replace paragraph (2) above with the following </w:t>
            </w:r>
            <w:r w:rsidRPr="0002450E">
              <w:rPr>
                <w:iCs/>
              </w:rPr>
              <w:t xml:space="preserve">upon </w:t>
            </w:r>
            <w:r>
              <w:rPr>
                <w:iCs/>
              </w:rPr>
              <w:t>staffing completion</w:t>
            </w:r>
            <w:r w:rsidRPr="0002450E">
              <w:rPr>
                <w:iCs/>
              </w:rPr>
              <w:t xml:space="preserve">:] </w:t>
            </w:r>
          </w:p>
          <w:p w14:paraId="5D6F36C9" w14:textId="7A0C7AE9" w:rsidR="008552F8" w:rsidRPr="008552F8" w:rsidRDefault="008552F8" w:rsidP="008552F8">
            <w:pPr>
              <w:pStyle w:val="BodyTextNumbered"/>
            </w:pPr>
            <w:r w:rsidRPr="00F833BE">
              <w:lastRenderedPageBreak/>
              <w:t>(</w:t>
            </w:r>
            <w:r>
              <w:t>4</w:t>
            </w:r>
            <w:r w:rsidRPr="00CA66D0">
              <w:t>)</w:t>
            </w:r>
            <w:r w:rsidRPr="00CA66D0">
              <w:tab/>
              <w:t xml:space="preserve">A CRR Account Holder shall promptly notify ERCOT of any material change that </w:t>
            </w:r>
            <w:r>
              <w:t>a reasonable</w:t>
            </w:r>
            <w:r w:rsidRPr="00CA66D0">
              <w:t xml:space="preserve"> examiner could deem material to the </w:t>
            </w:r>
            <w:r>
              <w:t>CRR Account Holder’s</w:t>
            </w:r>
            <w:r w:rsidRPr="00CA66D0">
              <w:t xml:space="preserve"> </w:t>
            </w:r>
            <w:r w:rsidRPr="008B4413">
              <w:t>ability to continue to meet the requirements set forth in paragraph</w:t>
            </w:r>
            <w:r>
              <w:t>s</w:t>
            </w:r>
            <w:r w:rsidRPr="008B4413">
              <w:t xml:space="preserve"> (1)</w:t>
            </w:r>
            <w:r>
              <w:t xml:space="preserve"> to (3)</w:t>
            </w:r>
            <w:r w:rsidRPr="008B4413">
              <w:t xml:space="preserve"> above, and any material change in the information provided by the CRR Account Holder to ERCOT that may adversely affect the financial security of </w:t>
            </w:r>
            <w:r w:rsidRPr="00EC565B">
              <w:t xml:space="preserve">ERCOT. </w:t>
            </w:r>
            <w:r w:rsidR="002B20DD">
              <w:t xml:space="preserve"> </w:t>
            </w:r>
            <w:r w:rsidRPr="00EC565B">
              <w:t>This includes any changes in the Principals of the CRR Account Holder.</w:t>
            </w:r>
            <w:r>
              <w:t xml:space="preserve">  </w:t>
            </w:r>
            <w:r w:rsidRPr="008B4413">
              <w:t xml:space="preserve">If the CRR Account Holder fails to so notify ERCOT of the following </w:t>
            </w:r>
            <w:r w:rsidRPr="000D340C">
              <w:t>within two Business</w:t>
            </w:r>
            <w:r w:rsidRPr="00DF09AE">
              <w:t xml:space="preserve"> Day</w:t>
            </w:r>
            <w:r w:rsidRPr="00A80614">
              <w:t>s</w:t>
            </w:r>
            <w:r w:rsidRPr="000D340C">
              <w:t xml:space="preserve"> after</w:t>
            </w:r>
            <w:r w:rsidRPr="008B4413">
              <w:t xml:space="preserve"> becoming aware of the change, then ERCOT may refuse to allow the CRR Account Holder to continue to perform as a CRR Account Holder and take any other action ERCOT deems appropriate, in its sole discretion, to prevent ERCOT or Market Participants from bearing potential or actual risks, financial or otherwise, arising from those changes, and in accordance with these Protocols.</w:t>
            </w:r>
          </w:p>
        </w:tc>
      </w:tr>
    </w:tbl>
    <w:p w14:paraId="590940BD" w14:textId="5A173283" w:rsidR="00FC1C5F" w:rsidRDefault="00727E32" w:rsidP="00C33516">
      <w:pPr>
        <w:spacing w:before="240" w:after="240"/>
        <w:ind w:left="720" w:hanging="720"/>
      </w:pPr>
      <w:r>
        <w:lastRenderedPageBreak/>
        <w:t>(3)</w:t>
      </w:r>
      <w:r>
        <w:tab/>
        <w:t>Continued qualification as a CRR Account Holder is contingent upon compliance with all applicable requirements in these Protocols.   ERCOT may suspend a CRR Account Holder’s rights as a Market Participant when ERCOT reasonably determines that it is an appropriate remedy for the Entity’s failure to satisfy any applicable requirement.</w:t>
      </w:r>
    </w:p>
    <w:p w14:paraId="5305745E" w14:textId="77777777" w:rsidR="00FC1C5F" w:rsidRDefault="00727E32">
      <w:pPr>
        <w:pStyle w:val="H3"/>
      </w:pPr>
      <w:bookmarkStart w:id="348" w:name="_Toc390438953"/>
      <w:bookmarkStart w:id="349" w:name="_Toc405897650"/>
      <w:bookmarkStart w:id="350" w:name="_Toc415055754"/>
      <w:bookmarkStart w:id="351" w:name="_Toc415055880"/>
      <w:bookmarkStart w:id="352" w:name="_Toc415055979"/>
      <w:bookmarkStart w:id="353" w:name="_Toc415056080"/>
      <w:bookmarkStart w:id="354" w:name="_Toc70591621"/>
      <w:r>
        <w:t>16.8.2</w:t>
      </w:r>
      <w:r>
        <w:tab/>
        <w:t>CRR Account Holder Application Process</w:t>
      </w:r>
      <w:bookmarkEnd w:id="348"/>
      <w:bookmarkEnd w:id="349"/>
      <w:bookmarkEnd w:id="350"/>
      <w:bookmarkEnd w:id="351"/>
      <w:bookmarkEnd w:id="352"/>
      <w:bookmarkEnd w:id="353"/>
      <w:bookmarkEnd w:id="354"/>
      <w:r>
        <w:t xml:space="preserve">  </w:t>
      </w:r>
    </w:p>
    <w:p w14:paraId="134E0E98" w14:textId="6780CBE5" w:rsidR="00FC1C5F" w:rsidRDefault="00853D39" w:rsidP="009F10FE">
      <w:pPr>
        <w:pStyle w:val="BodyText"/>
        <w:ind w:left="720" w:hanging="720"/>
      </w:pPr>
      <w:r>
        <w:t>(1)</w:t>
      </w:r>
      <w:r>
        <w:tab/>
      </w:r>
      <w:r w:rsidR="00727E32">
        <w:t>To register as a CRR Account Holder, an applicant must submit to ERCOT a completed CRR Account Holder application</w:t>
      </w:r>
      <w:r w:rsidR="00B35DA1">
        <w:t xml:space="preserve"> (Section 23, Form A</w:t>
      </w:r>
      <w:r w:rsidR="00081A43">
        <w:t>, Congestion Revenue Right (CRR) Account Holder Application for Registration</w:t>
      </w:r>
      <w:r w:rsidR="00B35DA1">
        <w:t>)</w:t>
      </w:r>
      <w:r w:rsidR="00727E32">
        <w:t xml:space="preserve"> and any applicable fee.  ERCOT shall post on the </w:t>
      </w:r>
      <w:r w:rsidR="00F13002">
        <w:t>ERCOT website</w:t>
      </w:r>
      <w:r w:rsidR="00727E32">
        <w:t xml:space="preserve"> the form in which CRR Account Holder applications must be submitted, all materials that must be provided with the CRR Account Holder application and the fee schedule, if any, applicable to CRR Account Holder applications.  The CRR Account Holder application shall be attested to by a duly authorized officer or agent of the applicant.  The CRR Account Holder applicant shall promptly notify ERCOT of any material changes affecting a pending application using the appropriate form posted on the </w:t>
      </w:r>
      <w:r w:rsidR="00F13002">
        <w:t>ERCOT website</w:t>
      </w:r>
      <w:r w:rsidR="00727E32">
        <w:t>.  The application must be submitted at least 15 days before the first day of participation in the CRR Auction process or purchase of CRRs.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2B20DD" w14:paraId="454C44D2" w14:textId="77777777" w:rsidTr="00C8066C">
        <w:tc>
          <w:tcPr>
            <w:tcW w:w="9332" w:type="dxa"/>
            <w:shd w:val="pct12" w:color="auto" w:fill="auto"/>
          </w:tcPr>
          <w:p w14:paraId="55AE0D14" w14:textId="16CF7D48" w:rsidR="002B20DD" w:rsidRDefault="002B20DD" w:rsidP="00C8066C">
            <w:pPr>
              <w:pStyle w:val="Instructions"/>
              <w:spacing w:before="120"/>
              <w:rPr>
                <w:iCs/>
              </w:rPr>
            </w:pPr>
            <w:bookmarkStart w:id="355" w:name="_Toc390438954"/>
            <w:bookmarkStart w:id="356" w:name="_Toc405897651"/>
            <w:bookmarkStart w:id="357" w:name="_Toc415055755"/>
            <w:bookmarkStart w:id="358" w:name="_Toc415055881"/>
            <w:bookmarkStart w:id="359" w:name="_Toc415055980"/>
            <w:bookmarkStart w:id="360" w:name="_Toc415056081"/>
            <w:bookmarkStart w:id="361" w:name="_Toc70591622"/>
            <w:r>
              <w:rPr>
                <w:iCs/>
              </w:rPr>
              <w:t>[NPRR1073</w:t>
            </w:r>
            <w:r w:rsidRPr="0002450E">
              <w:rPr>
                <w:iCs/>
              </w:rPr>
              <w:t xml:space="preserve">:  </w:t>
            </w:r>
            <w:r>
              <w:rPr>
                <w:iCs/>
              </w:rPr>
              <w:t xml:space="preserve">Replace paragraph (1) above with the following </w:t>
            </w:r>
            <w:r w:rsidRPr="0002450E">
              <w:rPr>
                <w:iCs/>
              </w:rPr>
              <w:t xml:space="preserve">upon </w:t>
            </w:r>
            <w:r>
              <w:rPr>
                <w:iCs/>
              </w:rPr>
              <w:t>staffing completion</w:t>
            </w:r>
            <w:r w:rsidRPr="0002450E">
              <w:rPr>
                <w:iCs/>
              </w:rPr>
              <w:t xml:space="preserve">:] </w:t>
            </w:r>
          </w:p>
          <w:p w14:paraId="1138A630" w14:textId="4DB0BD5F" w:rsidR="002B20DD" w:rsidRPr="008552F8" w:rsidRDefault="002B20DD" w:rsidP="002B20DD">
            <w:pPr>
              <w:pStyle w:val="BodyText"/>
              <w:ind w:left="720" w:hanging="720"/>
            </w:pPr>
            <w:r>
              <w:t>(1)</w:t>
            </w:r>
            <w:r>
              <w:tab/>
              <w:t xml:space="preserve">To register as a CRR Account </w:t>
            </w:r>
            <w:r w:rsidR="00EC4F5C">
              <w:t xml:space="preserve">Holder, an applicant must submit to ERCOT a completed Section 23, Form A, Congestion Revenue Right (CRR) Account Holder Application for Registration, </w:t>
            </w:r>
            <w:r>
              <w:t xml:space="preserve">and any applicable fee.  ERCOT shall post on the ERCOT website the form in which CRR Account Holder applications must be submitted, all materials that must be provided with the CRR Account Holder application and the fee schedule, if any, applicable to CRR Account Holder applications.  The CRR Account Holder application shall be attested to by a duly authorized officer or agent of the applicant.  The CRR Account Holder applicant shall promptly notify ERCOT of any material changes affecting a pending application using the appropriate form posted on the ERCOT website.  The application must be </w:t>
            </w:r>
            <w:r>
              <w:lastRenderedPageBreak/>
              <w:t>submitted at least 60 days before the first day of participation in the CRR Auction process or purchase of CRRs.</w:t>
            </w:r>
          </w:p>
        </w:tc>
      </w:tr>
    </w:tbl>
    <w:p w14:paraId="3492ABE5" w14:textId="77777777" w:rsidR="00FC1C5F" w:rsidRPr="00D63F95" w:rsidRDefault="00727E32" w:rsidP="00C33516">
      <w:pPr>
        <w:pStyle w:val="H4"/>
        <w:spacing w:before="480"/>
        <w:rPr>
          <w:b/>
        </w:rPr>
      </w:pPr>
      <w:r w:rsidRPr="00D63F95">
        <w:rPr>
          <w:b/>
        </w:rPr>
        <w:lastRenderedPageBreak/>
        <w:t>16.8.2.1</w:t>
      </w:r>
      <w:r w:rsidRPr="00D63F95">
        <w:rPr>
          <w:b/>
        </w:rPr>
        <w:tab/>
        <w:t>Notice of Receipt of CRR Account Holder Application</w:t>
      </w:r>
      <w:bookmarkEnd w:id="355"/>
      <w:bookmarkEnd w:id="356"/>
      <w:bookmarkEnd w:id="357"/>
      <w:bookmarkEnd w:id="358"/>
      <w:bookmarkEnd w:id="359"/>
      <w:bookmarkEnd w:id="360"/>
      <w:bookmarkEnd w:id="361"/>
    </w:p>
    <w:p w14:paraId="79D93F63" w14:textId="77777777" w:rsidR="00FC1C5F" w:rsidRDefault="00853D39" w:rsidP="009F10FE">
      <w:pPr>
        <w:pStyle w:val="BodyText"/>
        <w:ind w:left="720" w:hanging="720"/>
      </w:pPr>
      <w:r>
        <w:t>(1)</w:t>
      </w:r>
      <w:r>
        <w:tab/>
      </w:r>
      <w:r w:rsidR="00727E32">
        <w:t>Within three Business Days after receiving a CRR Account Holder application, ERCOT shall issue to the applicant a written confirmation that ERCOT has received the CRR Account Holder application.  ERCOT shall return without review any CRR Account Holder application that does not include the proper application fee.  The remainder of this Section does not apply to any CRR Account Holder application returned for failure to include the proper application fee.</w:t>
      </w:r>
    </w:p>
    <w:p w14:paraId="1E61B8F2" w14:textId="77777777" w:rsidR="00FC1C5F" w:rsidRPr="00D63F95" w:rsidRDefault="00727E32">
      <w:pPr>
        <w:pStyle w:val="H4"/>
        <w:rPr>
          <w:b/>
        </w:rPr>
      </w:pPr>
      <w:bookmarkStart w:id="362" w:name="_Toc390438955"/>
      <w:bookmarkStart w:id="363" w:name="_Toc405897652"/>
      <w:bookmarkStart w:id="364" w:name="_Toc415055756"/>
      <w:bookmarkStart w:id="365" w:name="_Toc415055882"/>
      <w:bookmarkStart w:id="366" w:name="_Toc415055981"/>
      <w:bookmarkStart w:id="367" w:name="_Toc415056082"/>
      <w:bookmarkStart w:id="368" w:name="_Toc70591623"/>
      <w:r w:rsidRPr="00D63F95">
        <w:rPr>
          <w:b/>
        </w:rPr>
        <w:t>16.8.2.2</w:t>
      </w:r>
      <w:r w:rsidRPr="00D63F95">
        <w:rPr>
          <w:b/>
        </w:rPr>
        <w:tab/>
        <w:t>Incomplete Applications</w:t>
      </w:r>
      <w:bookmarkEnd w:id="362"/>
      <w:bookmarkEnd w:id="363"/>
      <w:bookmarkEnd w:id="364"/>
      <w:bookmarkEnd w:id="365"/>
      <w:bookmarkEnd w:id="366"/>
      <w:bookmarkEnd w:id="367"/>
      <w:bookmarkEnd w:id="368"/>
      <w:r w:rsidRPr="00D63F95">
        <w:rPr>
          <w:b/>
        </w:rPr>
        <w:t xml:space="preserve">  </w:t>
      </w:r>
    </w:p>
    <w:p w14:paraId="2600D8AF" w14:textId="77777777" w:rsidR="00FC1C5F" w:rsidRDefault="00727E32">
      <w:pPr>
        <w:pStyle w:val="BodyTextNumbered"/>
      </w:pPr>
      <w:r>
        <w:t>(1)</w:t>
      </w:r>
      <w:r>
        <w:tab/>
        <w:t>Within ten Business Days after receiving a CRR Account Holder application, ERCOT shall notify the applicant in writing if the application is incomplete.  If ERCOT fails to notify the applicant that the application is incomplete within ten Business Days, then the application is considered complete as of the date ERCOT received it.</w:t>
      </w:r>
    </w:p>
    <w:p w14:paraId="098570F8" w14:textId="77777777" w:rsidR="00FC1C5F" w:rsidRDefault="00727E32">
      <w:pPr>
        <w:pStyle w:val="BodyTextNumbered"/>
      </w:pPr>
      <w:r>
        <w:t>(2)</w:t>
      </w:r>
      <w:r>
        <w:tab/>
        <w:t>If a CRR Account Holder application is incomplete, ERCOT’s notice of incompletion to the applicant must explain the deficiencies and describe the additional information necessary to make the CRR Account Holder application complete.  The CRR Account Holder applicant has five Business Days after it receives the notice, or a longer period if ERCOT allows, to provide the additional required information.  If the applicant responds to the notice within the allotted time, then the CRR Account Holder application is considered complete on the date that ERCOT received the complete additional information from the applicant.</w:t>
      </w:r>
    </w:p>
    <w:p w14:paraId="5F4B80D5" w14:textId="77777777" w:rsidR="00FC1C5F" w:rsidRDefault="00727E32">
      <w:pPr>
        <w:pStyle w:val="BodyTextNumbered"/>
      </w:pPr>
      <w:r>
        <w:t>(3)</w:t>
      </w:r>
      <w:r>
        <w:tab/>
        <w:t>If the applicant does not respond to the incompletion notice within the time allotted, ERCOT shall reject the application and shall notify the applicant using the procedures below.</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2B20DD" w14:paraId="56A15399" w14:textId="77777777" w:rsidTr="00C8066C">
        <w:tc>
          <w:tcPr>
            <w:tcW w:w="9332" w:type="dxa"/>
            <w:shd w:val="pct12" w:color="auto" w:fill="auto"/>
          </w:tcPr>
          <w:p w14:paraId="470C897A" w14:textId="709D9976" w:rsidR="002B20DD" w:rsidRDefault="002B20DD" w:rsidP="00C8066C">
            <w:pPr>
              <w:pStyle w:val="Instructions"/>
              <w:spacing w:before="120"/>
              <w:rPr>
                <w:iCs/>
              </w:rPr>
            </w:pPr>
            <w:bookmarkStart w:id="369" w:name="_Toc390438956"/>
            <w:bookmarkStart w:id="370" w:name="_Toc405897653"/>
            <w:bookmarkStart w:id="371" w:name="_Toc415055757"/>
            <w:bookmarkStart w:id="372" w:name="_Toc415055883"/>
            <w:bookmarkStart w:id="373" w:name="_Toc415055982"/>
            <w:bookmarkStart w:id="374" w:name="_Toc415056083"/>
            <w:bookmarkStart w:id="375" w:name="_Toc70591624"/>
            <w:r>
              <w:rPr>
                <w:iCs/>
              </w:rPr>
              <w:t>[NPRR1073</w:t>
            </w:r>
            <w:r w:rsidRPr="0002450E">
              <w:rPr>
                <w:iCs/>
              </w:rPr>
              <w:t xml:space="preserve">:  </w:t>
            </w:r>
            <w:r>
              <w:rPr>
                <w:iCs/>
              </w:rPr>
              <w:t xml:space="preserve">Replace Section 16.8.2.2 above with the following </w:t>
            </w:r>
            <w:r w:rsidRPr="0002450E">
              <w:rPr>
                <w:iCs/>
              </w:rPr>
              <w:t xml:space="preserve">upon </w:t>
            </w:r>
            <w:r>
              <w:rPr>
                <w:iCs/>
              </w:rPr>
              <w:t>staffing completion</w:t>
            </w:r>
            <w:r w:rsidRPr="0002450E">
              <w:rPr>
                <w:iCs/>
              </w:rPr>
              <w:t xml:space="preserve">:] </w:t>
            </w:r>
          </w:p>
          <w:p w14:paraId="047BAD2C" w14:textId="77777777" w:rsidR="002B20DD" w:rsidRPr="00D63F95" w:rsidRDefault="002B20DD" w:rsidP="002B20DD">
            <w:pPr>
              <w:pStyle w:val="H4"/>
              <w:spacing w:before="0"/>
              <w:rPr>
                <w:b/>
              </w:rPr>
            </w:pPr>
            <w:bookmarkStart w:id="376" w:name="_Toc34728496"/>
            <w:r w:rsidRPr="00D63F95">
              <w:rPr>
                <w:b/>
              </w:rPr>
              <w:t>16.8.2.2</w:t>
            </w:r>
            <w:r w:rsidRPr="00D63F95">
              <w:rPr>
                <w:b/>
              </w:rPr>
              <w:tab/>
              <w:t xml:space="preserve">Incomplete </w:t>
            </w:r>
            <w:r>
              <w:rPr>
                <w:b/>
              </w:rPr>
              <w:t xml:space="preserve">CRR Account Holder </w:t>
            </w:r>
            <w:r w:rsidRPr="00D63F95">
              <w:rPr>
                <w:b/>
              </w:rPr>
              <w:t>Applications</w:t>
            </w:r>
            <w:bookmarkEnd w:id="376"/>
            <w:r>
              <w:rPr>
                <w:b/>
              </w:rPr>
              <w:t xml:space="preserve"> </w:t>
            </w:r>
          </w:p>
          <w:p w14:paraId="6A7D7832" w14:textId="0AEDC4A9" w:rsidR="002B20DD" w:rsidRDefault="002B20DD" w:rsidP="002B20DD">
            <w:pPr>
              <w:pStyle w:val="BodyTextNumbered"/>
            </w:pPr>
            <w:r>
              <w:t>(1)</w:t>
            </w:r>
            <w:r>
              <w:tab/>
              <w:t xml:space="preserve">Within ten Business Days after receiving a CRR Account Holder application, ERCOT shall notify the applicant in writing if the application is incomplete.  An application will not be deemed complete until ERCOT has received all information necessary to conduct an evaluation of whether the applicant satisfies the requirements to be registered as a </w:t>
            </w:r>
            <w:r>
              <w:rPr>
                <w:szCs w:val="24"/>
              </w:rPr>
              <w:t>CRR Account Holder</w:t>
            </w:r>
            <w:r>
              <w:t>.</w:t>
            </w:r>
          </w:p>
          <w:p w14:paraId="41183F35" w14:textId="5E9E4F53" w:rsidR="002B20DD" w:rsidRDefault="002B20DD" w:rsidP="002B20DD">
            <w:pPr>
              <w:pStyle w:val="BodyTextNumbered"/>
            </w:pPr>
            <w:r>
              <w:t>(2)</w:t>
            </w:r>
            <w:r>
              <w:tab/>
              <w:t xml:space="preserve">If a CRR Account Holder application is incomplete, ERCOT’s notice of incompletion to the applicant must explain the deficiencies and describe the additional information necessary to make the CRR Account Holder application complete.  The CRR Account </w:t>
            </w:r>
            <w:r>
              <w:lastRenderedPageBreak/>
              <w:t>Holder applicant has five Business Days after it receives the notice, or a longer period if ERCOT allows, to provide the additional required information.</w:t>
            </w:r>
          </w:p>
          <w:p w14:paraId="17AF340C" w14:textId="417BAFE8" w:rsidR="002B20DD" w:rsidRDefault="002B20DD" w:rsidP="002B20DD">
            <w:pPr>
              <w:pStyle w:val="BodyTextNumbered"/>
            </w:pPr>
            <w:r>
              <w:t>(3)</w:t>
            </w:r>
            <w:r>
              <w:tab/>
              <w:t>If the applicant does not respond to the incompletion notice within the time allotted, ERCOT shall reject the application and shall notify the applicant using the procedures below.</w:t>
            </w:r>
          </w:p>
          <w:p w14:paraId="4702EF40" w14:textId="5A3DAB9E" w:rsidR="002B20DD" w:rsidRPr="008552F8" w:rsidRDefault="002B20DD" w:rsidP="002B20DD">
            <w:pPr>
              <w:pStyle w:val="BodyTextNumbered"/>
            </w:pPr>
            <w:r>
              <w:t>(4)</w:t>
            </w:r>
            <w:r>
              <w:tab/>
              <w:t xml:space="preserve">ERCOT will notify the applicant of the date on which the application is deemed complete. </w:t>
            </w:r>
          </w:p>
        </w:tc>
      </w:tr>
    </w:tbl>
    <w:p w14:paraId="6E9A41B2" w14:textId="77777777" w:rsidR="00FC1C5F" w:rsidRPr="00D63F95" w:rsidRDefault="00727E32" w:rsidP="00C33516">
      <w:pPr>
        <w:pStyle w:val="H4"/>
        <w:spacing w:before="480"/>
        <w:rPr>
          <w:b/>
        </w:rPr>
      </w:pPr>
      <w:r w:rsidRPr="00D63F95">
        <w:rPr>
          <w:b/>
        </w:rPr>
        <w:lastRenderedPageBreak/>
        <w:t>16.8.2.3</w:t>
      </w:r>
      <w:r w:rsidRPr="00D63F95">
        <w:rPr>
          <w:b/>
        </w:rPr>
        <w:tab/>
        <w:t>ERCOT Approval or Rejection of CRR Account Holder Application</w:t>
      </w:r>
      <w:bookmarkEnd w:id="369"/>
      <w:bookmarkEnd w:id="370"/>
      <w:bookmarkEnd w:id="371"/>
      <w:bookmarkEnd w:id="372"/>
      <w:bookmarkEnd w:id="373"/>
      <w:bookmarkEnd w:id="374"/>
      <w:bookmarkEnd w:id="375"/>
    </w:p>
    <w:p w14:paraId="2ED72D18" w14:textId="77777777" w:rsidR="00FC1C5F" w:rsidRDefault="00727E32">
      <w:pPr>
        <w:pStyle w:val="BodyTextNumbered"/>
      </w:pPr>
      <w:r>
        <w:t>(1)</w:t>
      </w:r>
      <w:r>
        <w:tab/>
        <w:t>ERCOT may reject a CRR Account Holder application within ten Business Days after the application has been deemed complete in accordance with this Section.  If ERCOT does not reject the CRR Account Holder application within ten Business days after the application is deemed complete then the application is deemed approved.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2B20DD" w14:paraId="2C244F3E" w14:textId="77777777" w:rsidTr="00C8066C">
        <w:tc>
          <w:tcPr>
            <w:tcW w:w="9332" w:type="dxa"/>
            <w:shd w:val="pct12" w:color="auto" w:fill="auto"/>
          </w:tcPr>
          <w:p w14:paraId="759E874A" w14:textId="7CADF275" w:rsidR="002B20DD" w:rsidRDefault="002B20DD" w:rsidP="00C8066C">
            <w:pPr>
              <w:pStyle w:val="Instructions"/>
              <w:spacing w:before="120"/>
              <w:rPr>
                <w:iCs/>
              </w:rPr>
            </w:pPr>
            <w:r>
              <w:rPr>
                <w:iCs/>
              </w:rPr>
              <w:t>[NPRR1073</w:t>
            </w:r>
            <w:r w:rsidRPr="0002450E">
              <w:rPr>
                <w:iCs/>
              </w:rPr>
              <w:t xml:space="preserve">:  </w:t>
            </w:r>
            <w:r>
              <w:rPr>
                <w:iCs/>
              </w:rPr>
              <w:t xml:space="preserve">Replace paragraph (1) above with the following </w:t>
            </w:r>
            <w:r w:rsidRPr="0002450E">
              <w:rPr>
                <w:iCs/>
              </w:rPr>
              <w:t xml:space="preserve">upon </w:t>
            </w:r>
            <w:r>
              <w:rPr>
                <w:iCs/>
              </w:rPr>
              <w:t>staffing completion</w:t>
            </w:r>
            <w:r w:rsidRPr="0002450E">
              <w:rPr>
                <w:iCs/>
              </w:rPr>
              <w:t xml:space="preserve">:] </w:t>
            </w:r>
          </w:p>
          <w:p w14:paraId="116A0A92" w14:textId="085FAA90" w:rsidR="002B20DD" w:rsidRPr="008552F8" w:rsidRDefault="002B20DD" w:rsidP="002B20DD">
            <w:pPr>
              <w:pStyle w:val="BodyTextNumbered"/>
            </w:pPr>
            <w:r>
              <w:t>(1)</w:t>
            </w:r>
            <w:r>
              <w:tab/>
              <w:t>ERCOT will approve or reject a CRR Account Holder application within 60 days after the application has been deemed complete as provided for in Section 16.8.2.2, Incomplete CRR Account Holder Applications, unless ERCOT determines that additional time is needed to complete its review of the application.  ERCOT will notify the applicant when additional time is needed to complete its review and will provide a date by which ERCOT expects to complete its review.  If ERCOT’s initial evaluation indicates that there may be a basis to reject the application, ERCOT may contact the applicant prior to rendering a final decision on the application to determine if further information can be provided by the applicant to resolve the identified concern.</w:t>
            </w:r>
          </w:p>
        </w:tc>
      </w:tr>
    </w:tbl>
    <w:p w14:paraId="0FE9CD0F" w14:textId="21C34E6F" w:rsidR="00FC1C5F" w:rsidRDefault="00727E32" w:rsidP="00C33516">
      <w:pPr>
        <w:pStyle w:val="BodyTextNumbered"/>
        <w:spacing w:before="240"/>
      </w:pPr>
      <w:r>
        <w:t>(2)</w:t>
      </w:r>
      <w:r>
        <w:tab/>
        <w:t>If ERCOT rejects a CRR Account Holder application, ERCOT shall send the applicant a rejection letter explaining the grounds upon which ERCOT rejected the CRR Account Holder application.  Appropriate grounds for rejecting a CRR Account Holder application include the following:</w:t>
      </w:r>
    </w:p>
    <w:p w14:paraId="176C7C0A" w14:textId="77777777" w:rsidR="00FC1C5F" w:rsidRDefault="00727E32">
      <w:pPr>
        <w:pStyle w:val="List"/>
      </w:pPr>
      <w:r>
        <w:t>(a)</w:t>
      </w:r>
      <w:r>
        <w:tab/>
        <w:t>Required information is not provided to ERCOT in the allotted time;</w:t>
      </w:r>
    </w:p>
    <w:p w14:paraId="37DF38F7" w14:textId="77777777" w:rsidR="00FC1C5F" w:rsidRDefault="00727E32">
      <w:pPr>
        <w:pStyle w:val="List"/>
      </w:pPr>
      <w:r>
        <w:t>(b)</w:t>
      </w:r>
      <w:r>
        <w:tab/>
        <w:t>Noncompliance with technical requirements; and</w:t>
      </w:r>
    </w:p>
    <w:p w14:paraId="09993174" w14:textId="77777777" w:rsidR="00FC1C5F" w:rsidRDefault="00727E32">
      <w:pPr>
        <w:pStyle w:val="List"/>
      </w:pPr>
      <w:r>
        <w:t>(c)</w:t>
      </w:r>
      <w:r>
        <w:tab/>
        <w:t>Noncompliance with other specific eligibility requirements in this Section or in any other Protocols.</w:t>
      </w:r>
    </w:p>
    <w:p w14:paraId="550ADAD3" w14:textId="77777777" w:rsidR="00FC1C5F" w:rsidRDefault="00727E32">
      <w:pPr>
        <w:pStyle w:val="BodyTextNumbered"/>
      </w:pPr>
      <w:r>
        <w:t>(3)</w:t>
      </w:r>
      <w:r>
        <w:tab/>
        <w:t xml:space="preserve">Not later than ten Business Days after receiving a rejection letter, the CRR Account Holder applicant may challenge the rejection of its CRR Account Holder application using the dispute resolution procedures set forth in Section 20, Alternative Dispute Resolution Procedure.  The applicant may submit a new CRR Account Holder </w:t>
      </w:r>
      <w:r>
        <w:lastRenderedPageBreak/>
        <w:t>application and fee at any time, and ERCOT shall process the new CRR Account Holder application under this Section.</w:t>
      </w:r>
    </w:p>
    <w:p w14:paraId="1C79A686" w14:textId="77777777" w:rsidR="00FC1C5F" w:rsidRDefault="00727E32">
      <w:pPr>
        <w:pStyle w:val="BodyTextNumbered"/>
      </w:pPr>
      <w:r>
        <w:t>(4)</w:t>
      </w:r>
      <w:r>
        <w:tab/>
        <w:t>If ERCOT does not reject the CRR Account Holder application within ten Business Days after the application has been deemed complete under this Section, ERCOT shall send  the applicant, a CRR Account Holder Agreement and any other required agreements relating to use of the ERCOT network, software, and systems for the applicant’s signature.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2B20DD" w14:paraId="04155586" w14:textId="77777777" w:rsidTr="00C8066C">
        <w:tc>
          <w:tcPr>
            <w:tcW w:w="9332" w:type="dxa"/>
            <w:shd w:val="pct12" w:color="auto" w:fill="auto"/>
          </w:tcPr>
          <w:p w14:paraId="7EF5AE7B" w14:textId="092ACE0D" w:rsidR="002B20DD" w:rsidRDefault="002B20DD" w:rsidP="00C8066C">
            <w:pPr>
              <w:pStyle w:val="Instructions"/>
              <w:spacing w:before="120"/>
              <w:rPr>
                <w:iCs/>
              </w:rPr>
            </w:pPr>
            <w:bookmarkStart w:id="377" w:name="_Toc390438957"/>
            <w:bookmarkStart w:id="378" w:name="_Toc405897654"/>
            <w:bookmarkStart w:id="379" w:name="_Toc415055758"/>
            <w:bookmarkStart w:id="380" w:name="_Toc415055884"/>
            <w:bookmarkStart w:id="381" w:name="_Toc415055983"/>
            <w:bookmarkStart w:id="382" w:name="_Toc415056084"/>
            <w:bookmarkStart w:id="383" w:name="_Toc70591625"/>
            <w:r>
              <w:rPr>
                <w:iCs/>
              </w:rPr>
              <w:t>[NPRR1073</w:t>
            </w:r>
            <w:r w:rsidRPr="0002450E">
              <w:rPr>
                <w:iCs/>
              </w:rPr>
              <w:t xml:space="preserve">:  </w:t>
            </w:r>
            <w:r>
              <w:rPr>
                <w:iCs/>
              </w:rPr>
              <w:t xml:space="preserve">Replace paragraph (4) above with the following </w:t>
            </w:r>
            <w:r w:rsidRPr="0002450E">
              <w:rPr>
                <w:iCs/>
              </w:rPr>
              <w:t xml:space="preserve">upon </w:t>
            </w:r>
            <w:r>
              <w:rPr>
                <w:iCs/>
              </w:rPr>
              <w:t>staffing completion</w:t>
            </w:r>
            <w:r w:rsidRPr="0002450E">
              <w:rPr>
                <w:iCs/>
              </w:rPr>
              <w:t xml:space="preserve">:] </w:t>
            </w:r>
          </w:p>
          <w:p w14:paraId="6CF1DC14" w14:textId="77777777" w:rsidR="002B20DD" w:rsidRDefault="002B20DD" w:rsidP="002B20DD">
            <w:pPr>
              <w:pStyle w:val="BodyTextNumbered"/>
            </w:pPr>
            <w:r>
              <w:t>(4)</w:t>
            </w:r>
            <w:r>
              <w:tab/>
              <w:t>If ERCOT approves the CRR Account Holder application, ERCOT shall send the applicant a CRR Account Holder Agreement and any other required Agreements relating to use of the ERCOT network, software, and systems for the applicant’s signature.</w:t>
            </w:r>
          </w:p>
          <w:p w14:paraId="3233B0E0" w14:textId="52B46311" w:rsidR="002B20DD" w:rsidRPr="008552F8" w:rsidRDefault="002B20DD" w:rsidP="002B20DD">
            <w:pPr>
              <w:pStyle w:val="BodyText"/>
              <w:ind w:left="720" w:hanging="720"/>
            </w:pPr>
            <w:bookmarkStart w:id="384" w:name="_Toc34728498"/>
            <w:r>
              <w:t>(5)</w:t>
            </w:r>
            <w:r>
              <w:tab/>
              <w:t xml:space="preserve">If ERCOT fails to approve or deny the CRR Account Holder application within 60 days after the application is deemed complete, and fails to notify the applicant that additional time is needed to complete its review, </w:t>
            </w:r>
            <w:r w:rsidRPr="00DD0220">
              <w:t>the CRR Account Holder may seek relief using the dispute resolution procedures set forth in Section 20.</w:t>
            </w:r>
            <w:bookmarkEnd w:id="384"/>
          </w:p>
        </w:tc>
      </w:tr>
    </w:tbl>
    <w:p w14:paraId="01F61C4E" w14:textId="77777777" w:rsidR="00FC1C5F" w:rsidRDefault="00727E32" w:rsidP="00C33516">
      <w:pPr>
        <w:pStyle w:val="H3"/>
        <w:spacing w:before="480"/>
      </w:pPr>
      <w:r>
        <w:t>16.8.3</w:t>
      </w:r>
      <w:r>
        <w:tab/>
        <w:t>Remaining Steps for CRR Account Holder Registration</w:t>
      </w:r>
      <w:bookmarkEnd w:id="377"/>
      <w:bookmarkEnd w:id="378"/>
      <w:bookmarkEnd w:id="379"/>
      <w:bookmarkEnd w:id="380"/>
      <w:bookmarkEnd w:id="381"/>
      <w:bookmarkEnd w:id="382"/>
      <w:bookmarkEnd w:id="383"/>
    </w:p>
    <w:p w14:paraId="59A88399" w14:textId="77777777" w:rsidR="00FC1C5F" w:rsidRDefault="00853D39" w:rsidP="009F10FE">
      <w:pPr>
        <w:pStyle w:val="ListIntroduction"/>
        <w:ind w:left="720" w:hanging="720"/>
      </w:pPr>
      <w:r>
        <w:rPr>
          <w:lang w:val="en-US"/>
        </w:rPr>
        <w:t>(1)</w:t>
      </w:r>
      <w:r>
        <w:rPr>
          <w:lang w:val="en-US"/>
        </w:rPr>
        <w:tab/>
      </w:r>
      <w:r w:rsidR="00727E32">
        <w:t>After a CRR Account Holder application is deemed approved under Section 16.8.2.3, ERCOT Approval or Rejection of CRR Account Holder Application, the applicant shall coordinate or perform the following:</w:t>
      </w:r>
    </w:p>
    <w:p w14:paraId="30CD6551" w14:textId="77777777" w:rsidR="00FC1C5F" w:rsidRDefault="00727E32">
      <w:pPr>
        <w:pStyle w:val="List"/>
      </w:pPr>
      <w:r>
        <w:t>(a)</w:t>
      </w:r>
      <w:r>
        <w:tab/>
        <w:t>Return the signed CRR Account Holder Agreement and other related agreements to ERCOT; and</w:t>
      </w:r>
    </w:p>
    <w:p w14:paraId="52B4B203" w14:textId="77777777" w:rsidR="00FC1C5F" w:rsidRDefault="00727E32">
      <w:pPr>
        <w:pStyle w:val="List"/>
      </w:pPr>
      <w:r>
        <w:t>(b)</w:t>
      </w:r>
      <w:r>
        <w:tab/>
        <w:t>Demonstrate compliance with security and financial requirements.</w:t>
      </w:r>
    </w:p>
    <w:p w14:paraId="791DF1E8" w14:textId="77777777" w:rsidR="00FC1C5F" w:rsidRDefault="00727E32">
      <w:pPr>
        <w:pStyle w:val="Heading4"/>
        <w:numPr>
          <w:ilvl w:val="0"/>
          <w:numId w:val="0"/>
        </w:numPr>
        <w:tabs>
          <w:tab w:val="left" w:pos="1620"/>
        </w:tabs>
      </w:pPr>
      <w:bookmarkStart w:id="385" w:name="_Toc390438958"/>
      <w:bookmarkStart w:id="386" w:name="_Toc405897655"/>
      <w:bookmarkStart w:id="387" w:name="_Toc415055759"/>
      <w:bookmarkStart w:id="388" w:name="_Toc415055885"/>
      <w:bookmarkStart w:id="389" w:name="_Toc415055984"/>
      <w:bookmarkStart w:id="390" w:name="_Toc415056085"/>
      <w:bookmarkStart w:id="391" w:name="_Toc70591626"/>
      <w:r>
        <w:t>16.8.3.1</w:t>
      </w:r>
      <w:r>
        <w:tab/>
        <w:t>Maintaining and Updating CRR Account Holder Information</w:t>
      </w:r>
      <w:bookmarkEnd w:id="385"/>
      <w:bookmarkEnd w:id="386"/>
      <w:bookmarkEnd w:id="387"/>
      <w:bookmarkEnd w:id="388"/>
      <w:bookmarkEnd w:id="389"/>
      <w:bookmarkEnd w:id="390"/>
      <w:bookmarkEnd w:id="391"/>
      <w:r>
        <w:t xml:space="preserve"> </w:t>
      </w:r>
    </w:p>
    <w:p w14:paraId="0CD642CD" w14:textId="77777777" w:rsidR="00FC1C5F" w:rsidRDefault="00853D39" w:rsidP="009F10FE">
      <w:pPr>
        <w:pStyle w:val="ListIntroduction"/>
        <w:ind w:left="720" w:hanging="720"/>
      </w:pPr>
      <w:r>
        <w:rPr>
          <w:lang w:val="en-US"/>
        </w:rPr>
        <w:t>(1)</w:t>
      </w:r>
      <w:r>
        <w:rPr>
          <w:lang w:val="en-US"/>
        </w:rPr>
        <w:tab/>
      </w:r>
      <w:r w:rsidR="00727E32">
        <w:t>Each CRR Account Holder must timely update information the CRR Account Holder provided to ERCOT in the application process, and a CRR Account Holder must promptly respond to any reasonable request by ERCOT for updated information regarding the CRR Account Holder or the information provided to ERCOT by the CRR Account Holder, including:</w:t>
      </w:r>
    </w:p>
    <w:p w14:paraId="12CD6D25" w14:textId="77777777" w:rsidR="00FC1C5F" w:rsidRDefault="00727E32">
      <w:pPr>
        <w:pStyle w:val="List"/>
      </w:pPr>
      <w:r>
        <w:t>(a)</w:t>
      </w:r>
      <w:r>
        <w:tab/>
        <w:t>The CRR Account Holder’s addresses;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1277A1" w14:paraId="37CA2CC1" w14:textId="77777777" w:rsidTr="00C8066C">
        <w:tc>
          <w:tcPr>
            <w:tcW w:w="9332" w:type="dxa"/>
            <w:shd w:val="pct12" w:color="auto" w:fill="auto"/>
          </w:tcPr>
          <w:p w14:paraId="0884AEFE" w14:textId="3FD1EDF0" w:rsidR="001277A1" w:rsidRDefault="001277A1" w:rsidP="00C8066C">
            <w:pPr>
              <w:pStyle w:val="Instructions"/>
              <w:spacing w:before="120"/>
              <w:rPr>
                <w:iCs/>
              </w:rPr>
            </w:pPr>
            <w:r>
              <w:rPr>
                <w:iCs/>
              </w:rPr>
              <w:t>[NPRR1073</w:t>
            </w:r>
            <w:r w:rsidRPr="0002450E">
              <w:rPr>
                <w:iCs/>
              </w:rPr>
              <w:t xml:space="preserve">:  </w:t>
            </w:r>
            <w:r>
              <w:rPr>
                <w:iCs/>
              </w:rPr>
              <w:t xml:space="preserve">Insert item (b) below </w:t>
            </w:r>
            <w:r w:rsidRPr="0002450E">
              <w:rPr>
                <w:iCs/>
              </w:rPr>
              <w:t xml:space="preserve">upon </w:t>
            </w:r>
            <w:r>
              <w:rPr>
                <w:iCs/>
              </w:rPr>
              <w:t>staffing completion and renumber accordingly</w:t>
            </w:r>
            <w:r w:rsidRPr="0002450E">
              <w:rPr>
                <w:iCs/>
              </w:rPr>
              <w:t xml:space="preserve">:] </w:t>
            </w:r>
          </w:p>
          <w:p w14:paraId="7CFE031B" w14:textId="2374495F" w:rsidR="001277A1" w:rsidRPr="008552F8" w:rsidRDefault="001277A1" w:rsidP="001277A1">
            <w:pPr>
              <w:pStyle w:val="List"/>
            </w:pPr>
            <w:r>
              <w:lastRenderedPageBreak/>
              <w:t>(b)</w:t>
            </w:r>
            <w:r>
              <w:tab/>
              <w:t>A list of Principals;</w:t>
            </w:r>
          </w:p>
        </w:tc>
      </w:tr>
    </w:tbl>
    <w:p w14:paraId="6DE0E088" w14:textId="0D64E6E4" w:rsidR="00FC1C5F" w:rsidRDefault="00727E32" w:rsidP="00C33516">
      <w:pPr>
        <w:pStyle w:val="List"/>
        <w:spacing w:before="240"/>
      </w:pPr>
      <w:r>
        <w:lastRenderedPageBreak/>
        <w:t>(b)</w:t>
      </w:r>
      <w:r>
        <w:tab/>
        <w:t>A list of Affiliates; and</w:t>
      </w:r>
    </w:p>
    <w:p w14:paraId="6712B52B" w14:textId="77777777" w:rsidR="00FC1C5F" w:rsidRDefault="00727E32">
      <w:pPr>
        <w:pStyle w:val="List"/>
      </w:pPr>
      <w:r>
        <w:t>(c)</w:t>
      </w:r>
      <w:r>
        <w:tab/>
        <w:t xml:space="preserve">Designation of the CRR Account Holder’s officers, directors, Authorized Representatives, Credit Contacts, and User Security Administrator (all per the CRR Account Holder application) including the addresses (if different), telephone and facsimile numbers, and e-mail addresses for those persons. </w:t>
      </w:r>
    </w:p>
    <w:p w14:paraId="53BD24E3" w14:textId="77777777" w:rsidR="00FC1C5F" w:rsidRDefault="00727E32">
      <w:pPr>
        <w:pStyle w:val="H2"/>
      </w:pPr>
      <w:bookmarkStart w:id="392" w:name="_Toc390438959"/>
      <w:bookmarkStart w:id="393" w:name="_Toc405897656"/>
      <w:bookmarkStart w:id="394" w:name="_Toc415055760"/>
      <w:bookmarkStart w:id="395" w:name="_Toc415055886"/>
      <w:bookmarkStart w:id="396" w:name="_Toc415055985"/>
      <w:bookmarkStart w:id="397" w:name="_Toc415056086"/>
      <w:bookmarkStart w:id="398" w:name="_Toc70591627"/>
      <w:bookmarkStart w:id="399" w:name="_Toc71369199"/>
      <w:bookmarkStart w:id="400" w:name="_Toc71539414"/>
      <w:r>
        <w:t>16.9</w:t>
      </w:r>
      <w:r>
        <w:tab/>
        <w:t>Resources Providing Reliability Must-Run Service</w:t>
      </w:r>
      <w:bookmarkEnd w:id="392"/>
      <w:bookmarkEnd w:id="393"/>
      <w:bookmarkEnd w:id="394"/>
      <w:bookmarkEnd w:id="395"/>
      <w:bookmarkEnd w:id="396"/>
      <w:bookmarkEnd w:id="397"/>
      <w:bookmarkEnd w:id="398"/>
    </w:p>
    <w:p w14:paraId="1A3CF262" w14:textId="77777777" w:rsidR="00FC1C5F" w:rsidRDefault="00853D39" w:rsidP="009F10FE">
      <w:pPr>
        <w:pStyle w:val="BodyText"/>
        <w:ind w:left="720" w:hanging="720"/>
      </w:pPr>
      <w:r>
        <w:t>(1)</w:t>
      </w:r>
      <w:r>
        <w:tab/>
      </w:r>
      <w:r w:rsidR="00727E32">
        <w:t xml:space="preserve">Any Entity providing Reliability Must-Run (RMR) Service must comply with all the requirements to become a Resource Entity under this Section and must sign an RMR Agreement (Section 22, Attachment B, Standard Form Reliability Must-Run Agreement).  </w:t>
      </w:r>
    </w:p>
    <w:p w14:paraId="2F2B4BE1" w14:textId="77777777" w:rsidR="00FC1C5F" w:rsidRDefault="00727E32">
      <w:pPr>
        <w:pStyle w:val="H2"/>
      </w:pPr>
      <w:bookmarkStart w:id="401" w:name="_Toc390438960"/>
      <w:bookmarkStart w:id="402" w:name="_Toc405897657"/>
      <w:bookmarkStart w:id="403" w:name="_Toc415055761"/>
      <w:bookmarkStart w:id="404" w:name="_Toc415055887"/>
      <w:bookmarkStart w:id="405" w:name="_Toc415055986"/>
      <w:bookmarkStart w:id="406" w:name="_Toc415056087"/>
      <w:bookmarkStart w:id="407" w:name="_Toc70591628"/>
      <w:r>
        <w:t>16.10</w:t>
      </w:r>
      <w:r>
        <w:tab/>
        <w:t>Resources Providing Black Start Service</w:t>
      </w:r>
      <w:bookmarkEnd w:id="401"/>
      <w:bookmarkEnd w:id="402"/>
      <w:bookmarkEnd w:id="403"/>
      <w:bookmarkEnd w:id="404"/>
      <w:bookmarkEnd w:id="405"/>
      <w:bookmarkEnd w:id="406"/>
      <w:bookmarkEnd w:id="407"/>
    </w:p>
    <w:p w14:paraId="2B0ACC02" w14:textId="393134C0" w:rsidR="00FC1C5F" w:rsidRDefault="00853D39" w:rsidP="009F10FE">
      <w:pPr>
        <w:pStyle w:val="BodyText"/>
        <w:ind w:left="720" w:hanging="720"/>
      </w:pPr>
      <w:r>
        <w:t>(1)</w:t>
      </w:r>
      <w:r>
        <w:tab/>
      </w:r>
      <w:r w:rsidR="00727E32">
        <w:t xml:space="preserve">Any Entity providing Black Start Service must comply with all the requirements to become a Resource Entity under this Section and must sign a </w:t>
      </w:r>
      <w:r w:rsidR="00081A43">
        <w:t xml:space="preserve">Standard Form </w:t>
      </w:r>
      <w:r w:rsidR="00727E32">
        <w:t xml:space="preserve">Black Start Agreement (Section 22, Attachment D, Standard Form Black Start Agreement). </w:t>
      </w:r>
    </w:p>
    <w:p w14:paraId="58413753" w14:textId="77777777" w:rsidR="00AA6D6D" w:rsidRPr="0002450E" w:rsidRDefault="00AA6D6D" w:rsidP="00AA6D6D">
      <w:pPr>
        <w:pStyle w:val="H2"/>
        <w:spacing w:before="120"/>
        <w:ind w:left="907" w:hanging="907"/>
      </w:pPr>
      <w:bookmarkStart w:id="408" w:name="_Toc390438961"/>
      <w:bookmarkStart w:id="409" w:name="_Toc405897658"/>
      <w:bookmarkStart w:id="410" w:name="_Toc415055762"/>
      <w:bookmarkStart w:id="411" w:name="_Toc415055888"/>
      <w:bookmarkStart w:id="412" w:name="_Toc415055987"/>
      <w:bookmarkStart w:id="413" w:name="_Toc415056088"/>
      <w:bookmarkStart w:id="414" w:name="_Toc70591629"/>
      <w:bookmarkStart w:id="415" w:name="_Toc69636432"/>
      <w:bookmarkStart w:id="416" w:name="_Toc71369201"/>
      <w:bookmarkStart w:id="417" w:name="_Toc71539416"/>
      <w:bookmarkEnd w:id="399"/>
      <w:bookmarkEnd w:id="400"/>
      <w:r w:rsidRPr="0002450E">
        <w:t>16.11</w:t>
      </w:r>
      <w:r w:rsidRPr="0002450E">
        <w:tab/>
        <w:t>Financial Security for Counter-Parties</w:t>
      </w:r>
      <w:bookmarkEnd w:id="408"/>
      <w:bookmarkEnd w:id="409"/>
      <w:bookmarkEnd w:id="410"/>
      <w:bookmarkEnd w:id="411"/>
      <w:bookmarkEnd w:id="412"/>
      <w:bookmarkEnd w:id="413"/>
      <w:bookmarkEnd w:id="414"/>
    </w:p>
    <w:p w14:paraId="58F459BF" w14:textId="77777777" w:rsidR="00AA6D6D" w:rsidRPr="0002450E" w:rsidRDefault="00AA6D6D" w:rsidP="00AA6D6D">
      <w:pPr>
        <w:pStyle w:val="Instructions"/>
        <w:ind w:left="720" w:hanging="720"/>
        <w:rPr>
          <w:b w:val="0"/>
          <w:i w:val="0"/>
          <w:iCs/>
        </w:rPr>
      </w:pPr>
      <w:r w:rsidRPr="0002450E">
        <w:rPr>
          <w:b w:val="0"/>
          <w:i w:val="0"/>
          <w:iCs/>
        </w:rPr>
        <w:t>(1)</w:t>
      </w:r>
      <w:r w:rsidRPr="0002450E">
        <w:rPr>
          <w:b w:val="0"/>
          <w:i w:val="0"/>
          <w:iCs/>
        </w:rPr>
        <w:tab/>
        <w:t>The term “Financial Security” in this Section means the collateral amount posted with ERCOT in any of the forms listed in Section 16.11.3, Alternative Means of Satisfying ERCOT Creditworthiness Requirements.</w:t>
      </w:r>
    </w:p>
    <w:p w14:paraId="3123D220" w14:textId="77777777" w:rsidR="00AA6D6D" w:rsidRDefault="00AA6D6D" w:rsidP="00AA6D6D">
      <w:pPr>
        <w:pStyle w:val="List2"/>
        <w:ind w:left="720"/>
      </w:pPr>
      <w:r>
        <w:t>(2)</w:t>
      </w:r>
      <w:r>
        <w:tab/>
        <w:t xml:space="preserve">The term “Secured Collateral” in this Section means </w:t>
      </w:r>
      <w:r w:rsidRPr="00C729BA">
        <w:t xml:space="preserve">the </w:t>
      </w:r>
      <w:r w:rsidRPr="004E7D9A">
        <w:t>collateral posted by a Counter-Party with ERCOT in the form of an unconditional, irrevocable letter of credit</w:t>
      </w:r>
      <w:r>
        <w:t xml:space="preserve">, a </w:t>
      </w:r>
      <w:r w:rsidRPr="004E7D9A">
        <w:t>surety bond naming ERCOT as the beneficiary</w:t>
      </w:r>
      <w:r>
        <w:t>,</w:t>
      </w:r>
      <w:r w:rsidRPr="004E7D9A">
        <w:t xml:space="preserve"> or cash.</w:t>
      </w:r>
    </w:p>
    <w:p w14:paraId="4640D204" w14:textId="257BA622" w:rsidR="00FC1C5F" w:rsidRPr="00AA6D6D" w:rsidRDefault="00AA6D6D" w:rsidP="00BF5B1E">
      <w:pPr>
        <w:pStyle w:val="BodyText"/>
        <w:ind w:left="720" w:hanging="720"/>
      </w:pPr>
      <w:r w:rsidRPr="00BF5B1E">
        <w:t>(3)</w:t>
      </w:r>
      <w:r w:rsidRPr="00BF5B1E">
        <w:tab/>
        <w:t xml:space="preserve">The term “Remainder Collateral” in this Section means the </w:t>
      </w:r>
      <w:r w:rsidR="00665DAD">
        <w:t>Secured Collateral</w:t>
      </w:r>
      <w:r w:rsidRPr="00BF5B1E">
        <w:t xml:space="preserve"> minus Total Potential Exposure Secured (TPES) minus Net Positive Exposure of approved Congestion Revenue Right (CRR) Bilateral Trades minus </w:t>
      </w:r>
      <w:r w:rsidRPr="00BF5B1E">
        <w:rPr>
          <w:noProof/>
        </w:rPr>
        <w:t>Available Credit Limit</w:t>
      </w:r>
      <w:r w:rsidRPr="00BF5B1E">
        <w:t xml:space="preserve"> (ACL) locked for CRR</w:t>
      </w:r>
      <w:r w:rsidR="00CB2A95" w:rsidRPr="00CB2A95">
        <w:t xml:space="preserve"> </w:t>
      </w:r>
      <w:r w:rsidR="00CB2A95" w:rsidRPr="00496C32">
        <w:t>Auction, calculated in accordance with paragraph (3) of Section 16.11.4.6.1, Credit Requirements for CRR Auction Participation</w:t>
      </w:r>
      <w:r w:rsidRPr="00BF5B1E">
        <w:t>.</w:t>
      </w:r>
      <w:r w:rsidR="00727E32" w:rsidRPr="00AA6D6D">
        <w:t xml:space="preserve">  </w:t>
      </w:r>
    </w:p>
    <w:p w14:paraId="41260FD6" w14:textId="77777777" w:rsidR="00F56ABB" w:rsidRDefault="00727E32" w:rsidP="00AC6018">
      <w:pPr>
        <w:pStyle w:val="H3"/>
      </w:pPr>
      <w:bookmarkStart w:id="418" w:name="_Toc390438962"/>
      <w:bookmarkStart w:id="419" w:name="_Toc405897659"/>
      <w:bookmarkStart w:id="420" w:name="_Toc415055763"/>
      <w:bookmarkStart w:id="421" w:name="_Toc415055889"/>
      <w:bookmarkStart w:id="422" w:name="_Toc415055988"/>
      <w:bookmarkStart w:id="423" w:name="_Toc415056089"/>
      <w:bookmarkStart w:id="424" w:name="_Toc70591630"/>
      <w:r>
        <w:t>16.11.1</w:t>
      </w:r>
      <w:r>
        <w:tab/>
        <w:t>ERCOT Creditworthiness Requirements for Counter-Parties</w:t>
      </w:r>
      <w:bookmarkEnd w:id="418"/>
      <w:bookmarkEnd w:id="419"/>
      <w:bookmarkEnd w:id="420"/>
      <w:bookmarkEnd w:id="421"/>
      <w:bookmarkEnd w:id="422"/>
      <w:bookmarkEnd w:id="423"/>
      <w:bookmarkEnd w:id="424"/>
      <w:r>
        <w:t xml:space="preserve"> </w:t>
      </w:r>
    </w:p>
    <w:p w14:paraId="6C3A53F0" w14:textId="2AD61DE4" w:rsidR="00FC1C5F" w:rsidRDefault="00853D39" w:rsidP="009F10FE">
      <w:pPr>
        <w:pStyle w:val="BodyText"/>
        <w:ind w:left="720" w:hanging="720"/>
      </w:pPr>
      <w:r>
        <w:t>(1)</w:t>
      </w:r>
      <w:r>
        <w:tab/>
      </w:r>
      <w:r w:rsidR="00727E32">
        <w:t xml:space="preserve">Each Counter-Party shall meet ERCOT’s creditworthiness standards as provided in this Section.  A Counter-Party must, at all times, maintain its Financial Security at or above the amount of its Total Potential Exposure (TPE) minus its Unsecured Credit Limit.  Each Counter-Party shall maintain any required Financial Security in a form acceptable to ERCOT in its sole discretion.  If at any time the Counter-Party does not meet </w:t>
      </w:r>
      <w:r w:rsidR="00727E32">
        <w:lastRenderedPageBreak/>
        <w:t xml:space="preserve">ERCOT’s creditworthiness requirements, then ERCOT may suspend the Counter-Party’s rights under these Protocols until it meets those creditworthiness requirements.  ERCOT’s failure to suspend the Counter-Party’s rights on any particular occasion does not prevent ERCOT from suspending those rights on any subsequent occasion, including a CRR Account Holder’s ability to bid on future CRRs or a Qualified Scheduling Entity’s (QSE’s) ability to bid in the Day-Ahead Market (DAM). </w:t>
      </w:r>
    </w:p>
    <w:p w14:paraId="14B31E2B" w14:textId="77777777" w:rsidR="00FC1C5F" w:rsidRDefault="00727E32" w:rsidP="00FC1C5F">
      <w:pPr>
        <w:pStyle w:val="H3"/>
      </w:pPr>
      <w:bookmarkStart w:id="425" w:name="_Toc390438963"/>
      <w:bookmarkStart w:id="426" w:name="_Toc405897660"/>
      <w:bookmarkStart w:id="427" w:name="_Toc415055764"/>
      <w:bookmarkStart w:id="428" w:name="_Toc415055890"/>
      <w:bookmarkStart w:id="429" w:name="_Toc415055989"/>
      <w:bookmarkStart w:id="430" w:name="_Toc415056090"/>
      <w:bookmarkStart w:id="431" w:name="_Toc70591631"/>
      <w:r>
        <w:t>16.11.2</w:t>
      </w:r>
      <w:r>
        <w:tab/>
        <w:t>Requirements for Setting a Counter-Party’s Unsecured Credit Limit</w:t>
      </w:r>
      <w:bookmarkEnd w:id="425"/>
      <w:bookmarkEnd w:id="426"/>
      <w:bookmarkEnd w:id="427"/>
      <w:bookmarkEnd w:id="428"/>
      <w:bookmarkEnd w:id="429"/>
      <w:bookmarkEnd w:id="430"/>
      <w:bookmarkEnd w:id="431"/>
    </w:p>
    <w:p w14:paraId="36991464" w14:textId="35A4E3F7" w:rsidR="00651F88" w:rsidRDefault="00651F88" w:rsidP="00651F88">
      <w:pPr>
        <w:pStyle w:val="BodyTextNumbered"/>
      </w:pPr>
      <w:r w:rsidRPr="00CC731E">
        <w:t>(1)</w:t>
      </w:r>
      <w:r w:rsidRPr="00CC731E">
        <w:tab/>
      </w:r>
      <w:r>
        <w:t>The following terms used throughout this section are defined</w:t>
      </w:r>
      <w:r w:rsidRPr="007658B5">
        <w:t xml:space="preserve"> </w:t>
      </w:r>
      <w:r>
        <w:t xml:space="preserve">below: </w:t>
      </w:r>
    </w:p>
    <w:p w14:paraId="29AFFFB8" w14:textId="77777777" w:rsidR="00651F88" w:rsidRDefault="00651F88" w:rsidP="00651F88">
      <w:pPr>
        <w:pStyle w:val="BodyTextNumbered"/>
        <w:ind w:left="1440"/>
      </w:pPr>
      <w:r>
        <w:t>(a)</w:t>
      </w:r>
      <w:r>
        <w:tab/>
      </w:r>
      <w:r w:rsidRPr="00CC731E">
        <w:t>Times Interest Earnings Ratio (TIER) and Debt Service Coverage (DSC) ratios</w:t>
      </w:r>
      <w:r>
        <w:t xml:space="preserve"> are</w:t>
      </w:r>
      <w:r w:rsidRPr="00CC731E">
        <w:t xml:space="preserve"> as defined in 7 C.F.R § 1710.114 (2011)</w:t>
      </w:r>
      <w:r>
        <w:t>.</w:t>
      </w:r>
    </w:p>
    <w:p w14:paraId="5FF202F1" w14:textId="77777777" w:rsidR="00651F88" w:rsidRPr="00F018D3" w:rsidRDefault="00651F88" w:rsidP="00651F88">
      <w:pPr>
        <w:pStyle w:val="BodyTextNumbered"/>
        <w:ind w:left="1440"/>
      </w:pPr>
      <w:r>
        <w:t>(b)</w:t>
      </w:r>
      <w:r>
        <w:tab/>
      </w:r>
      <w:r w:rsidRPr="00F018D3">
        <w:t>Maximum Debt to Total Capitalization Ratio is defined as:  Long-term debt (including all current borrowings) / (Total shareholder’s equity + Long-term debt).</w:t>
      </w:r>
    </w:p>
    <w:p w14:paraId="6267D43B" w14:textId="77777777" w:rsidR="00651F88" w:rsidRDefault="00651F88" w:rsidP="00651F88">
      <w:pPr>
        <w:pStyle w:val="BodyTextNumbered"/>
        <w:ind w:left="1440"/>
      </w:pPr>
      <w:r w:rsidRPr="00F018D3">
        <w:t>(</w:t>
      </w:r>
      <w:r>
        <w:t>c</w:t>
      </w:r>
      <w:r w:rsidRPr="00F018D3">
        <w:t>)</w:t>
      </w:r>
      <w:r w:rsidRPr="00F018D3">
        <w:tab/>
        <w:t>EBITDA is defined as annual Earnings Before Interest, Depreciation and Amortization.</w:t>
      </w:r>
    </w:p>
    <w:p w14:paraId="4445BEDD" w14:textId="77777777" w:rsidR="00651F88" w:rsidRPr="00CC731E" w:rsidRDefault="00651F88" w:rsidP="00651F88">
      <w:pPr>
        <w:pStyle w:val="BodyTextNumbered"/>
        <w:ind w:left="1440"/>
      </w:pPr>
      <w:r>
        <w:t>(d)</w:t>
      </w:r>
      <w:r>
        <w:tab/>
        <w:t xml:space="preserve">CMLTD, Current Maturities of Long-Term Debt, is defined as the principal portions of long-term debt payable within the next twelve months. </w:t>
      </w:r>
    </w:p>
    <w:p w14:paraId="42B7FF8C" w14:textId="77777777" w:rsidR="00651F88" w:rsidRPr="00CC731E" w:rsidRDefault="00651F88" w:rsidP="00651F88">
      <w:pPr>
        <w:pStyle w:val="BodyTextNumbered"/>
      </w:pPr>
      <w:r>
        <w:t>(2)</w:t>
      </w:r>
      <w:r>
        <w:tab/>
      </w:r>
      <w:r w:rsidRPr="00CC731E">
        <w:t xml:space="preserve">ERCOT, in its sole discretion, may set an Unsecured Credit Limit, not to exceed $50 million, for a Counter-Party if the Counter-Party meets the following requirements as applicable: </w:t>
      </w:r>
    </w:p>
    <w:p w14:paraId="27D380D7" w14:textId="77777777" w:rsidR="00651F88" w:rsidRPr="00CC731E" w:rsidRDefault="00651F88" w:rsidP="00651F88">
      <w:pPr>
        <w:pStyle w:val="List"/>
      </w:pPr>
      <w:r w:rsidRPr="00CC731E">
        <w:t>(a)</w:t>
      </w:r>
      <w:r w:rsidRPr="00CC731E">
        <w:tab/>
        <w:t>If the Cou</w:t>
      </w:r>
      <w:r>
        <w:t>n</w:t>
      </w:r>
      <w:r w:rsidRPr="00CC731E">
        <w:t>ter-Party is an Electric Cooperative (EC) that is not publicly rated by Standard and Poor’s (S&amp;P), Fitch or Moody’s credit rating agencies, or has less than $100 million in Tangible Net Worth, and</w:t>
      </w:r>
      <w:r>
        <w:t xml:space="preserve"> i</w:t>
      </w:r>
      <w:r w:rsidRPr="00CC731E">
        <w:t xml:space="preserve">s a Rural Utilities Service (RUS) distribution borrower or power supply borrower as those terms are used in 7 C.F.R. § 1717.656 (2014); </w:t>
      </w:r>
      <w:r>
        <w:t>then</w:t>
      </w:r>
      <w:r w:rsidRPr="00CC731E">
        <w:t xml:space="preserve"> </w:t>
      </w:r>
      <w:r>
        <w:t>t</w:t>
      </w:r>
      <w:r w:rsidRPr="00CC731E">
        <w:t>he Unsecured Credit Limit shall be set within the range defined in the following table:</w:t>
      </w:r>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651F88" w:rsidRPr="00CC731E" w14:paraId="5FEFCB96" w14:textId="77777777" w:rsidTr="009D70F4">
        <w:trPr>
          <w:cantSplit/>
          <w:trHeight w:hRule="exact" w:val="568"/>
        </w:trPr>
        <w:tc>
          <w:tcPr>
            <w:tcW w:w="1800" w:type="dxa"/>
            <w:shd w:val="clear" w:color="auto" w:fill="BFBFBF"/>
            <w:vAlign w:val="center"/>
          </w:tcPr>
          <w:p w14:paraId="78028FEB" w14:textId="77777777" w:rsidR="00651F88" w:rsidRPr="00CC731E" w:rsidRDefault="00651F88" w:rsidP="009D70F4">
            <w:pPr>
              <w:pStyle w:val="List2"/>
              <w:keepNext/>
              <w:ind w:left="0" w:firstLine="0"/>
              <w:jc w:val="center"/>
              <w:rPr>
                <w:sz w:val="20"/>
              </w:rPr>
            </w:pPr>
            <w:r w:rsidRPr="00CC731E">
              <w:rPr>
                <w:sz w:val="20"/>
              </w:rPr>
              <w:t>If Counter-Party has</w:t>
            </w:r>
          </w:p>
        </w:tc>
        <w:tc>
          <w:tcPr>
            <w:tcW w:w="1530" w:type="dxa"/>
            <w:shd w:val="clear" w:color="auto" w:fill="BFBFBF"/>
            <w:vAlign w:val="center"/>
          </w:tcPr>
          <w:p w14:paraId="15582615" w14:textId="77777777" w:rsidR="00651F88" w:rsidRPr="00CC731E" w:rsidRDefault="00651F88" w:rsidP="009D70F4">
            <w:pPr>
              <w:pStyle w:val="List2"/>
              <w:keepNext/>
              <w:ind w:left="0" w:right="204" w:firstLine="0"/>
              <w:jc w:val="center"/>
              <w:rPr>
                <w:sz w:val="20"/>
              </w:rPr>
            </w:pPr>
            <w:r w:rsidRPr="00CC731E">
              <w:rPr>
                <w:sz w:val="20"/>
              </w:rPr>
              <w:t>And</w:t>
            </w:r>
          </w:p>
        </w:tc>
        <w:tc>
          <w:tcPr>
            <w:tcW w:w="1440" w:type="dxa"/>
            <w:shd w:val="clear" w:color="auto" w:fill="BFBFBF"/>
            <w:vAlign w:val="center"/>
          </w:tcPr>
          <w:p w14:paraId="71B9A2E8" w14:textId="77777777" w:rsidR="00651F88" w:rsidRPr="00CC731E" w:rsidRDefault="00651F88" w:rsidP="009D70F4">
            <w:pPr>
              <w:pStyle w:val="List2"/>
              <w:keepNext/>
              <w:ind w:left="0" w:right="204" w:firstLine="0"/>
              <w:jc w:val="center"/>
              <w:rPr>
                <w:sz w:val="20"/>
              </w:rPr>
            </w:pPr>
            <w:r w:rsidRPr="00CC731E">
              <w:rPr>
                <w:sz w:val="20"/>
              </w:rPr>
              <w:t>And</w:t>
            </w:r>
          </w:p>
        </w:tc>
        <w:tc>
          <w:tcPr>
            <w:tcW w:w="1228" w:type="dxa"/>
            <w:shd w:val="clear" w:color="auto" w:fill="BFBFBF"/>
            <w:vAlign w:val="center"/>
          </w:tcPr>
          <w:p w14:paraId="79AB8FB8" w14:textId="77777777" w:rsidR="00651F88" w:rsidRPr="00CC731E" w:rsidRDefault="00651F88" w:rsidP="009D70F4">
            <w:pPr>
              <w:pStyle w:val="List2"/>
              <w:keepNext/>
              <w:ind w:left="0" w:right="204" w:firstLine="0"/>
              <w:jc w:val="center"/>
              <w:rPr>
                <w:sz w:val="20"/>
              </w:rPr>
            </w:pPr>
            <w:r w:rsidRPr="00CC731E">
              <w:rPr>
                <w:sz w:val="20"/>
              </w:rPr>
              <w:t>And</w:t>
            </w:r>
          </w:p>
        </w:tc>
        <w:tc>
          <w:tcPr>
            <w:tcW w:w="1916" w:type="dxa"/>
            <w:shd w:val="clear" w:color="auto" w:fill="BFBFBF"/>
            <w:vAlign w:val="center"/>
          </w:tcPr>
          <w:p w14:paraId="45B58659" w14:textId="77777777" w:rsidR="00651F88" w:rsidRPr="00CC731E" w:rsidRDefault="00651F88" w:rsidP="009D70F4">
            <w:pPr>
              <w:pStyle w:val="List2"/>
              <w:keepNext/>
              <w:ind w:left="0" w:firstLine="0"/>
              <w:jc w:val="center"/>
              <w:rPr>
                <w:sz w:val="20"/>
              </w:rPr>
            </w:pPr>
            <w:r w:rsidRPr="00CC731E">
              <w:rPr>
                <w:sz w:val="20"/>
              </w:rPr>
              <w:t>Then</w:t>
            </w:r>
          </w:p>
        </w:tc>
      </w:tr>
      <w:tr w:rsidR="00651F88" w:rsidRPr="00CC731E" w14:paraId="2F85543D" w14:textId="77777777" w:rsidTr="009D70F4">
        <w:trPr>
          <w:cantSplit/>
          <w:trHeight w:hRule="exact" w:val="1252"/>
        </w:trPr>
        <w:tc>
          <w:tcPr>
            <w:tcW w:w="1800" w:type="dxa"/>
            <w:shd w:val="clear" w:color="auto" w:fill="BFBFBF"/>
            <w:vAlign w:val="center"/>
          </w:tcPr>
          <w:p w14:paraId="0D622FBC" w14:textId="77777777" w:rsidR="00651F88" w:rsidRPr="00CC731E" w:rsidRDefault="00651F88" w:rsidP="009D70F4">
            <w:pPr>
              <w:pStyle w:val="List2"/>
              <w:keepNext/>
              <w:ind w:left="0" w:firstLine="0"/>
              <w:jc w:val="center"/>
              <w:rPr>
                <w:sz w:val="20"/>
              </w:rPr>
            </w:pPr>
            <w:r w:rsidRPr="00CC731E">
              <w:rPr>
                <w:sz w:val="20"/>
              </w:rPr>
              <w:t>Minimum Equity (Patronage Capital)</w:t>
            </w:r>
          </w:p>
        </w:tc>
        <w:tc>
          <w:tcPr>
            <w:tcW w:w="1530" w:type="dxa"/>
            <w:shd w:val="clear" w:color="auto" w:fill="BFBFBF"/>
            <w:vAlign w:val="center"/>
          </w:tcPr>
          <w:p w14:paraId="0ACDE48A" w14:textId="77777777" w:rsidR="00651F88" w:rsidRPr="00CC731E" w:rsidRDefault="00651F88" w:rsidP="009D70F4">
            <w:pPr>
              <w:pStyle w:val="List2"/>
              <w:keepNext/>
              <w:ind w:left="0" w:right="204" w:firstLine="0"/>
              <w:jc w:val="center"/>
              <w:rPr>
                <w:sz w:val="20"/>
              </w:rPr>
            </w:pPr>
            <w:r w:rsidRPr="00CC731E">
              <w:rPr>
                <w:sz w:val="20"/>
              </w:rPr>
              <w:t>Minimum Times Interest Earnings Ratio (TIER)</w:t>
            </w:r>
          </w:p>
        </w:tc>
        <w:tc>
          <w:tcPr>
            <w:tcW w:w="1440" w:type="dxa"/>
            <w:shd w:val="clear" w:color="auto" w:fill="BFBFBF"/>
            <w:vAlign w:val="center"/>
          </w:tcPr>
          <w:p w14:paraId="17C5402D" w14:textId="77777777" w:rsidR="00651F88" w:rsidRPr="00CC731E" w:rsidRDefault="00651F88" w:rsidP="009D70F4">
            <w:pPr>
              <w:pStyle w:val="List2"/>
              <w:keepNext/>
              <w:ind w:left="0" w:right="204" w:firstLine="0"/>
              <w:jc w:val="center"/>
              <w:rPr>
                <w:sz w:val="20"/>
              </w:rPr>
            </w:pPr>
            <w:r w:rsidRPr="00CC731E">
              <w:rPr>
                <w:sz w:val="20"/>
              </w:rPr>
              <w:t>Minimum Debt Service Coverage (DSC)</w:t>
            </w:r>
          </w:p>
        </w:tc>
        <w:tc>
          <w:tcPr>
            <w:tcW w:w="1228" w:type="dxa"/>
            <w:shd w:val="clear" w:color="auto" w:fill="BFBFBF"/>
            <w:vAlign w:val="center"/>
          </w:tcPr>
          <w:p w14:paraId="053BC11D" w14:textId="77777777" w:rsidR="00651F88" w:rsidRPr="00CC731E" w:rsidRDefault="00651F88" w:rsidP="009D70F4">
            <w:pPr>
              <w:pStyle w:val="List2"/>
              <w:keepNext/>
              <w:ind w:left="0" w:right="204" w:firstLine="0"/>
              <w:jc w:val="center"/>
              <w:rPr>
                <w:sz w:val="20"/>
              </w:rPr>
            </w:pPr>
            <w:r w:rsidRPr="00CC731E">
              <w:rPr>
                <w:sz w:val="20"/>
              </w:rPr>
              <w:t>Minimum Equity to Assets</w:t>
            </w:r>
          </w:p>
        </w:tc>
        <w:tc>
          <w:tcPr>
            <w:tcW w:w="1916" w:type="dxa"/>
            <w:shd w:val="clear" w:color="auto" w:fill="BFBFBF"/>
            <w:vAlign w:val="center"/>
          </w:tcPr>
          <w:p w14:paraId="606C22F1" w14:textId="77777777" w:rsidR="00651F88" w:rsidRPr="00CC731E" w:rsidRDefault="00651F88" w:rsidP="009D70F4">
            <w:pPr>
              <w:pStyle w:val="List2"/>
              <w:keepNext/>
              <w:ind w:left="0" w:firstLine="0"/>
              <w:jc w:val="center"/>
              <w:rPr>
                <w:sz w:val="20"/>
              </w:rPr>
            </w:pPr>
            <w:r w:rsidRPr="00CC731E">
              <w:rPr>
                <w:sz w:val="20"/>
              </w:rPr>
              <w:t>Maximum Unsecured Credit Limit as a Percentage of Total Assets minus Total Secured Debt</w:t>
            </w:r>
          </w:p>
        </w:tc>
      </w:tr>
      <w:tr w:rsidR="00651F88" w:rsidRPr="00CC731E" w14:paraId="6001C0E1" w14:textId="77777777" w:rsidTr="009D70F4">
        <w:trPr>
          <w:cantSplit/>
        </w:trPr>
        <w:tc>
          <w:tcPr>
            <w:tcW w:w="1800" w:type="dxa"/>
            <w:shd w:val="clear" w:color="auto" w:fill="auto"/>
            <w:vAlign w:val="center"/>
          </w:tcPr>
          <w:p w14:paraId="28FD7616" w14:textId="77777777" w:rsidR="00651F88" w:rsidRPr="00CC731E" w:rsidRDefault="00651F88" w:rsidP="009D70F4">
            <w:pPr>
              <w:pStyle w:val="List2"/>
              <w:keepNext/>
              <w:ind w:left="0" w:firstLine="0"/>
              <w:jc w:val="center"/>
              <w:rPr>
                <w:sz w:val="20"/>
              </w:rPr>
            </w:pPr>
            <w:r w:rsidRPr="00CC731E">
              <w:rPr>
                <w:sz w:val="20"/>
              </w:rPr>
              <w:t>$25,000,000</w:t>
            </w:r>
          </w:p>
        </w:tc>
        <w:tc>
          <w:tcPr>
            <w:tcW w:w="1530" w:type="dxa"/>
            <w:shd w:val="clear" w:color="auto" w:fill="auto"/>
            <w:vAlign w:val="center"/>
          </w:tcPr>
          <w:p w14:paraId="1EA8003D" w14:textId="77777777" w:rsidR="00651F88" w:rsidRPr="00CC731E" w:rsidRDefault="00651F88" w:rsidP="009D70F4">
            <w:pPr>
              <w:pStyle w:val="List2"/>
              <w:keepNext/>
              <w:ind w:left="0" w:right="204" w:firstLine="0"/>
              <w:jc w:val="center"/>
              <w:rPr>
                <w:sz w:val="20"/>
              </w:rPr>
            </w:pPr>
            <w:r w:rsidRPr="00CC731E">
              <w:rPr>
                <w:sz w:val="20"/>
              </w:rPr>
              <w:t>1.00</w:t>
            </w:r>
          </w:p>
        </w:tc>
        <w:tc>
          <w:tcPr>
            <w:tcW w:w="1440" w:type="dxa"/>
            <w:shd w:val="clear" w:color="auto" w:fill="auto"/>
            <w:vAlign w:val="center"/>
          </w:tcPr>
          <w:p w14:paraId="2E1DDA43" w14:textId="77777777" w:rsidR="00651F88" w:rsidRPr="00CC731E" w:rsidRDefault="00651F88" w:rsidP="009D70F4">
            <w:pPr>
              <w:pStyle w:val="List2"/>
              <w:keepNext/>
              <w:ind w:left="0" w:right="204" w:firstLine="0"/>
              <w:jc w:val="center"/>
              <w:rPr>
                <w:sz w:val="20"/>
              </w:rPr>
            </w:pPr>
            <w:r w:rsidRPr="00CC731E">
              <w:rPr>
                <w:sz w:val="20"/>
              </w:rPr>
              <w:t>1.00</w:t>
            </w:r>
          </w:p>
        </w:tc>
        <w:tc>
          <w:tcPr>
            <w:tcW w:w="1228" w:type="dxa"/>
            <w:shd w:val="clear" w:color="auto" w:fill="auto"/>
            <w:vAlign w:val="center"/>
          </w:tcPr>
          <w:p w14:paraId="4A4AF55C" w14:textId="77777777" w:rsidR="00651F88" w:rsidRPr="00CC731E" w:rsidRDefault="00651F88" w:rsidP="009D70F4">
            <w:pPr>
              <w:pStyle w:val="List2"/>
              <w:keepNext/>
              <w:ind w:left="0" w:right="204" w:firstLine="0"/>
              <w:jc w:val="center"/>
              <w:rPr>
                <w:sz w:val="20"/>
              </w:rPr>
            </w:pPr>
            <w:r w:rsidRPr="00CC731E">
              <w:rPr>
                <w:sz w:val="20"/>
              </w:rPr>
              <w:t>0.15</w:t>
            </w:r>
          </w:p>
        </w:tc>
        <w:tc>
          <w:tcPr>
            <w:tcW w:w="1916" w:type="dxa"/>
            <w:shd w:val="clear" w:color="auto" w:fill="auto"/>
            <w:vAlign w:val="center"/>
          </w:tcPr>
          <w:p w14:paraId="38B3AD07" w14:textId="77777777" w:rsidR="00651F88" w:rsidRPr="00CC731E" w:rsidRDefault="00651F88" w:rsidP="009D70F4">
            <w:pPr>
              <w:pStyle w:val="List2"/>
              <w:keepNext/>
              <w:ind w:left="0" w:firstLine="0"/>
              <w:jc w:val="center"/>
              <w:rPr>
                <w:sz w:val="20"/>
              </w:rPr>
            </w:pPr>
            <w:r w:rsidRPr="00CC731E">
              <w:rPr>
                <w:sz w:val="20"/>
              </w:rPr>
              <w:t>0.00% to 5.00%</w:t>
            </w:r>
          </w:p>
        </w:tc>
      </w:tr>
    </w:tbl>
    <w:p w14:paraId="3E5161B0" w14:textId="77777777" w:rsidR="00651F88" w:rsidRPr="00CC731E" w:rsidRDefault="00651F88" w:rsidP="00651F88">
      <w:pPr>
        <w:pStyle w:val="List2"/>
        <w:spacing w:before="240"/>
      </w:pPr>
      <w:r w:rsidRPr="00CC731E">
        <w:t>(i)</w:t>
      </w:r>
      <w:r w:rsidRPr="00CC731E">
        <w:tab/>
        <w:t xml:space="preserve">ERCOT shall apply these standards consistent with 7 C.F.R. § 1717.656 (3). </w:t>
      </w:r>
    </w:p>
    <w:p w14:paraId="531D70A2" w14:textId="77777777" w:rsidR="00651F88" w:rsidRPr="00CC731E" w:rsidRDefault="00651F88" w:rsidP="00651F88">
      <w:pPr>
        <w:pStyle w:val="List2"/>
      </w:pPr>
      <w:r w:rsidRPr="00CC731E">
        <w:lastRenderedPageBreak/>
        <w:t>(i</w:t>
      </w:r>
      <w:r>
        <w:t>i</w:t>
      </w:r>
      <w:r w:rsidRPr="00CC731E">
        <w:t>)</w:t>
      </w:r>
      <w:r w:rsidRPr="00CC731E">
        <w:tab/>
        <w:t xml:space="preserve">ERCOT shall utilize annual financial data only for the assessment for those ECs that fall within the scope of this </w:t>
      </w:r>
      <w:r>
        <w:t>s</w:t>
      </w:r>
      <w:r w:rsidRPr="00CC731E">
        <w:t>ubsection.</w:t>
      </w:r>
    </w:p>
    <w:p w14:paraId="2B76CC92" w14:textId="77777777" w:rsidR="00651F88" w:rsidRPr="00CC731E" w:rsidRDefault="00651F88" w:rsidP="00651F88">
      <w:pPr>
        <w:pStyle w:val="List2"/>
      </w:pPr>
      <w:r w:rsidRPr="00CC731E">
        <w:t>(</w:t>
      </w:r>
      <w:r>
        <w:t>iii</w:t>
      </w:r>
      <w:r w:rsidRPr="00CC731E">
        <w:t>)</w:t>
      </w:r>
      <w:r w:rsidRPr="00CC731E">
        <w:tab/>
        <w:t xml:space="preserve">Unsecured Credit Limits for ECs that are publicly rated by S&amp;P, Fitch or Moody’s </w:t>
      </w:r>
      <w:r w:rsidRPr="00762CD1">
        <w:t>and</w:t>
      </w:r>
      <w:r w:rsidRPr="00CC731E">
        <w:t xml:space="preserve"> that have Tangible Net Worth greater than $100 million will be computed in accordance with </w:t>
      </w:r>
      <w:r>
        <w:t xml:space="preserve">item </w:t>
      </w:r>
      <w:r w:rsidRPr="00CC731E">
        <w:t>(c) below.</w:t>
      </w:r>
    </w:p>
    <w:p w14:paraId="0792CF17" w14:textId="77777777" w:rsidR="00651F88" w:rsidRPr="00CC731E" w:rsidRDefault="00651F88" w:rsidP="00651F88">
      <w:pPr>
        <w:pStyle w:val="List2"/>
      </w:pPr>
      <w:r w:rsidRPr="00CC731E">
        <w:t>(</w:t>
      </w:r>
      <w:r>
        <w:t>i</w:t>
      </w:r>
      <w:r w:rsidRPr="00CC731E">
        <w:t>v)</w:t>
      </w:r>
      <w:r w:rsidRPr="00CC731E">
        <w:tab/>
        <w:t>The amount of Unsecured Credit Limit established within the range in the table above is at the discretion of ERCOT if the stated criteria are met.</w:t>
      </w:r>
    </w:p>
    <w:p w14:paraId="261F54DD" w14:textId="77777777" w:rsidR="00651F88" w:rsidRPr="00CC731E" w:rsidRDefault="00651F88" w:rsidP="00651F88">
      <w:pPr>
        <w:pStyle w:val="List"/>
      </w:pPr>
      <w:r w:rsidRPr="00CC731E">
        <w:t>(b)</w:t>
      </w:r>
      <w:r w:rsidRPr="00CC731E">
        <w:tab/>
        <w:t xml:space="preserve">If the Counter-Party is a Municipal Owned Utility (MOU) that is </w:t>
      </w:r>
      <w:r w:rsidRPr="00762CD1">
        <w:t>not</w:t>
      </w:r>
      <w:r w:rsidRPr="00CC731E">
        <w:t xml:space="preserve"> publicly rated by S&amp;P, Fitch or Moody’s, or has less than $100 million in Tangible Net Worth, the Unsecured Credit Limit shall be set within the range defined in the following table:</w:t>
      </w:r>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651F88" w:rsidRPr="00CC731E" w14:paraId="446CFCEF" w14:textId="77777777" w:rsidTr="009D70F4">
        <w:trPr>
          <w:cantSplit/>
          <w:trHeight w:hRule="exact" w:val="568"/>
        </w:trPr>
        <w:tc>
          <w:tcPr>
            <w:tcW w:w="1800" w:type="dxa"/>
            <w:shd w:val="clear" w:color="auto" w:fill="BFBFBF"/>
            <w:vAlign w:val="center"/>
          </w:tcPr>
          <w:p w14:paraId="1B075BE8" w14:textId="77777777" w:rsidR="00651F88" w:rsidRPr="00CC731E" w:rsidRDefault="00651F88" w:rsidP="009D70F4">
            <w:pPr>
              <w:pStyle w:val="List2"/>
              <w:keepNext/>
              <w:ind w:left="0" w:firstLine="0"/>
              <w:jc w:val="center"/>
              <w:rPr>
                <w:sz w:val="20"/>
              </w:rPr>
            </w:pPr>
            <w:r w:rsidRPr="00CC731E">
              <w:rPr>
                <w:sz w:val="20"/>
              </w:rPr>
              <w:t>If Counter-Party has</w:t>
            </w:r>
          </w:p>
        </w:tc>
        <w:tc>
          <w:tcPr>
            <w:tcW w:w="1530" w:type="dxa"/>
            <w:shd w:val="clear" w:color="auto" w:fill="BFBFBF"/>
            <w:vAlign w:val="center"/>
          </w:tcPr>
          <w:p w14:paraId="045DA0E9" w14:textId="77777777" w:rsidR="00651F88" w:rsidRPr="00CC731E" w:rsidRDefault="00651F88" w:rsidP="009D70F4">
            <w:pPr>
              <w:pStyle w:val="List2"/>
              <w:keepNext/>
              <w:ind w:left="0" w:right="204" w:firstLine="0"/>
              <w:jc w:val="center"/>
              <w:rPr>
                <w:sz w:val="20"/>
              </w:rPr>
            </w:pPr>
            <w:r w:rsidRPr="00CC731E">
              <w:rPr>
                <w:sz w:val="20"/>
              </w:rPr>
              <w:t>And</w:t>
            </w:r>
          </w:p>
        </w:tc>
        <w:tc>
          <w:tcPr>
            <w:tcW w:w="1440" w:type="dxa"/>
            <w:shd w:val="clear" w:color="auto" w:fill="BFBFBF"/>
            <w:vAlign w:val="center"/>
          </w:tcPr>
          <w:p w14:paraId="16F2C504" w14:textId="77777777" w:rsidR="00651F88" w:rsidRPr="00CC731E" w:rsidRDefault="00651F88" w:rsidP="009D70F4">
            <w:pPr>
              <w:pStyle w:val="List2"/>
              <w:keepNext/>
              <w:ind w:left="0" w:right="204" w:firstLine="0"/>
              <w:jc w:val="center"/>
              <w:rPr>
                <w:sz w:val="20"/>
              </w:rPr>
            </w:pPr>
            <w:r w:rsidRPr="00CC731E">
              <w:rPr>
                <w:sz w:val="20"/>
              </w:rPr>
              <w:t>And</w:t>
            </w:r>
          </w:p>
        </w:tc>
        <w:tc>
          <w:tcPr>
            <w:tcW w:w="1228" w:type="dxa"/>
            <w:shd w:val="clear" w:color="auto" w:fill="BFBFBF"/>
            <w:vAlign w:val="center"/>
          </w:tcPr>
          <w:p w14:paraId="7A7CF108" w14:textId="77777777" w:rsidR="00651F88" w:rsidRPr="00CC731E" w:rsidRDefault="00651F88" w:rsidP="009D70F4">
            <w:pPr>
              <w:pStyle w:val="List2"/>
              <w:keepNext/>
              <w:ind w:left="0" w:right="204" w:firstLine="0"/>
              <w:jc w:val="center"/>
              <w:rPr>
                <w:sz w:val="20"/>
              </w:rPr>
            </w:pPr>
            <w:r w:rsidRPr="00CC731E">
              <w:rPr>
                <w:sz w:val="20"/>
              </w:rPr>
              <w:t>And</w:t>
            </w:r>
          </w:p>
        </w:tc>
        <w:tc>
          <w:tcPr>
            <w:tcW w:w="1916" w:type="dxa"/>
            <w:shd w:val="clear" w:color="auto" w:fill="BFBFBF"/>
            <w:vAlign w:val="center"/>
          </w:tcPr>
          <w:p w14:paraId="2637C428" w14:textId="77777777" w:rsidR="00651F88" w:rsidRPr="00CC731E" w:rsidRDefault="00651F88" w:rsidP="009D70F4">
            <w:pPr>
              <w:pStyle w:val="List2"/>
              <w:keepNext/>
              <w:ind w:left="0" w:firstLine="0"/>
              <w:jc w:val="center"/>
              <w:rPr>
                <w:sz w:val="20"/>
              </w:rPr>
            </w:pPr>
            <w:r w:rsidRPr="00CC731E">
              <w:rPr>
                <w:sz w:val="20"/>
              </w:rPr>
              <w:t>Then</w:t>
            </w:r>
          </w:p>
        </w:tc>
      </w:tr>
      <w:tr w:rsidR="00651F88" w:rsidRPr="00CC731E" w14:paraId="67BBA17C" w14:textId="77777777" w:rsidTr="009D70F4">
        <w:trPr>
          <w:cantSplit/>
          <w:trHeight w:hRule="exact" w:val="1252"/>
        </w:trPr>
        <w:tc>
          <w:tcPr>
            <w:tcW w:w="1800" w:type="dxa"/>
            <w:shd w:val="clear" w:color="auto" w:fill="BFBFBF"/>
            <w:vAlign w:val="center"/>
          </w:tcPr>
          <w:p w14:paraId="243044D4" w14:textId="77777777" w:rsidR="00651F88" w:rsidRPr="00CC731E" w:rsidRDefault="00651F88" w:rsidP="009D70F4">
            <w:pPr>
              <w:pStyle w:val="List2"/>
              <w:keepNext/>
              <w:ind w:left="0" w:firstLine="0"/>
              <w:jc w:val="center"/>
              <w:rPr>
                <w:sz w:val="20"/>
              </w:rPr>
            </w:pPr>
            <w:r w:rsidRPr="00CC731E">
              <w:rPr>
                <w:sz w:val="20"/>
              </w:rPr>
              <w:t>Minimum Equity</w:t>
            </w:r>
          </w:p>
        </w:tc>
        <w:tc>
          <w:tcPr>
            <w:tcW w:w="1530" w:type="dxa"/>
            <w:shd w:val="clear" w:color="auto" w:fill="BFBFBF"/>
            <w:vAlign w:val="center"/>
          </w:tcPr>
          <w:p w14:paraId="6ACD30FC" w14:textId="77777777" w:rsidR="00651F88" w:rsidRPr="00CC731E" w:rsidRDefault="00651F88" w:rsidP="009D70F4">
            <w:pPr>
              <w:pStyle w:val="List2"/>
              <w:keepNext/>
              <w:ind w:left="0" w:right="204" w:firstLine="0"/>
              <w:jc w:val="center"/>
              <w:rPr>
                <w:sz w:val="20"/>
              </w:rPr>
            </w:pPr>
            <w:r w:rsidRPr="00CC731E">
              <w:rPr>
                <w:sz w:val="20"/>
              </w:rPr>
              <w:t>Minimum Times Interest Earnings Ratio (TIER)</w:t>
            </w:r>
          </w:p>
        </w:tc>
        <w:tc>
          <w:tcPr>
            <w:tcW w:w="1440" w:type="dxa"/>
            <w:shd w:val="clear" w:color="auto" w:fill="BFBFBF"/>
            <w:vAlign w:val="center"/>
          </w:tcPr>
          <w:p w14:paraId="5CDD27AF" w14:textId="77777777" w:rsidR="00651F88" w:rsidRPr="00CC731E" w:rsidRDefault="00651F88" w:rsidP="009D70F4">
            <w:pPr>
              <w:pStyle w:val="List2"/>
              <w:keepNext/>
              <w:ind w:left="0" w:right="204" w:firstLine="0"/>
              <w:jc w:val="center"/>
              <w:rPr>
                <w:sz w:val="20"/>
              </w:rPr>
            </w:pPr>
            <w:r w:rsidRPr="00CC731E">
              <w:rPr>
                <w:sz w:val="20"/>
              </w:rPr>
              <w:t>Minimum Debt Service Coverage (DSC)</w:t>
            </w:r>
          </w:p>
        </w:tc>
        <w:tc>
          <w:tcPr>
            <w:tcW w:w="1228" w:type="dxa"/>
            <w:shd w:val="clear" w:color="auto" w:fill="BFBFBF"/>
            <w:vAlign w:val="center"/>
          </w:tcPr>
          <w:p w14:paraId="2B485365" w14:textId="77777777" w:rsidR="00651F88" w:rsidRPr="00CC731E" w:rsidRDefault="00651F88" w:rsidP="009D70F4">
            <w:pPr>
              <w:pStyle w:val="List2"/>
              <w:keepNext/>
              <w:ind w:left="0" w:right="204" w:firstLine="0"/>
              <w:jc w:val="center"/>
              <w:rPr>
                <w:sz w:val="20"/>
              </w:rPr>
            </w:pPr>
            <w:r w:rsidRPr="00CC731E">
              <w:rPr>
                <w:sz w:val="20"/>
              </w:rPr>
              <w:t>Minimum Equity to Assets</w:t>
            </w:r>
          </w:p>
        </w:tc>
        <w:tc>
          <w:tcPr>
            <w:tcW w:w="1916" w:type="dxa"/>
            <w:shd w:val="clear" w:color="auto" w:fill="BFBFBF"/>
            <w:vAlign w:val="center"/>
          </w:tcPr>
          <w:p w14:paraId="10B415F9" w14:textId="77777777" w:rsidR="00651F88" w:rsidRPr="00CC731E" w:rsidRDefault="00651F88" w:rsidP="009D70F4">
            <w:pPr>
              <w:pStyle w:val="List2"/>
              <w:keepNext/>
              <w:ind w:left="0" w:firstLine="0"/>
              <w:jc w:val="center"/>
              <w:rPr>
                <w:sz w:val="20"/>
              </w:rPr>
            </w:pPr>
            <w:r w:rsidRPr="00CC731E">
              <w:rPr>
                <w:sz w:val="20"/>
              </w:rPr>
              <w:t>Maximum Unsecured Credit Limit as a Percentage of Total Assets minus Total Secured Debt</w:t>
            </w:r>
          </w:p>
        </w:tc>
      </w:tr>
      <w:tr w:rsidR="00651F88" w:rsidRPr="00CC731E" w14:paraId="4998E37C" w14:textId="77777777" w:rsidTr="009D70F4">
        <w:trPr>
          <w:cantSplit/>
        </w:trPr>
        <w:tc>
          <w:tcPr>
            <w:tcW w:w="1800" w:type="dxa"/>
            <w:shd w:val="clear" w:color="auto" w:fill="auto"/>
            <w:vAlign w:val="center"/>
          </w:tcPr>
          <w:p w14:paraId="242EFC72" w14:textId="77777777" w:rsidR="00651F88" w:rsidRPr="00CC731E" w:rsidRDefault="00651F88" w:rsidP="009D70F4">
            <w:pPr>
              <w:pStyle w:val="List2"/>
              <w:keepNext/>
              <w:ind w:left="0" w:firstLine="0"/>
              <w:jc w:val="center"/>
              <w:rPr>
                <w:sz w:val="20"/>
              </w:rPr>
            </w:pPr>
            <w:r w:rsidRPr="00CC731E">
              <w:rPr>
                <w:sz w:val="20"/>
              </w:rPr>
              <w:t>$25,000,000</w:t>
            </w:r>
          </w:p>
        </w:tc>
        <w:tc>
          <w:tcPr>
            <w:tcW w:w="1530" w:type="dxa"/>
            <w:shd w:val="clear" w:color="auto" w:fill="auto"/>
            <w:vAlign w:val="center"/>
          </w:tcPr>
          <w:p w14:paraId="3997788E" w14:textId="77777777" w:rsidR="00651F88" w:rsidRPr="00CC731E" w:rsidRDefault="00651F88" w:rsidP="009D70F4">
            <w:pPr>
              <w:pStyle w:val="List2"/>
              <w:keepNext/>
              <w:ind w:left="0" w:right="204" w:firstLine="0"/>
              <w:jc w:val="center"/>
              <w:rPr>
                <w:sz w:val="20"/>
              </w:rPr>
            </w:pPr>
            <w:r w:rsidRPr="00CC731E">
              <w:rPr>
                <w:sz w:val="20"/>
              </w:rPr>
              <w:t>1.05</w:t>
            </w:r>
          </w:p>
        </w:tc>
        <w:tc>
          <w:tcPr>
            <w:tcW w:w="1440" w:type="dxa"/>
            <w:shd w:val="clear" w:color="auto" w:fill="auto"/>
            <w:vAlign w:val="center"/>
          </w:tcPr>
          <w:p w14:paraId="02F8C2F2" w14:textId="77777777" w:rsidR="00651F88" w:rsidRPr="00CC731E" w:rsidRDefault="00651F88" w:rsidP="009D70F4">
            <w:pPr>
              <w:pStyle w:val="List2"/>
              <w:keepNext/>
              <w:ind w:left="0" w:right="204" w:firstLine="0"/>
              <w:jc w:val="center"/>
              <w:rPr>
                <w:sz w:val="20"/>
              </w:rPr>
            </w:pPr>
            <w:r w:rsidRPr="00CC731E">
              <w:rPr>
                <w:sz w:val="20"/>
              </w:rPr>
              <w:t>1.00</w:t>
            </w:r>
          </w:p>
        </w:tc>
        <w:tc>
          <w:tcPr>
            <w:tcW w:w="1228" w:type="dxa"/>
            <w:shd w:val="clear" w:color="auto" w:fill="auto"/>
            <w:vAlign w:val="center"/>
          </w:tcPr>
          <w:p w14:paraId="1C5B6BD9" w14:textId="77777777" w:rsidR="00651F88" w:rsidRPr="00CC731E" w:rsidRDefault="00651F88" w:rsidP="009D70F4">
            <w:pPr>
              <w:pStyle w:val="List2"/>
              <w:keepNext/>
              <w:ind w:left="0" w:right="204" w:firstLine="0"/>
              <w:jc w:val="center"/>
              <w:rPr>
                <w:sz w:val="20"/>
              </w:rPr>
            </w:pPr>
            <w:r w:rsidRPr="00CC731E">
              <w:rPr>
                <w:sz w:val="20"/>
              </w:rPr>
              <w:t>0.15</w:t>
            </w:r>
          </w:p>
        </w:tc>
        <w:tc>
          <w:tcPr>
            <w:tcW w:w="1916" w:type="dxa"/>
            <w:shd w:val="clear" w:color="auto" w:fill="auto"/>
            <w:vAlign w:val="center"/>
          </w:tcPr>
          <w:p w14:paraId="7A452492" w14:textId="77777777" w:rsidR="00651F88" w:rsidRPr="00CC731E" w:rsidRDefault="00651F88" w:rsidP="009D70F4">
            <w:pPr>
              <w:pStyle w:val="List2"/>
              <w:keepNext/>
              <w:ind w:left="0" w:firstLine="0"/>
              <w:jc w:val="center"/>
              <w:rPr>
                <w:sz w:val="20"/>
              </w:rPr>
            </w:pPr>
            <w:r w:rsidRPr="00CC731E">
              <w:rPr>
                <w:sz w:val="20"/>
              </w:rPr>
              <w:t>0.00% to 5.00%</w:t>
            </w:r>
          </w:p>
        </w:tc>
      </w:tr>
    </w:tbl>
    <w:p w14:paraId="095BDC00" w14:textId="77777777" w:rsidR="00651F88" w:rsidRPr="00CC731E" w:rsidRDefault="00651F88" w:rsidP="00651F88">
      <w:pPr>
        <w:spacing w:before="240" w:after="240"/>
        <w:ind w:left="2160" w:hanging="720"/>
      </w:pPr>
      <w:r w:rsidRPr="00CC731E">
        <w:t>(i)</w:t>
      </w:r>
      <w:r w:rsidRPr="00CC731E">
        <w:tab/>
        <w:t xml:space="preserve">ERCOT shall utilize annual financial data only for the assessment for those MOUs that fall within the scope of this </w:t>
      </w:r>
      <w:r>
        <w:t>s</w:t>
      </w:r>
      <w:r w:rsidRPr="00CC731E">
        <w:t>ubsection.</w:t>
      </w:r>
    </w:p>
    <w:p w14:paraId="24139836" w14:textId="77777777" w:rsidR="00651F88" w:rsidRPr="00CC731E" w:rsidRDefault="00651F88" w:rsidP="00651F88">
      <w:pPr>
        <w:spacing w:after="240"/>
        <w:ind w:left="2160" w:hanging="720"/>
      </w:pPr>
      <w:r w:rsidRPr="00CC731E">
        <w:t>(ii)</w:t>
      </w:r>
      <w:r w:rsidRPr="00CC731E">
        <w:tab/>
        <w:t xml:space="preserve">Unsecured Credit Limits for MOUs that are publicly rated by S&amp;P, Fitch or Moody’s </w:t>
      </w:r>
      <w:r w:rsidRPr="00CA23EE">
        <w:t>and</w:t>
      </w:r>
      <w:r w:rsidRPr="00CC731E">
        <w:t xml:space="preserve"> that have Tangible Net Worth greater than $100 million will be computed in accordance with </w:t>
      </w:r>
      <w:r>
        <w:t xml:space="preserve">item </w:t>
      </w:r>
      <w:r w:rsidRPr="00CC731E">
        <w:t>(c) below.</w:t>
      </w:r>
    </w:p>
    <w:p w14:paraId="1EC3098A" w14:textId="77777777" w:rsidR="00651F88" w:rsidRPr="00CC731E" w:rsidRDefault="00651F88" w:rsidP="00651F88">
      <w:pPr>
        <w:spacing w:after="240"/>
        <w:ind w:left="2160" w:hanging="720"/>
      </w:pPr>
      <w:r w:rsidRPr="00CC731E">
        <w:t>(i</w:t>
      </w:r>
      <w:r>
        <w:t>ii</w:t>
      </w:r>
      <w:r w:rsidRPr="00CC731E">
        <w:t>)</w:t>
      </w:r>
      <w:r w:rsidRPr="00CC731E">
        <w:tab/>
        <w:t>The amount of the Unsecured Credit Limit established within the range in the table above is at the discretion of ERCOT if the stated criteria are met.</w:t>
      </w:r>
    </w:p>
    <w:p w14:paraId="3B51B645" w14:textId="77777777" w:rsidR="00651F88" w:rsidRPr="00CC731E" w:rsidRDefault="00651F88" w:rsidP="00651F88">
      <w:pPr>
        <w:pStyle w:val="List2"/>
        <w:ind w:left="1422"/>
      </w:pPr>
      <w:r w:rsidRPr="00CC731E">
        <w:t>(c)</w:t>
      </w:r>
      <w:r w:rsidRPr="00CC731E">
        <w:tab/>
        <w:t xml:space="preserve">If the Counter-Party is publicly rated by S&amp;P, Fitch or Moody’s </w:t>
      </w:r>
      <w:r w:rsidRPr="00762CD1">
        <w:t>and</w:t>
      </w:r>
      <w:r w:rsidRPr="00CC731E">
        <w:t xml:space="preserve"> has greater than $100 million in Tangible Net Worth, the Unsecured Credit Limit shall be set with the ranges defined in the following table:  </w:t>
      </w:r>
    </w:p>
    <w:tbl>
      <w:tblPr>
        <w:tblW w:w="0" w:type="auto"/>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41"/>
        <w:gridCol w:w="1341"/>
        <w:gridCol w:w="1458"/>
        <w:gridCol w:w="1224"/>
        <w:gridCol w:w="576"/>
        <w:gridCol w:w="1440"/>
      </w:tblGrid>
      <w:tr w:rsidR="00651F88" w:rsidRPr="00CC731E" w14:paraId="12D5EC2E" w14:textId="77777777" w:rsidTr="009D70F4">
        <w:trPr>
          <w:tblHeader/>
        </w:trPr>
        <w:tc>
          <w:tcPr>
            <w:tcW w:w="2682" w:type="dxa"/>
            <w:gridSpan w:val="2"/>
            <w:shd w:val="clear" w:color="auto" w:fill="BFBFBF"/>
            <w:vAlign w:val="center"/>
          </w:tcPr>
          <w:p w14:paraId="48CA4550" w14:textId="77777777" w:rsidR="00651F88" w:rsidRPr="00CC731E" w:rsidRDefault="00651F88" w:rsidP="009D70F4">
            <w:pPr>
              <w:pStyle w:val="List2"/>
              <w:ind w:left="0" w:firstLine="0"/>
              <w:jc w:val="center"/>
              <w:rPr>
                <w:sz w:val="20"/>
              </w:rPr>
            </w:pPr>
            <w:r w:rsidRPr="00CC731E">
              <w:rPr>
                <w:sz w:val="20"/>
              </w:rPr>
              <w:t>If Counter-Party has</w:t>
            </w:r>
          </w:p>
        </w:tc>
        <w:tc>
          <w:tcPr>
            <w:tcW w:w="1458" w:type="dxa"/>
            <w:shd w:val="clear" w:color="auto" w:fill="BFBFBF"/>
            <w:vAlign w:val="center"/>
          </w:tcPr>
          <w:p w14:paraId="12D1FC83" w14:textId="77777777" w:rsidR="00651F88" w:rsidRPr="00CC731E" w:rsidRDefault="00651F88" w:rsidP="009D70F4">
            <w:pPr>
              <w:pStyle w:val="List2"/>
              <w:ind w:left="0" w:firstLine="0"/>
              <w:jc w:val="center"/>
              <w:rPr>
                <w:sz w:val="20"/>
              </w:rPr>
            </w:pPr>
            <w:r w:rsidRPr="00CC731E">
              <w:rPr>
                <w:sz w:val="20"/>
              </w:rPr>
              <w:t>And</w:t>
            </w:r>
          </w:p>
        </w:tc>
        <w:tc>
          <w:tcPr>
            <w:tcW w:w="3240" w:type="dxa"/>
            <w:gridSpan w:val="3"/>
            <w:shd w:val="clear" w:color="auto" w:fill="BFBFBF"/>
            <w:vAlign w:val="center"/>
          </w:tcPr>
          <w:p w14:paraId="1CD0D707" w14:textId="77777777" w:rsidR="00651F88" w:rsidRPr="00CC731E" w:rsidRDefault="00651F88" w:rsidP="009D70F4">
            <w:pPr>
              <w:pStyle w:val="List2"/>
              <w:ind w:left="0" w:firstLine="0"/>
              <w:jc w:val="center"/>
              <w:rPr>
                <w:sz w:val="20"/>
              </w:rPr>
            </w:pPr>
            <w:r w:rsidRPr="00CC731E">
              <w:rPr>
                <w:sz w:val="20"/>
              </w:rPr>
              <w:t>Then</w:t>
            </w:r>
          </w:p>
        </w:tc>
      </w:tr>
      <w:tr w:rsidR="00651F88" w:rsidRPr="00CC731E" w14:paraId="550BC847" w14:textId="77777777" w:rsidTr="009D70F4">
        <w:trPr>
          <w:tblHeader/>
        </w:trPr>
        <w:tc>
          <w:tcPr>
            <w:tcW w:w="2682" w:type="dxa"/>
            <w:gridSpan w:val="2"/>
            <w:shd w:val="clear" w:color="auto" w:fill="BFBFBF"/>
            <w:vAlign w:val="center"/>
          </w:tcPr>
          <w:p w14:paraId="33D262E0" w14:textId="77777777" w:rsidR="00651F88" w:rsidRPr="00CC731E" w:rsidRDefault="00651F88" w:rsidP="009D70F4">
            <w:pPr>
              <w:pStyle w:val="List2"/>
              <w:ind w:left="0" w:firstLine="0"/>
              <w:jc w:val="center"/>
              <w:rPr>
                <w:sz w:val="20"/>
              </w:rPr>
            </w:pPr>
            <w:r w:rsidRPr="00CC731E">
              <w:rPr>
                <w:sz w:val="20"/>
              </w:rPr>
              <w:t>Long-Term or Issuer Rating</w:t>
            </w:r>
          </w:p>
        </w:tc>
        <w:tc>
          <w:tcPr>
            <w:tcW w:w="1458" w:type="dxa"/>
            <w:vMerge w:val="restart"/>
            <w:shd w:val="clear" w:color="auto" w:fill="BFBFBF"/>
            <w:vAlign w:val="center"/>
          </w:tcPr>
          <w:p w14:paraId="2927EDC3" w14:textId="77777777" w:rsidR="00651F88" w:rsidRPr="00CC731E" w:rsidRDefault="00651F88" w:rsidP="009D70F4">
            <w:pPr>
              <w:pStyle w:val="List2"/>
              <w:ind w:left="0" w:firstLine="0"/>
              <w:jc w:val="center"/>
              <w:rPr>
                <w:sz w:val="20"/>
              </w:rPr>
            </w:pPr>
            <w:r w:rsidRPr="00CC731E">
              <w:rPr>
                <w:sz w:val="20"/>
              </w:rPr>
              <w:t>Tangible Net Worth greater than</w:t>
            </w:r>
          </w:p>
        </w:tc>
        <w:tc>
          <w:tcPr>
            <w:tcW w:w="3240" w:type="dxa"/>
            <w:gridSpan w:val="3"/>
            <w:vMerge w:val="restart"/>
            <w:shd w:val="clear" w:color="auto" w:fill="BFBFBF"/>
            <w:vAlign w:val="center"/>
          </w:tcPr>
          <w:p w14:paraId="7BD92921" w14:textId="77777777" w:rsidR="00651F88" w:rsidRPr="00CC731E" w:rsidRDefault="00651F88" w:rsidP="009D70F4">
            <w:pPr>
              <w:pStyle w:val="List2"/>
              <w:ind w:left="0" w:firstLine="0"/>
              <w:jc w:val="center"/>
              <w:rPr>
                <w:sz w:val="20"/>
              </w:rPr>
            </w:pPr>
            <w:r w:rsidRPr="00CC731E">
              <w:rPr>
                <w:sz w:val="20"/>
              </w:rPr>
              <w:t>Maximum Unsecured Credit Limit as a percentage of Tangible Net Worth</w:t>
            </w:r>
          </w:p>
        </w:tc>
      </w:tr>
      <w:tr w:rsidR="00651F88" w:rsidRPr="00CC731E" w14:paraId="382A26FD" w14:textId="77777777" w:rsidTr="009D70F4">
        <w:trPr>
          <w:trHeight w:val="287"/>
          <w:tblHeader/>
        </w:trPr>
        <w:tc>
          <w:tcPr>
            <w:tcW w:w="1341" w:type="dxa"/>
            <w:shd w:val="clear" w:color="auto" w:fill="BFBFBF"/>
            <w:vAlign w:val="center"/>
          </w:tcPr>
          <w:p w14:paraId="400F3E35" w14:textId="77777777" w:rsidR="00651F88" w:rsidRPr="00CC731E" w:rsidRDefault="00651F88" w:rsidP="009D70F4">
            <w:pPr>
              <w:pStyle w:val="List2"/>
              <w:ind w:left="0" w:firstLine="0"/>
              <w:jc w:val="center"/>
              <w:rPr>
                <w:sz w:val="20"/>
              </w:rPr>
            </w:pPr>
            <w:r w:rsidRPr="00CC731E">
              <w:rPr>
                <w:sz w:val="20"/>
              </w:rPr>
              <w:t>Fitch/S&amp;P</w:t>
            </w:r>
          </w:p>
        </w:tc>
        <w:tc>
          <w:tcPr>
            <w:tcW w:w="1341" w:type="dxa"/>
            <w:shd w:val="clear" w:color="auto" w:fill="BFBFBF"/>
            <w:vAlign w:val="center"/>
          </w:tcPr>
          <w:p w14:paraId="23D25F1B" w14:textId="77777777" w:rsidR="00651F88" w:rsidRPr="00CC731E" w:rsidRDefault="00651F88" w:rsidP="009D70F4">
            <w:pPr>
              <w:pStyle w:val="List2"/>
              <w:ind w:left="0" w:firstLine="0"/>
              <w:jc w:val="center"/>
              <w:rPr>
                <w:sz w:val="20"/>
              </w:rPr>
            </w:pPr>
            <w:r w:rsidRPr="00CC731E">
              <w:rPr>
                <w:sz w:val="20"/>
              </w:rPr>
              <w:t>Moody’s</w:t>
            </w:r>
          </w:p>
        </w:tc>
        <w:tc>
          <w:tcPr>
            <w:tcW w:w="1458" w:type="dxa"/>
            <w:vMerge/>
            <w:shd w:val="clear" w:color="auto" w:fill="auto"/>
            <w:vAlign w:val="center"/>
          </w:tcPr>
          <w:p w14:paraId="58975F35" w14:textId="77777777" w:rsidR="00651F88" w:rsidRPr="00CC731E" w:rsidRDefault="00651F88" w:rsidP="009D70F4">
            <w:pPr>
              <w:pStyle w:val="List2"/>
              <w:ind w:left="0" w:firstLine="0"/>
              <w:jc w:val="center"/>
              <w:rPr>
                <w:sz w:val="20"/>
              </w:rPr>
            </w:pPr>
          </w:p>
        </w:tc>
        <w:tc>
          <w:tcPr>
            <w:tcW w:w="3240" w:type="dxa"/>
            <w:gridSpan w:val="3"/>
            <w:vMerge/>
            <w:shd w:val="clear" w:color="auto" w:fill="auto"/>
            <w:vAlign w:val="center"/>
          </w:tcPr>
          <w:p w14:paraId="422C4A46" w14:textId="77777777" w:rsidR="00651F88" w:rsidRPr="00CC731E" w:rsidRDefault="00651F88" w:rsidP="009D70F4">
            <w:pPr>
              <w:pStyle w:val="List2"/>
              <w:ind w:left="0" w:firstLine="0"/>
              <w:jc w:val="center"/>
              <w:rPr>
                <w:sz w:val="20"/>
              </w:rPr>
            </w:pPr>
          </w:p>
        </w:tc>
      </w:tr>
      <w:tr w:rsidR="00651F88" w:rsidRPr="00CC731E" w14:paraId="21A259D5" w14:textId="77777777" w:rsidTr="009D70F4">
        <w:tc>
          <w:tcPr>
            <w:tcW w:w="1341" w:type="dxa"/>
            <w:shd w:val="clear" w:color="auto" w:fill="auto"/>
            <w:vAlign w:val="center"/>
          </w:tcPr>
          <w:p w14:paraId="44267D4B" w14:textId="77777777" w:rsidR="00651F88" w:rsidRPr="00CC731E" w:rsidRDefault="00651F88" w:rsidP="009D70F4">
            <w:pPr>
              <w:pStyle w:val="List2"/>
              <w:ind w:left="0" w:firstLine="0"/>
              <w:jc w:val="center"/>
              <w:rPr>
                <w:sz w:val="20"/>
              </w:rPr>
            </w:pPr>
            <w:r w:rsidRPr="00CC731E">
              <w:rPr>
                <w:sz w:val="20"/>
              </w:rPr>
              <w:t>AAA</w:t>
            </w:r>
          </w:p>
        </w:tc>
        <w:tc>
          <w:tcPr>
            <w:tcW w:w="1341" w:type="dxa"/>
            <w:shd w:val="clear" w:color="auto" w:fill="auto"/>
            <w:vAlign w:val="center"/>
          </w:tcPr>
          <w:p w14:paraId="13A187BB" w14:textId="77777777" w:rsidR="00651F88" w:rsidRPr="00CC731E" w:rsidRDefault="00651F88" w:rsidP="009D70F4">
            <w:pPr>
              <w:pStyle w:val="List2"/>
              <w:ind w:left="0" w:firstLine="0"/>
              <w:jc w:val="center"/>
              <w:rPr>
                <w:sz w:val="20"/>
              </w:rPr>
            </w:pPr>
            <w:r w:rsidRPr="00CC731E">
              <w:rPr>
                <w:sz w:val="20"/>
              </w:rPr>
              <w:t>Aaa</w:t>
            </w:r>
          </w:p>
        </w:tc>
        <w:tc>
          <w:tcPr>
            <w:tcW w:w="1458" w:type="dxa"/>
            <w:shd w:val="clear" w:color="auto" w:fill="auto"/>
            <w:vAlign w:val="center"/>
          </w:tcPr>
          <w:p w14:paraId="36E0D079" w14:textId="77777777" w:rsidR="00651F88" w:rsidRPr="00CC731E" w:rsidRDefault="00651F88" w:rsidP="009D70F4">
            <w:pPr>
              <w:pStyle w:val="List2"/>
              <w:ind w:left="0" w:firstLine="0"/>
              <w:jc w:val="center"/>
              <w:rPr>
                <w:sz w:val="20"/>
              </w:rPr>
            </w:pPr>
            <w:r w:rsidRPr="00CC731E">
              <w:rPr>
                <w:sz w:val="20"/>
              </w:rPr>
              <w:t>$100,000,000</w:t>
            </w:r>
          </w:p>
        </w:tc>
        <w:tc>
          <w:tcPr>
            <w:tcW w:w="1224" w:type="dxa"/>
            <w:shd w:val="clear" w:color="auto" w:fill="auto"/>
            <w:vAlign w:val="center"/>
          </w:tcPr>
          <w:p w14:paraId="69AA8CFE" w14:textId="77777777" w:rsidR="00651F88" w:rsidRPr="00CC731E" w:rsidRDefault="00651F88" w:rsidP="009D70F4">
            <w:pPr>
              <w:pStyle w:val="List2"/>
              <w:ind w:left="0" w:firstLine="0"/>
              <w:jc w:val="center"/>
              <w:rPr>
                <w:sz w:val="20"/>
              </w:rPr>
            </w:pPr>
            <w:r w:rsidRPr="00CC731E">
              <w:rPr>
                <w:sz w:val="20"/>
              </w:rPr>
              <w:t>0.00%</w:t>
            </w:r>
          </w:p>
        </w:tc>
        <w:tc>
          <w:tcPr>
            <w:tcW w:w="576" w:type="dxa"/>
            <w:shd w:val="clear" w:color="auto" w:fill="auto"/>
            <w:vAlign w:val="center"/>
          </w:tcPr>
          <w:p w14:paraId="4EEFE0B6" w14:textId="77777777" w:rsidR="00651F88" w:rsidRPr="00CC731E" w:rsidRDefault="00651F88" w:rsidP="009D70F4">
            <w:pPr>
              <w:pStyle w:val="List2"/>
              <w:ind w:left="0" w:firstLine="0"/>
              <w:jc w:val="center"/>
              <w:rPr>
                <w:sz w:val="20"/>
              </w:rPr>
            </w:pPr>
            <w:r w:rsidRPr="00CC731E">
              <w:rPr>
                <w:sz w:val="20"/>
              </w:rPr>
              <w:t>to</w:t>
            </w:r>
          </w:p>
        </w:tc>
        <w:tc>
          <w:tcPr>
            <w:tcW w:w="1440" w:type="dxa"/>
            <w:shd w:val="clear" w:color="auto" w:fill="auto"/>
            <w:vAlign w:val="center"/>
          </w:tcPr>
          <w:p w14:paraId="638C8A4B" w14:textId="77777777" w:rsidR="00651F88" w:rsidRPr="00CC731E" w:rsidRDefault="00651F88" w:rsidP="009D70F4">
            <w:pPr>
              <w:pStyle w:val="List2"/>
              <w:ind w:left="0" w:firstLine="0"/>
              <w:jc w:val="center"/>
              <w:rPr>
                <w:sz w:val="20"/>
              </w:rPr>
            </w:pPr>
            <w:r w:rsidRPr="00CC731E">
              <w:rPr>
                <w:sz w:val="20"/>
              </w:rPr>
              <w:t>3.00%</w:t>
            </w:r>
          </w:p>
        </w:tc>
      </w:tr>
      <w:tr w:rsidR="00651F88" w:rsidRPr="00CC731E" w14:paraId="486D5847" w14:textId="77777777" w:rsidTr="009D70F4">
        <w:tc>
          <w:tcPr>
            <w:tcW w:w="1341" w:type="dxa"/>
            <w:shd w:val="clear" w:color="auto" w:fill="auto"/>
            <w:vAlign w:val="center"/>
          </w:tcPr>
          <w:p w14:paraId="6C5CFA25" w14:textId="77777777" w:rsidR="00651F88" w:rsidRPr="00CC731E" w:rsidRDefault="00651F88" w:rsidP="009D70F4">
            <w:pPr>
              <w:pStyle w:val="List2"/>
              <w:ind w:left="0" w:firstLine="0"/>
              <w:jc w:val="center"/>
              <w:rPr>
                <w:sz w:val="20"/>
              </w:rPr>
            </w:pPr>
            <w:r w:rsidRPr="00CC731E">
              <w:rPr>
                <w:sz w:val="20"/>
              </w:rPr>
              <w:t>AA+</w:t>
            </w:r>
          </w:p>
        </w:tc>
        <w:tc>
          <w:tcPr>
            <w:tcW w:w="1341" w:type="dxa"/>
            <w:shd w:val="clear" w:color="auto" w:fill="auto"/>
            <w:vAlign w:val="center"/>
          </w:tcPr>
          <w:p w14:paraId="45F55F5E" w14:textId="77777777" w:rsidR="00651F88" w:rsidRPr="00CC731E" w:rsidRDefault="00651F88" w:rsidP="009D70F4">
            <w:pPr>
              <w:pStyle w:val="List2"/>
              <w:ind w:left="0" w:firstLine="0"/>
              <w:jc w:val="center"/>
              <w:rPr>
                <w:sz w:val="20"/>
              </w:rPr>
            </w:pPr>
            <w:r w:rsidRPr="00CC731E">
              <w:rPr>
                <w:sz w:val="20"/>
              </w:rPr>
              <w:t>Aa1</w:t>
            </w:r>
          </w:p>
        </w:tc>
        <w:tc>
          <w:tcPr>
            <w:tcW w:w="1458" w:type="dxa"/>
            <w:shd w:val="clear" w:color="auto" w:fill="auto"/>
            <w:vAlign w:val="center"/>
          </w:tcPr>
          <w:p w14:paraId="715871C9" w14:textId="77777777" w:rsidR="00651F88" w:rsidRPr="00CC731E" w:rsidRDefault="00651F88" w:rsidP="009D70F4">
            <w:pPr>
              <w:pStyle w:val="List2"/>
              <w:ind w:left="0" w:firstLine="0"/>
              <w:jc w:val="center"/>
              <w:rPr>
                <w:sz w:val="20"/>
              </w:rPr>
            </w:pPr>
            <w:r w:rsidRPr="00CC731E">
              <w:rPr>
                <w:sz w:val="20"/>
              </w:rPr>
              <w:t>$100,000,000</w:t>
            </w:r>
          </w:p>
        </w:tc>
        <w:tc>
          <w:tcPr>
            <w:tcW w:w="1224" w:type="dxa"/>
            <w:shd w:val="clear" w:color="auto" w:fill="auto"/>
            <w:vAlign w:val="center"/>
          </w:tcPr>
          <w:p w14:paraId="691227A6" w14:textId="77777777" w:rsidR="00651F88" w:rsidRPr="00CC731E" w:rsidRDefault="00651F88" w:rsidP="009D70F4">
            <w:pPr>
              <w:pStyle w:val="List2"/>
              <w:ind w:left="0" w:firstLine="0"/>
              <w:jc w:val="center"/>
              <w:rPr>
                <w:sz w:val="20"/>
              </w:rPr>
            </w:pPr>
            <w:r w:rsidRPr="00CC731E">
              <w:rPr>
                <w:sz w:val="20"/>
              </w:rPr>
              <w:t>0.00%</w:t>
            </w:r>
          </w:p>
        </w:tc>
        <w:tc>
          <w:tcPr>
            <w:tcW w:w="576" w:type="dxa"/>
            <w:shd w:val="clear" w:color="auto" w:fill="auto"/>
            <w:vAlign w:val="center"/>
          </w:tcPr>
          <w:p w14:paraId="7888006A" w14:textId="77777777" w:rsidR="00651F88" w:rsidRPr="00CC731E" w:rsidRDefault="00651F88" w:rsidP="009D70F4">
            <w:pPr>
              <w:pStyle w:val="List2"/>
              <w:ind w:left="0" w:firstLine="0"/>
              <w:jc w:val="center"/>
              <w:rPr>
                <w:sz w:val="20"/>
              </w:rPr>
            </w:pPr>
            <w:r w:rsidRPr="00CC731E">
              <w:rPr>
                <w:sz w:val="20"/>
              </w:rPr>
              <w:t>to</w:t>
            </w:r>
          </w:p>
        </w:tc>
        <w:tc>
          <w:tcPr>
            <w:tcW w:w="1440" w:type="dxa"/>
            <w:shd w:val="clear" w:color="auto" w:fill="auto"/>
            <w:vAlign w:val="center"/>
          </w:tcPr>
          <w:p w14:paraId="1484DF0B" w14:textId="77777777" w:rsidR="00651F88" w:rsidRPr="00CC731E" w:rsidRDefault="00651F88" w:rsidP="009D70F4">
            <w:pPr>
              <w:pStyle w:val="List2"/>
              <w:ind w:left="0" w:firstLine="0"/>
              <w:jc w:val="center"/>
              <w:rPr>
                <w:sz w:val="20"/>
              </w:rPr>
            </w:pPr>
            <w:r w:rsidRPr="00CC731E">
              <w:rPr>
                <w:sz w:val="20"/>
              </w:rPr>
              <w:t>2.95%</w:t>
            </w:r>
          </w:p>
        </w:tc>
      </w:tr>
      <w:tr w:rsidR="00651F88" w:rsidRPr="00CC731E" w14:paraId="3C8A0674" w14:textId="77777777" w:rsidTr="009D70F4">
        <w:tc>
          <w:tcPr>
            <w:tcW w:w="1341" w:type="dxa"/>
            <w:shd w:val="clear" w:color="auto" w:fill="auto"/>
            <w:vAlign w:val="center"/>
          </w:tcPr>
          <w:p w14:paraId="25E066DF" w14:textId="77777777" w:rsidR="00651F88" w:rsidRPr="00CC731E" w:rsidRDefault="00651F88" w:rsidP="009D70F4">
            <w:pPr>
              <w:pStyle w:val="List2"/>
              <w:ind w:left="0" w:firstLine="0"/>
              <w:jc w:val="center"/>
              <w:rPr>
                <w:sz w:val="20"/>
              </w:rPr>
            </w:pPr>
            <w:r w:rsidRPr="00CC731E">
              <w:rPr>
                <w:sz w:val="20"/>
              </w:rPr>
              <w:lastRenderedPageBreak/>
              <w:t>AA</w:t>
            </w:r>
          </w:p>
        </w:tc>
        <w:tc>
          <w:tcPr>
            <w:tcW w:w="1341" w:type="dxa"/>
            <w:shd w:val="clear" w:color="auto" w:fill="auto"/>
            <w:vAlign w:val="center"/>
          </w:tcPr>
          <w:p w14:paraId="2CD75301" w14:textId="77777777" w:rsidR="00651F88" w:rsidRPr="00CC731E" w:rsidRDefault="00651F88" w:rsidP="009D70F4">
            <w:pPr>
              <w:pStyle w:val="List2"/>
              <w:ind w:left="0" w:firstLine="0"/>
              <w:jc w:val="center"/>
              <w:rPr>
                <w:sz w:val="20"/>
              </w:rPr>
            </w:pPr>
            <w:r w:rsidRPr="00CC731E">
              <w:rPr>
                <w:sz w:val="20"/>
              </w:rPr>
              <w:t>Aa2</w:t>
            </w:r>
          </w:p>
        </w:tc>
        <w:tc>
          <w:tcPr>
            <w:tcW w:w="1458" w:type="dxa"/>
            <w:shd w:val="clear" w:color="auto" w:fill="auto"/>
            <w:vAlign w:val="center"/>
          </w:tcPr>
          <w:p w14:paraId="5B98069B" w14:textId="77777777" w:rsidR="00651F88" w:rsidRPr="00CC731E" w:rsidRDefault="00651F88" w:rsidP="009D70F4">
            <w:pPr>
              <w:pStyle w:val="List2"/>
              <w:ind w:left="0" w:firstLine="0"/>
              <w:jc w:val="center"/>
              <w:rPr>
                <w:sz w:val="20"/>
              </w:rPr>
            </w:pPr>
            <w:r w:rsidRPr="00CC731E">
              <w:rPr>
                <w:sz w:val="20"/>
              </w:rPr>
              <w:t>$100,000,000</w:t>
            </w:r>
          </w:p>
        </w:tc>
        <w:tc>
          <w:tcPr>
            <w:tcW w:w="1224" w:type="dxa"/>
            <w:shd w:val="clear" w:color="auto" w:fill="auto"/>
            <w:vAlign w:val="center"/>
          </w:tcPr>
          <w:p w14:paraId="72425FD1" w14:textId="77777777" w:rsidR="00651F88" w:rsidRPr="00CC731E" w:rsidRDefault="00651F88" w:rsidP="009D70F4">
            <w:pPr>
              <w:pStyle w:val="List2"/>
              <w:ind w:left="0" w:firstLine="0"/>
              <w:jc w:val="center"/>
              <w:rPr>
                <w:sz w:val="20"/>
              </w:rPr>
            </w:pPr>
            <w:r w:rsidRPr="00CC731E">
              <w:rPr>
                <w:sz w:val="20"/>
              </w:rPr>
              <w:t>0.00%</w:t>
            </w:r>
          </w:p>
        </w:tc>
        <w:tc>
          <w:tcPr>
            <w:tcW w:w="576" w:type="dxa"/>
            <w:shd w:val="clear" w:color="auto" w:fill="auto"/>
            <w:vAlign w:val="center"/>
          </w:tcPr>
          <w:p w14:paraId="7762CA43" w14:textId="77777777" w:rsidR="00651F88" w:rsidRPr="00CC731E" w:rsidRDefault="00651F88" w:rsidP="009D70F4">
            <w:pPr>
              <w:pStyle w:val="List2"/>
              <w:ind w:left="0" w:firstLine="0"/>
              <w:jc w:val="center"/>
              <w:rPr>
                <w:sz w:val="20"/>
              </w:rPr>
            </w:pPr>
            <w:r w:rsidRPr="00CC731E">
              <w:rPr>
                <w:sz w:val="20"/>
              </w:rPr>
              <w:t>to</w:t>
            </w:r>
          </w:p>
        </w:tc>
        <w:tc>
          <w:tcPr>
            <w:tcW w:w="1440" w:type="dxa"/>
            <w:shd w:val="clear" w:color="auto" w:fill="auto"/>
            <w:vAlign w:val="center"/>
          </w:tcPr>
          <w:p w14:paraId="23F65790" w14:textId="77777777" w:rsidR="00651F88" w:rsidRPr="00CC731E" w:rsidRDefault="00651F88" w:rsidP="009D70F4">
            <w:pPr>
              <w:pStyle w:val="List2"/>
              <w:ind w:left="0" w:firstLine="0"/>
              <w:jc w:val="center"/>
              <w:rPr>
                <w:sz w:val="20"/>
              </w:rPr>
            </w:pPr>
            <w:r w:rsidRPr="00CC731E">
              <w:rPr>
                <w:sz w:val="20"/>
              </w:rPr>
              <w:t>2.85%</w:t>
            </w:r>
          </w:p>
        </w:tc>
      </w:tr>
      <w:tr w:rsidR="00651F88" w:rsidRPr="00CC731E" w14:paraId="2E61A560" w14:textId="77777777" w:rsidTr="009D70F4">
        <w:tc>
          <w:tcPr>
            <w:tcW w:w="1341" w:type="dxa"/>
            <w:shd w:val="clear" w:color="auto" w:fill="auto"/>
            <w:vAlign w:val="center"/>
          </w:tcPr>
          <w:p w14:paraId="16267380" w14:textId="77777777" w:rsidR="00651F88" w:rsidRPr="00CC731E" w:rsidRDefault="00651F88" w:rsidP="009D70F4">
            <w:pPr>
              <w:pStyle w:val="List2"/>
              <w:ind w:left="0" w:firstLine="0"/>
              <w:jc w:val="center"/>
              <w:rPr>
                <w:sz w:val="20"/>
              </w:rPr>
            </w:pPr>
            <w:r w:rsidRPr="00CC731E">
              <w:rPr>
                <w:sz w:val="20"/>
              </w:rPr>
              <w:t>AA-</w:t>
            </w:r>
          </w:p>
        </w:tc>
        <w:tc>
          <w:tcPr>
            <w:tcW w:w="1341" w:type="dxa"/>
            <w:shd w:val="clear" w:color="auto" w:fill="auto"/>
            <w:vAlign w:val="center"/>
          </w:tcPr>
          <w:p w14:paraId="5C29A36E" w14:textId="77777777" w:rsidR="00651F88" w:rsidRPr="00CC731E" w:rsidRDefault="00651F88" w:rsidP="009D70F4">
            <w:pPr>
              <w:pStyle w:val="List2"/>
              <w:ind w:left="0" w:firstLine="0"/>
              <w:jc w:val="center"/>
              <w:rPr>
                <w:sz w:val="20"/>
              </w:rPr>
            </w:pPr>
            <w:r w:rsidRPr="00CC731E">
              <w:rPr>
                <w:sz w:val="20"/>
              </w:rPr>
              <w:t>Aa3</w:t>
            </w:r>
          </w:p>
        </w:tc>
        <w:tc>
          <w:tcPr>
            <w:tcW w:w="1458" w:type="dxa"/>
            <w:shd w:val="clear" w:color="auto" w:fill="auto"/>
            <w:vAlign w:val="center"/>
          </w:tcPr>
          <w:p w14:paraId="446F9A10" w14:textId="77777777" w:rsidR="00651F88" w:rsidRPr="00CC731E" w:rsidRDefault="00651F88" w:rsidP="009D70F4">
            <w:pPr>
              <w:pStyle w:val="List2"/>
              <w:ind w:left="0" w:firstLine="0"/>
              <w:jc w:val="center"/>
              <w:rPr>
                <w:sz w:val="20"/>
              </w:rPr>
            </w:pPr>
            <w:r w:rsidRPr="00CC731E">
              <w:rPr>
                <w:sz w:val="20"/>
              </w:rPr>
              <w:t>$100,000,000</w:t>
            </w:r>
          </w:p>
        </w:tc>
        <w:tc>
          <w:tcPr>
            <w:tcW w:w="1224" w:type="dxa"/>
            <w:shd w:val="clear" w:color="auto" w:fill="auto"/>
            <w:vAlign w:val="center"/>
          </w:tcPr>
          <w:p w14:paraId="08762F42" w14:textId="77777777" w:rsidR="00651F88" w:rsidRPr="00CC731E" w:rsidRDefault="00651F88" w:rsidP="009D70F4">
            <w:pPr>
              <w:pStyle w:val="List2"/>
              <w:ind w:left="0" w:firstLine="0"/>
              <w:jc w:val="center"/>
              <w:rPr>
                <w:sz w:val="20"/>
              </w:rPr>
            </w:pPr>
            <w:r w:rsidRPr="00CC731E">
              <w:rPr>
                <w:sz w:val="20"/>
              </w:rPr>
              <w:t>0.00%</w:t>
            </w:r>
          </w:p>
        </w:tc>
        <w:tc>
          <w:tcPr>
            <w:tcW w:w="576" w:type="dxa"/>
            <w:shd w:val="clear" w:color="auto" w:fill="auto"/>
            <w:vAlign w:val="center"/>
          </w:tcPr>
          <w:p w14:paraId="38FFA97B" w14:textId="77777777" w:rsidR="00651F88" w:rsidRPr="00CC731E" w:rsidRDefault="00651F88" w:rsidP="009D70F4">
            <w:pPr>
              <w:pStyle w:val="List2"/>
              <w:ind w:left="0" w:firstLine="0"/>
              <w:jc w:val="center"/>
              <w:rPr>
                <w:sz w:val="20"/>
              </w:rPr>
            </w:pPr>
            <w:r w:rsidRPr="00CC731E">
              <w:rPr>
                <w:sz w:val="20"/>
              </w:rPr>
              <w:t>to</w:t>
            </w:r>
          </w:p>
        </w:tc>
        <w:tc>
          <w:tcPr>
            <w:tcW w:w="1440" w:type="dxa"/>
            <w:shd w:val="clear" w:color="auto" w:fill="auto"/>
            <w:vAlign w:val="center"/>
          </w:tcPr>
          <w:p w14:paraId="4315977E" w14:textId="77777777" w:rsidR="00651F88" w:rsidRPr="00CC731E" w:rsidRDefault="00651F88" w:rsidP="009D70F4">
            <w:pPr>
              <w:pStyle w:val="List2"/>
              <w:ind w:left="0" w:firstLine="0"/>
              <w:jc w:val="center"/>
              <w:rPr>
                <w:sz w:val="20"/>
              </w:rPr>
            </w:pPr>
            <w:r w:rsidRPr="00CC731E">
              <w:rPr>
                <w:sz w:val="20"/>
              </w:rPr>
              <w:t>2.70%</w:t>
            </w:r>
          </w:p>
        </w:tc>
      </w:tr>
      <w:tr w:rsidR="00651F88" w:rsidRPr="00CC731E" w14:paraId="093DBBE1" w14:textId="77777777" w:rsidTr="009D70F4">
        <w:tc>
          <w:tcPr>
            <w:tcW w:w="1341" w:type="dxa"/>
            <w:shd w:val="clear" w:color="auto" w:fill="auto"/>
            <w:vAlign w:val="center"/>
          </w:tcPr>
          <w:p w14:paraId="73121D3A" w14:textId="77777777" w:rsidR="00651F88" w:rsidRPr="00CC731E" w:rsidRDefault="00651F88" w:rsidP="009D70F4">
            <w:pPr>
              <w:pStyle w:val="List2"/>
              <w:ind w:left="0" w:firstLine="0"/>
              <w:jc w:val="center"/>
              <w:rPr>
                <w:sz w:val="20"/>
              </w:rPr>
            </w:pPr>
            <w:r w:rsidRPr="00CC731E">
              <w:rPr>
                <w:sz w:val="20"/>
              </w:rPr>
              <w:t>A+</w:t>
            </w:r>
          </w:p>
        </w:tc>
        <w:tc>
          <w:tcPr>
            <w:tcW w:w="1341" w:type="dxa"/>
            <w:shd w:val="clear" w:color="auto" w:fill="auto"/>
            <w:vAlign w:val="center"/>
          </w:tcPr>
          <w:p w14:paraId="18F8339B" w14:textId="77777777" w:rsidR="00651F88" w:rsidRPr="00CC731E" w:rsidRDefault="00651F88" w:rsidP="009D70F4">
            <w:pPr>
              <w:pStyle w:val="List2"/>
              <w:ind w:left="0" w:firstLine="0"/>
              <w:jc w:val="center"/>
              <w:rPr>
                <w:sz w:val="20"/>
              </w:rPr>
            </w:pPr>
            <w:r w:rsidRPr="00CC731E">
              <w:rPr>
                <w:sz w:val="20"/>
              </w:rPr>
              <w:t>A1</w:t>
            </w:r>
          </w:p>
        </w:tc>
        <w:tc>
          <w:tcPr>
            <w:tcW w:w="1458" w:type="dxa"/>
            <w:shd w:val="clear" w:color="auto" w:fill="auto"/>
            <w:vAlign w:val="center"/>
          </w:tcPr>
          <w:p w14:paraId="04E08CC4" w14:textId="77777777" w:rsidR="00651F88" w:rsidRPr="00CC731E" w:rsidRDefault="00651F88" w:rsidP="009D70F4">
            <w:pPr>
              <w:pStyle w:val="List2"/>
              <w:ind w:left="0" w:firstLine="0"/>
              <w:jc w:val="center"/>
              <w:rPr>
                <w:sz w:val="20"/>
              </w:rPr>
            </w:pPr>
            <w:r w:rsidRPr="00CC731E">
              <w:rPr>
                <w:sz w:val="20"/>
              </w:rPr>
              <w:t>$100,000,000</w:t>
            </w:r>
          </w:p>
        </w:tc>
        <w:tc>
          <w:tcPr>
            <w:tcW w:w="1224" w:type="dxa"/>
            <w:shd w:val="clear" w:color="auto" w:fill="auto"/>
            <w:vAlign w:val="center"/>
          </w:tcPr>
          <w:p w14:paraId="3584EB4F" w14:textId="77777777" w:rsidR="00651F88" w:rsidRPr="00CC731E" w:rsidRDefault="00651F88" w:rsidP="009D70F4">
            <w:pPr>
              <w:pStyle w:val="List2"/>
              <w:ind w:left="0" w:firstLine="0"/>
              <w:jc w:val="center"/>
              <w:rPr>
                <w:sz w:val="20"/>
              </w:rPr>
            </w:pPr>
            <w:r w:rsidRPr="00CC731E">
              <w:rPr>
                <w:sz w:val="20"/>
              </w:rPr>
              <w:t>0.00%</w:t>
            </w:r>
          </w:p>
        </w:tc>
        <w:tc>
          <w:tcPr>
            <w:tcW w:w="576" w:type="dxa"/>
            <w:shd w:val="clear" w:color="auto" w:fill="auto"/>
            <w:vAlign w:val="center"/>
          </w:tcPr>
          <w:p w14:paraId="474400B4" w14:textId="77777777" w:rsidR="00651F88" w:rsidRPr="00CC731E" w:rsidRDefault="00651F88" w:rsidP="009D70F4">
            <w:pPr>
              <w:pStyle w:val="List2"/>
              <w:ind w:left="0" w:firstLine="0"/>
              <w:jc w:val="center"/>
              <w:rPr>
                <w:sz w:val="20"/>
              </w:rPr>
            </w:pPr>
            <w:r w:rsidRPr="00CC731E">
              <w:rPr>
                <w:sz w:val="20"/>
              </w:rPr>
              <w:t>to</w:t>
            </w:r>
          </w:p>
        </w:tc>
        <w:tc>
          <w:tcPr>
            <w:tcW w:w="1440" w:type="dxa"/>
            <w:shd w:val="clear" w:color="auto" w:fill="auto"/>
            <w:vAlign w:val="center"/>
          </w:tcPr>
          <w:p w14:paraId="16DBCC6A" w14:textId="77777777" w:rsidR="00651F88" w:rsidRPr="00CC731E" w:rsidRDefault="00651F88" w:rsidP="009D70F4">
            <w:pPr>
              <w:pStyle w:val="List2"/>
              <w:ind w:left="0" w:firstLine="0"/>
              <w:jc w:val="center"/>
              <w:rPr>
                <w:sz w:val="20"/>
              </w:rPr>
            </w:pPr>
            <w:r w:rsidRPr="00CC731E">
              <w:rPr>
                <w:sz w:val="20"/>
              </w:rPr>
              <w:t>2.55%</w:t>
            </w:r>
          </w:p>
        </w:tc>
      </w:tr>
      <w:tr w:rsidR="00651F88" w:rsidRPr="00CC731E" w14:paraId="22481ED2" w14:textId="77777777" w:rsidTr="009D70F4">
        <w:tc>
          <w:tcPr>
            <w:tcW w:w="1341" w:type="dxa"/>
            <w:shd w:val="clear" w:color="auto" w:fill="auto"/>
            <w:vAlign w:val="center"/>
          </w:tcPr>
          <w:p w14:paraId="205D5126" w14:textId="77777777" w:rsidR="00651F88" w:rsidRPr="00CC731E" w:rsidRDefault="00651F88" w:rsidP="009D70F4">
            <w:pPr>
              <w:pStyle w:val="List2"/>
              <w:ind w:left="0" w:firstLine="0"/>
              <w:jc w:val="center"/>
              <w:rPr>
                <w:sz w:val="20"/>
              </w:rPr>
            </w:pPr>
            <w:r w:rsidRPr="00CC731E">
              <w:rPr>
                <w:sz w:val="20"/>
              </w:rPr>
              <w:t>A</w:t>
            </w:r>
          </w:p>
        </w:tc>
        <w:tc>
          <w:tcPr>
            <w:tcW w:w="1341" w:type="dxa"/>
            <w:shd w:val="clear" w:color="auto" w:fill="auto"/>
            <w:vAlign w:val="center"/>
          </w:tcPr>
          <w:p w14:paraId="36FEF14D" w14:textId="77777777" w:rsidR="00651F88" w:rsidRPr="00CC731E" w:rsidRDefault="00651F88" w:rsidP="009D70F4">
            <w:pPr>
              <w:pStyle w:val="List2"/>
              <w:ind w:left="0" w:firstLine="0"/>
              <w:jc w:val="center"/>
              <w:rPr>
                <w:sz w:val="20"/>
              </w:rPr>
            </w:pPr>
            <w:r w:rsidRPr="00CC731E">
              <w:rPr>
                <w:sz w:val="20"/>
              </w:rPr>
              <w:t>A2</w:t>
            </w:r>
          </w:p>
        </w:tc>
        <w:tc>
          <w:tcPr>
            <w:tcW w:w="1458" w:type="dxa"/>
            <w:shd w:val="clear" w:color="auto" w:fill="auto"/>
            <w:vAlign w:val="center"/>
          </w:tcPr>
          <w:p w14:paraId="6D7BF049" w14:textId="77777777" w:rsidR="00651F88" w:rsidRPr="00CC731E" w:rsidRDefault="00651F88" w:rsidP="009D70F4">
            <w:pPr>
              <w:pStyle w:val="List2"/>
              <w:ind w:left="0" w:firstLine="0"/>
              <w:jc w:val="center"/>
              <w:rPr>
                <w:sz w:val="20"/>
              </w:rPr>
            </w:pPr>
            <w:r w:rsidRPr="00CC731E">
              <w:rPr>
                <w:sz w:val="20"/>
              </w:rPr>
              <w:t>$100,000,000</w:t>
            </w:r>
          </w:p>
        </w:tc>
        <w:tc>
          <w:tcPr>
            <w:tcW w:w="1224" w:type="dxa"/>
            <w:shd w:val="clear" w:color="auto" w:fill="auto"/>
            <w:vAlign w:val="center"/>
          </w:tcPr>
          <w:p w14:paraId="46BE0E24" w14:textId="77777777" w:rsidR="00651F88" w:rsidRPr="00CC731E" w:rsidRDefault="00651F88" w:rsidP="009D70F4">
            <w:pPr>
              <w:pStyle w:val="List2"/>
              <w:ind w:left="0" w:firstLine="0"/>
              <w:jc w:val="center"/>
              <w:rPr>
                <w:sz w:val="20"/>
              </w:rPr>
            </w:pPr>
            <w:r w:rsidRPr="00CC731E">
              <w:rPr>
                <w:sz w:val="20"/>
              </w:rPr>
              <w:t>0.00%</w:t>
            </w:r>
          </w:p>
        </w:tc>
        <w:tc>
          <w:tcPr>
            <w:tcW w:w="576" w:type="dxa"/>
            <w:shd w:val="clear" w:color="auto" w:fill="auto"/>
            <w:vAlign w:val="center"/>
          </w:tcPr>
          <w:p w14:paraId="04314B08" w14:textId="77777777" w:rsidR="00651F88" w:rsidRPr="00CC731E" w:rsidRDefault="00651F88" w:rsidP="009D70F4">
            <w:pPr>
              <w:pStyle w:val="List2"/>
              <w:ind w:left="0" w:firstLine="0"/>
              <w:jc w:val="center"/>
              <w:rPr>
                <w:sz w:val="20"/>
              </w:rPr>
            </w:pPr>
            <w:r w:rsidRPr="00CC731E">
              <w:rPr>
                <w:sz w:val="20"/>
              </w:rPr>
              <w:t>to</w:t>
            </w:r>
          </w:p>
        </w:tc>
        <w:tc>
          <w:tcPr>
            <w:tcW w:w="1440" w:type="dxa"/>
            <w:shd w:val="clear" w:color="auto" w:fill="auto"/>
            <w:vAlign w:val="center"/>
          </w:tcPr>
          <w:p w14:paraId="72181E1C" w14:textId="77777777" w:rsidR="00651F88" w:rsidRPr="00CC731E" w:rsidRDefault="00651F88" w:rsidP="009D70F4">
            <w:pPr>
              <w:pStyle w:val="List2"/>
              <w:ind w:left="0" w:firstLine="0"/>
              <w:jc w:val="center"/>
              <w:rPr>
                <w:sz w:val="20"/>
              </w:rPr>
            </w:pPr>
            <w:r w:rsidRPr="00CC731E">
              <w:rPr>
                <w:sz w:val="20"/>
              </w:rPr>
              <w:t>2.35%</w:t>
            </w:r>
          </w:p>
        </w:tc>
      </w:tr>
      <w:tr w:rsidR="00651F88" w:rsidRPr="00CC731E" w14:paraId="0845789B" w14:textId="77777777" w:rsidTr="009D70F4">
        <w:tc>
          <w:tcPr>
            <w:tcW w:w="1341" w:type="dxa"/>
            <w:shd w:val="clear" w:color="auto" w:fill="auto"/>
            <w:vAlign w:val="center"/>
          </w:tcPr>
          <w:p w14:paraId="43D32180" w14:textId="77777777" w:rsidR="00651F88" w:rsidRPr="00CC731E" w:rsidRDefault="00651F88" w:rsidP="009D70F4">
            <w:pPr>
              <w:pStyle w:val="List2"/>
              <w:ind w:left="0" w:firstLine="0"/>
              <w:jc w:val="center"/>
              <w:rPr>
                <w:sz w:val="20"/>
              </w:rPr>
            </w:pPr>
            <w:r w:rsidRPr="00CC731E">
              <w:rPr>
                <w:sz w:val="20"/>
              </w:rPr>
              <w:t>A-</w:t>
            </w:r>
          </w:p>
        </w:tc>
        <w:tc>
          <w:tcPr>
            <w:tcW w:w="1341" w:type="dxa"/>
            <w:shd w:val="clear" w:color="auto" w:fill="auto"/>
            <w:vAlign w:val="center"/>
          </w:tcPr>
          <w:p w14:paraId="15B902B8" w14:textId="77777777" w:rsidR="00651F88" w:rsidRPr="00CC731E" w:rsidRDefault="00651F88" w:rsidP="009D70F4">
            <w:pPr>
              <w:pStyle w:val="List2"/>
              <w:ind w:left="0" w:firstLine="0"/>
              <w:jc w:val="center"/>
              <w:rPr>
                <w:sz w:val="20"/>
              </w:rPr>
            </w:pPr>
            <w:r w:rsidRPr="00CC731E">
              <w:rPr>
                <w:sz w:val="20"/>
              </w:rPr>
              <w:t>A3</w:t>
            </w:r>
          </w:p>
        </w:tc>
        <w:tc>
          <w:tcPr>
            <w:tcW w:w="1458" w:type="dxa"/>
            <w:shd w:val="clear" w:color="auto" w:fill="auto"/>
            <w:vAlign w:val="center"/>
          </w:tcPr>
          <w:p w14:paraId="75AA10CD" w14:textId="77777777" w:rsidR="00651F88" w:rsidRPr="00CC731E" w:rsidRDefault="00651F88" w:rsidP="009D70F4">
            <w:pPr>
              <w:pStyle w:val="List2"/>
              <w:ind w:left="0" w:firstLine="0"/>
              <w:jc w:val="center"/>
              <w:rPr>
                <w:sz w:val="20"/>
              </w:rPr>
            </w:pPr>
            <w:r w:rsidRPr="00CC731E">
              <w:rPr>
                <w:sz w:val="20"/>
              </w:rPr>
              <w:t>$100,000,000</w:t>
            </w:r>
          </w:p>
        </w:tc>
        <w:tc>
          <w:tcPr>
            <w:tcW w:w="1224" w:type="dxa"/>
            <w:shd w:val="clear" w:color="auto" w:fill="auto"/>
            <w:vAlign w:val="center"/>
          </w:tcPr>
          <w:p w14:paraId="18537F03" w14:textId="77777777" w:rsidR="00651F88" w:rsidRPr="00CC731E" w:rsidRDefault="00651F88" w:rsidP="009D70F4">
            <w:pPr>
              <w:pStyle w:val="List2"/>
              <w:ind w:left="0" w:firstLine="0"/>
              <w:jc w:val="center"/>
              <w:rPr>
                <w:sz w:val="20"/>
              </w:rPr>
            </w:pPr>
            <w:r w:rsidRPr="00CC731E">
              <w:rPr>
                <w:sz w:val="20"/>
              </w:rPr>
              <w:t>0.00%</w:t>
            </w:r>
          </w:p>
        </w:tc>
        <w:tc>
          <w:tcPr>
            <w:tcW w:w="576" w:type="dxa"/>
            <w:shd w:val="clear" w:color="auto" w:fill="auto"/>
            <w:vAlign w:val="center"/>
          </w:tcPr>
          <w:p w14:paraId="563C575A" w14:textId="77777777" w:rsidR="00651F88" w:rsidRPr="00CC731E" w:rsidRDefault="00651F88" w:rsidP="009D70F4">
            <w:pPr>
              <w:pStyle w:val="List2"/>
              <w:ind w:left="0" w:firstLine="0"/>
              <w:jc w:val="center"/>
              <w:rPr>
                <w:sz w:val="20"/>
              </w:rPr>
            </w:pPr>
            <w:r w:rsidRPr="00CC731E">
              <w:rPr>
                <w:sz w:val="20"/>
              </w:rPr>
              <w:t>to</w:t>
            </w:r>
          </w:p>
        </w:tc>
        <w:tc>
          <w:tcPr>
            <w:tcW w:w="1440" w:type="dxa"/>
            <w:shd w:val="clear" w:color="auto" w:fill="auto"/>
            <w:vAlign w:val="center"/>
          </w:tcPr>
          <w:p w14:paraId="63EFF98D" w14:textId="77777777" w:rsidR="00651F88" w:rsidRPr="00CC731E" w:rsidRDefault="00651F88" w:rsidP="009D70F4">
            <w:pPr>
              <w:pStyle w:val="List2"/>
              <w:ind w:left="0" w:firstLine="0"/>
              <w:jc w:val="center"/>
              <w:rPr>
                <w:sz w:val="20"/>
              </w:rPr>
            </w:pPr>
            <w:r w:rsidRPr="00CC731E">
              <w:rPr>
                <w:sz w:val="20"/>
              </w:rPr>
              <w:t>2.10%</w:t>
            </w:r>
          </w:p>
        </w:tc>
      </w:tr>
      <w:tr w:rsidR="00651F88" w:rsidRPr="00CC731E" w14:paraId="00D32753" w14:textId="77777777" w:rsidTr="009D70F4">
        <w:tc>
          <w:tcPr>
            <w:tcW w:w="1341" w:type="dxa"/>
            <w:shd w:val="clear" w:color="auto" w:fill="auto"/>
            <w:vAlign w:val="center"/>
          </w:tcPr>
          <w:p w14:paraId="6C3098BD" w14:textId="77777777" w:rsidR="00651F88" w:rsidRPr="00CC731E" w:rsidRDefault="00651F88" w:rsidP="009D70F4">
            <w:pPr>
              <w:pStyle w:val="List2"/>
              <w:ind w:left="0" w:firstLine="0"/>
              <w:jc w:val="center"/>
              <w:rPr>
                <w:sz w:val="20"/>
              </w:rPr>
            </w:pPr>
            <w:r w:rsidRPr="00CC731E">
              <w:rPr>
                <w:sz w:val="20"/>
              </w:rPr>
              <w:t>BBB+</w:t>
            </w:r>
          </w:p>
        </w:tc>
        <w:tc>
          <w:tcPr>
            <w:tcW w:w="1341" w:type="dxa"/>
            <w:shd w:val="clear" w:color="auto" w:fill="auto"/>
            <w:vAlign w:val="center"/>
          </w:tcPr>
          <w:p w14:paraId="1F6080F9" w14:textId="77777777" w:rsidR="00651F88" w:rsidRPr="00CC731E" w:rsidRDefault="00651F88" w:rsidP="009D70F4">
            <w:pPr>
              <w:pStyle w:val="List2"/>
              <w:ind w:left="0" w:firstLine="0"/>
              <w:jc w:val="center"/>
              <w:rPr>
                <w:sz w:val="20"/>
              </w:rPr>
            </w:pPr>
            <w:r w:rsidRPr="00CC731E">
              <w:rPr>
                <w:sz w:val="20"/>
              </w:rPr>
              <w:t>Baa1</w:t>
            </w:r>
          </w:p>
        </w:tc>
        <w:tc>
          <w:tcPr>
            <w:tcW w:w="1458" w:type="dxa"/>
            <w:shd w:val="clear" w:color="auto" w:fill="auto"/>
            <w:vAlign w:val="center"/>
          </w:tcPr>
          <w:p w14:paraId="5440A31A" w14:textId="77777777" w:rsidR="00651F88" w:rsidRPr="00CC731E" w:rsidRDefault="00651F88" w:rsidP="009D70F4">
            <w:pPr>
              <w:pStyle w:val="List2"/>
              <w:ind w:left="0" w:firstLine="0"/>
              <w:jc w:val="center"/>
              <w:rPr>
                <w:sz w:val="20"/>
              </w:rPr>
            </w:pPr>
            <w:r w:rsidRPr="00CC731E">
              <w:rPr>
                <w:sz w:val="20"/>
              </w:rPr>
              <w:t>$100,000,000</w:t>
            </w:r>
          </w:p>
        </w:tc>
        <w:tc>
          <w:tcPr>
            <w:tcW w:w="1224" w:type="dxa"/>
            <w:shd w:val="clear" w:color="auto" w:fill="auto"/>
            <w:vAlign w:val="center"/>
          </w:tcPr>
          <w:p w14:paraId="4EBE03B2" w14:textId="77777777" w:rsidR="00651F88" w:rsidRPr="00CC731E" w:rsidRDefault="00651F88" w:rsidP="009D70F4">
            <w:pPr>
              <w:pStyle w:val="List2"/>
              <w:ind w:left="0" w:firstLine="0"/>
              <w:jc w:val="center"/>
              <w:rPr>
                <w:sz w:val="20"/>
              </w:rPr>
            </w:pPr>
            <w:r w:rsidRPr="00CC731E">
              <w:rPr>
                <w:sz w:val="20"/>
              </w:rPr>
              <w:t>0.00%</w:t>
            </w:r>
          </w:p>
        </w:tc>
        <w:tc>
          <w:tcPr>
            <w:tcW w:w="576" w:type="dxa"/>
            <w:shd w:val="clear" w:color="auto" w:fill="auto"/>
            <w:vAlign w:val="center"/>
          </w:tcPr>
          <w:p w14:paraId="6AA0A90A" w14:textId="77777777" w:rsidR="00651F88" w:rsidRPr="00CC731E" w:rsidRDefault="00651F88" w:rsidP="009D70F4">
            <w:pPr>
              <w:pStyle w:val="List2"/>
              <w:ind w:left="0" w:firstLine="0"/>
              <w:jc w:val="center"/>
              <w:rPr>
                <w:sz w:val="20"/>
              </w:rPr>
            </w:pPr>
            <w:r w:rsidRPr="00CC731E">
              <w:rPr>
                <w:sz w:val="20"/>
              </w:rPr>
              <w:t>to</w:t>
            </w:r>
          </w:p>
        </w:tc>
        <w:tc>
          <w:tcPr>
            <w:tcW w:w="1440" w:type="dxa"/>
            <w:shd w:val="clear" w:color="auto" w:fill="auto"/>
            <w:vAlign w:val="center"/>
          </w:tcPr>
          <w:p w14:paraId="3081DB9F" w14:textId="77777777" w:rsidR="00651F88" w:rsidRPr="00CC731E" w:rsidRDefault="00651F88" w:rsidP="009D70F4">
            <w:pPr>
              <w:pStyle w:val="List2"/>
              <w:ind w:left="0" w:firstLine="0"/>
              <w:jc w:val="center"/>
              <w:rPr>
                <w:sz w:val="20"/>
              </w:rPr>
            </w:pPr>
            <w:r w:rsidRPr="00CC731E">
              <w:rPr>
                <w:sz w:val="20"/>
              </w:rPr>
              <w:t>1.80%</w:t>
            </w:r>
          </w:p>
        </w:tc>
      </w:tr>
      <w:tr w:rsidR="00651F88" w:rsidRPr="00CC731E" w14:paraId="42B48D55" w14:textId="77777777" w:rsidTr="009D70F4">
        <w:tc>
          <w:tcPr>
            <w:tcW w:w="1341" w:type="dxa"/>
            <w:shd w:val="clear" w:color="auto" w:fill="auto"/>
            <w:vAlign w:val="center"/>
          </w:tcPr>
          <w:p w14:paraId="3F985659" w14:textId="77777777" w:rsidR="00651F88" w:rsidRPr="00CC731E" w:rsidRDefault="00651F88" w:rsidP="009D70F4">
            <w:pPr>
              <w:pStyle w:val="List2"/>
              <w:ind w:left="0" w:firstLine="0"/>
              <w:jc w:val="center"/>
              <w:rPr>
                <w:sz w:val="20"/>
              </w:rPr>
            </w:pPr>
            <w:r w:rsidRPr="00CC731E">
              <w:rPr>
                <w:sz w:val="20"/>
              </w:rPr>
              <w:t>BBB</w:t>
            </w:r>
          </w:p>
        </w:tc>
        <w:tc>
          <w:tcPr>
            <w:tcW w:w="1341" w:type="dxa"/>
            <w:shd w:val="clear" w:color="auto" w:fill="auto"/>
            <w:vAlign w:val="center"/>
          </w:tcPr>
          <w:p w14:paraId="52355AD7" w14:textId="77777777" w:rsidR="00651F88" w:rsidRPr="00CC731E" w:rsidRDefault="00651F88" w:rsidP="009D70F4">
            <w:pPr>
              <w:pStyle w:val="List2"/>
              <w:ind w:left="0" w:firstLine="0"/>
              <w:jc w:val="center"/>
              <w:rPr>
                <w:sz w:val="20"/>
              </w:rPr>
            </w:pPr>
            <w:r w:rsidRPr="00CC731E">
              <w:rPr>
                <w:sz w:val="20"/>
              </w:rPr>
              <w:t>Baa2</w:t>
            </w:r>
          </w:p>
        </w:tc>
        <w:tc>
          <w:tcPr>
            <w:tcW w:w="1458" w:type="dxa"/>
            <w:shd w:val="clear" w:color="auto" w:fill="auto"/>
            <w:vAlign w:val="center"/>
          </w:tcPr>
          <w:p w14:paraId="63EACC7C" w14:textId="77777777" w:rsidR="00651F88" w:rsidRPr="00CC731E" w:rsidRDefault="00651F88" w:rsidP="009D70F4">
            <w:pPr>
              <w:pStyle w:val="List2"/>
              <w:ind w:left="0" w:firstLine="0"/>
              <w:jc w:val="center"/>
              <w:rPr>
                <w:sz w:val="20"/>
              </w:rPr>
            </w:pPr>
            <w:r w:rsidRPr="00CC731E">
              <w:rPr>
                <w:sz w:val="20"/>
              </w:rPr>
              <w:t>$100,000,000</w:t>
            </w:r>
          </w:p>
        </w:tc>
        <w:tc>
          <w:tcPr>
            <w:tcW w:w="1224" w:type="dxa"/>
            <w:shd w:val="clear" w:color="auto" w:fill="auto"/>
            <w:vAlign w:val="center"/>
          </w:tcPr>
          <w:p w14:paraId="41B39DD8" w14:textId="77777777" w:rsidR="00651F88" w:rsidRPr="00CC731E" w:rsidRDefault="00651F88" w:rsidP="009D70F4">
            <w:pPr>
              <w:pStyle w:val="List2"/>
              <w:ind w:left="0" w:firstLine="0"/>
              <w:jc w:val="center"/>
              <w:rPr>
                <w:sz w:val="20"/>
              </w:rPr>
            </w:pPr>
            <w:r w:rsidRPr="00CC731E">
              <w:rPr>
                <w:sz w:val="20"/>
              </w:rPr>
              <w:t>0.00%</w:t>
            </w:r>
          </w:p>
        </w:tc>
        <w:tc>
          <w:tcPr>
            <w:tcW w:w="576" w:type="dxa"/>
            <w:shd w:val="clear" w:color="auto" w:fill="auto"/>
            <w:vAlign w:val="center"/>
          </w:tcPr>
          <w:p w14:paraId="22BB376B" w14:textId="77777777" w:rsidR="00651F88" w:rsidRPr="00CC731E" w:rsidRDefault="00651F88" w:rsidP="009D70F4">
            <w:pPr>
              <w:pStyle w:val="List2"/>
              <w:ind w:left="0" w:firstLine="0"/>
              <w:jc w:val="center"/>
              <w:rPr>
                <w:sz w:val="20"/>
              </w:rPr>
            </w:pPr>
            <w:r w:rsidRPr="00CC731E">
              <w:rPr>
                <w:sz w:val="20"/>
              </w:rPr>
              <w:t>to</w:t>
            </w:r>
          </w:p>
        </w:tc>
        <w:tc>
          <w:tcPr>
            <w:tcW w:w="1440" w:type="dxa"/>
            <w:shd w:val="clear" w:color="auto" w:fill="auto"/>
            <w:vAlign w:val="center"/>
          </w:tcPr>
          <w:p w14:paraId="0349D672" w14:textId="77777777" w:rsidR="00651F88" w:rsidRPr="00CC731E" w:rsidRDefault="00651F88" w:rsidP="009D70F4">
            <w:pPr>
              <w:pStyle w:val="List2"/>
              <w:ind w:left="0" w:firstLine="0"/>
              <w:jc w:val="center"/>
              <w:rPr>
                <w:sz w:val="20"/>
              </w:rPr>
            </w:pPr>
            <w:r w:rsidRPr="00CC731E">
              <w:rPr>
                <w:sz w:val="20"/>
              </w:rPr>
              <w:t>1.40%</w:t>
            </w:r>
          </w:p>
        </w:tc>
      </w:tr>
      <w:tr w:rsidR="00651F88" w:rsidRPr="00CC731E" w14:paraId="0845EDC7" w14:textId="77777777" w:rsidTr="009D70F4">
        <w:tc>
          <w:tcPr>
            <w:tcW w:w="1341" w:type="dxa"/>
            <w:shd w:val="clear" w:color="auto" w:fill="auto"/>
            <w:vAlign w:val="center"/>
          </w:tcPr>
          <w:p w14:paraId="239EDF62" w14:textId="77777777" w:rsidR="00651F88" w:rsidRPr="00CC731E" w:rsidRDefault="00651F88" w:rsidP="009D70F4">
            <w:pPr>
              <w:pStyle w:val="List2"/>
              <w:ind w:left="0" w:firstLine="0"/>
              <w:jc w:val="center"/>
              <w:rPr>
                <w:sz w:val="20"/>
              </w:rPr>
            </w:pPr>
            <w:r w:rsidRPr="00CC731E">
              <w:rPr>
                <w:sz w:val="20"/>
              </w:rPr>
              <w:t>BBB-</w:t>
            </w:r>
          </w:p>
        </w:tc>
        <w:tc>
          <w:tcPr>
            <w:tcW w:w="1341" w:type="dxa"/>
            <w:shd w:val="clear" w:color="auto" w:fill="auto"/>
            <w:vAlign w:val="center"/>
          </w:tcPr>
          <w:p w14:paraId="20EC737E" w14:textId="77777777" w:rsidR="00651F88" w:rsidRPr="00CC731E" w:rsidRDefault="00651F88" w:rsidP="009D70F4">
            <w:pPr>
              <w:pStyle w:val="List2"/>
              <w:ind w:left="0" w:firstLine="0"/>
              <w:jc w:val="center"/>
              <w:rPr>
                <w:sz w:val="20"/>
              </w:rPr>
            </w:pPr>
            <w:r w:rsidRPr="00CC731E">
              <w:rPr>
                <w:sz w:val="20"/>
              </w:rPr>
              <w:t>Baa3</w:t>
            </w:r>
          </w:p>
        </w:tc>
        <w:tc>
          <w:tcPr>
            <w:tcW w:w="1458" w:type="dxa"/>
            <w:shd w:val="clear" w:color="auto" w:fill="auto"/>
            <w:vAlign w:val="center"/>
          </w:tcPr>
          <w:p w14:paraId="2A1767CA" w14:textId="77777777" w:rsidR="00651F88" w:rsidRPr="00CC731E" w:rsidRDefault="00651F88" w:rsidP="009D70F4">
            <w:pPr>
              <w:pStyle w:val="List2"/>
              <w:ind w:left="0" w:firstLine="0"/>
              <w:jc w:val="center"/>
              <w:rPr>
                <w:sz w:val="20"/>
              </w:rPr>
            </w:pPr>
            <w:r w:rsidRPr="00CC731E">
              <w:rPr>
                <w:sz w:val="20"/>
              </w:rPr>
              <w:t>$100,000,000</w:t>
            </w:r>
          </w:p>
        </w:tc>
        <w:tc>
          <w:tcPr>
            <w:tcW w:w="1224" w:type="dxa"/>
            <w:shd w:val="clear" w:color="auto" w:fill="auto"/>
            <w:vAlign w:val="center"/>
          </w:tcPr>
          <w:p w14:paraId="5EF58101" w14:textId="77777777" w:rsidR="00651F88" w:rsidRPr="00CC731E" w:rsidRDefault="00651F88" w:rsidP="009D70F4">
            <w:pPr>
              <w:pStyle w:val="List2"/>
              <w:ind w:left="0" w:firstLine="0"/>
              <w:jc w:val="center"/>
              <w:rPr>
                <w:sz w:val="20"/>
              </w:rPr>
            </w:pPr>
            <w:r w:rsidRPr="00CC731E">
              <w:rPr>
                <w:sz w:val="20"/>
              </w:rPr>
              <w:t>0.00%</w:t>
            </w:r>
          </w:p>
        </w:tc>
        <w:tc>
          <w:tcPr>
            <w:tcW w:w="576" w:type="dxa"/>
            <w:shd w:val="clear" w:color="auto" w:fill="auto"/>
            <w:vAlign w:val="center"/>
          </w:tcPr>
          <w:p w14:paraId="0B62EE4A" w14:textId="77777777" w:rsidR="00651F88" w:rsidRPr="00CC731E" w:rsidRDefault="00651F88" w:rsidP="009D70F4">
            <w:pPr>
              <w:pStyle w:val="List2"/>
              <w:ind w:left="0" w:firstLine="0"/>
              <w:jc w:val="center"/>
              <w:rPr>
                <w:sz w:val="20"/>
              </w:rPr>
            </w:pPr>
            <w:r w:rsidRPr="00CC731E">
              <w:rPr>
                <w:sz w:val="20"/>
              </w:rPr>
              <w:t>to</w:t>
            </w:r>
          </w:p>
        </w:tc>
        <w:tc>
          <w:tcPr>
            <w:tcW w:w="1440" w:type="dxa"/>
            <w:shd w:val="clear" w:color="auto" w:fill="auto"/>
            <w:vAlign w:val="center"/>
          </w:tcPr>
          <w:p w14:paraId="6D5C4813" w14:textId="77777777" w:rsidR="00651F88" w:rsidRPr="00CC731E" w:rsidRDefault="00651F88" w:rsidP="009D70F4">
            <w:pPr>
              <w:pStyle w:val="List2"/>
              <w:ind w:left="0" w:firstLine="0"/>
              <w:jc w:val="center"/>
              <w:rPr>
                <w:sz w:val="20"/>
              </w:rPr>
            </w:pPr>
            <w:r w:rsidRPr="00CC731E">
              <w:rPr>
                <w:sz w:val="20"/>
              </w:rPr>
              <w:t>0.70%</w:t>
            </w:r>
          </w:p>
        </w:tc>
      </w:tr>
      <w:tr w:rsidR="00651F88" w:rsidRPr="00CC731E" w14:paraId="19E638A9" w14:textId="77777777" w:rsidTr="009D70F4">
        <w:tc>
          <w:tcPr>
            <w:tcW w:w="1341" w:type="dxa"/>
            <w:shd w:val="clear" w:color="auto" w:fill="auto"/>
            <w:vAlign w:val="center"/>
          </w:tcPr>
          <w:p w14:paraId="7DBF9BEB" w14:textId="77777777" w:rsidR="00651F88" w:rsidRPr="00CC731E" w:rsidRDefault="00651F88" w:rsidP="009D70F4">
            <w:pPr>
              <w:pStyle w:val="List2"/>
              <w:ind w:left="0" w:firstLine="0"/>
              <w:jc w:val="center"/>
              <w:rPr>
                <w:sz w:val="20"/>
              </w:rPr>
            </w:pPr>
            <w:r w:rsidRPr="00CC731E">
              <w:rPr>
                <w:sz w:val="20"/>
              </w:rPr>
              <w:t>Below BBB-</w:t>
            </w:r>
          </w:p>
        </w:tc>
        <w:tc>
          <w:tcPr>
            <w:tcW w:w="1341" w:type="dxa"/>
            <w:shd w:val="clear" w:color="auto" w:fill="auto"/>
            <w:vAlign w:val="center"/>
          </w:tcPr>
          <w:p w14:paraId="3ACD8227" w14:textId="77777777" w:rsidR="00651F88" w:rsidRPr="00CC731E" w:rsidRDefault="00651F88" w:rsidP="009D70F4">
            <w:pPr>
              <w:pStyle w:val="List2"/>
              <w:ind w:left="0" w:firstLine="0"/>
              <w:jc w:val="center"/>
              <w:rPr>
                <w:sz w:val="20"/>
              </w:rPr>
            </w:pPr>
            <w:r w:rsidRPr="00CC731E">
              <w:rPr>
                <w:sz w:val="20"/>
              </w:rPr>
              <w:t>Below Baa3</w:t>
            </w:r>
          </w:p>
        </w:tc>
        <w:tc>
          <w:tcPr>
            <w:tcW w:w="1458" w:type="dxa"/>
            <w:shd w:val="clear" w:color="auto" w:fill="auto"/>
            <w:vAlign w:val="center"/>
          </w:tcPr>
          <w:p w14:paraId="7906EEB4" w14:textId="77777777" w:rsidR="00651F88" w:rsidRPr="00CC731E" w:rsidRDefault="00651F88" w:rsidP="009D70F4">
            <w:pPr>
              <w:pStyle w:val="List2"/>
              <w:ind w:left="0" w:firstLine="0"/>
              <w:jc w:val="center"/>
              <w:rPr>
                <w:sz w:val="20"/>
              </w:rPr>
            </w:pPr>
            <w:r w:rsidRPr="00CC731E">
              <w:rPr>
                <w:sz w:val="20"/>
              </w:rPr>
              <w:t>$100,000,000</w:t>
            </w:r>
          </w:p>
        </w:tc>
        <w:tc>
          <w:tcPr>
            <w:tcW w:w="3240" w:type="dxa"/>
            <w:gridSpan w:val="3"/>
            <w:shd w:val="clear" w:color="auto" w:fill="auto"/>
            <w:vAlign w:val="center"/>
          </w:tcPr>
          <w:p w14:paraId="1A0055BF" w14:textId="77777777" w:rsidR="00651F88" w:rsidRPr="00CC731E" w:rsidRDefault="00651F88" w:rsidP="009D70F4">
            <w:pPr>
              <w:pStyle w:val="List2"/>
              <w:ind w:left="0" w:firstLine="0"/>
              <w:jc w:val="center"/>
              <w:rPr>
                <w:sz w:val="20"/>
              </w:rPr>
            </w:pPr>
            <w:r w:rsidRPr="00CC731E">
              <w:rPr>
                <w:sz w:val="20"/>
              </w:rPr>
              <w:t>Requires Security</w:t>
            </w:r>
          </w:p>
        </w:tc>
      </w:tr>
    </w:tbl>
    <w:p w14:paraId="30186EAE" w14:textId="77777777" w:rsidR="00651F88" w:rsidRPr="00CC731E" w:rsidRDefault="00651F88" w:rsidP="00651F88">
      <w:pPr>
        <w:pStyle w:val="List"/>
        <w:spacing w:before="240"/>
        <w:ind w:left="2160"/>
      </w:pPr>
      <w:r w:rsidRPr="00CC731E">
        <w:t>(i)</w:t>
      </w:r>
      <w:r w:rsidRPr="00CC731E">
        <w:tab/>
        <w:t>If a Counter-Party’s or guarantor’s debt is rated by more than one of the referenced rating agencies and all ratings fall within ratings categories which are functional equivalents, ERCOT shall assign an Unsecured Credit Limit or allow a guarantee for amounts within the range for that rating.</w:t>
      </w:r>
    </w:p>
    <w:p w14:paraId="345AE766" w14:textId="77777777" w:rsidR="00651F88" w:rsidRPr="00CC731E" w:rsidRDefault="00651F88" w:rsidP="00651F88">
      <w:pPr>
        <w:pStyle w:val="List"/>
        <w:ind w:left="2160"/>
      </w:pPr>
      <w:r w:rsidRPr="00CC731E">
        <w:t>(ii)</w:t>
      </w:r>
      <w:r w:rsidRPr="00CC731E">
        <w:tab/>
        <w:t>If a Counter-Party’s or guarantor’s debt is rated by more than one of the referenced ratings agencies and the ratings fall within different rating categories which are not functional equivalents, ERCOT shall assign an Unsecured Credit Limit or allow a gu</w:t>
      </w:r>
      <w:r>
        <w:t>a</w:t>
      </w:r>
      <w:r w:rsidRPr="00CC731E">
        <w:t>rantee for amounts as follows:</w:t>
      </w:r>
    </w:p>
    <w:p w14:paraId="1E6BF3E5" w14:textId="77777777" w:rsidR="00651F88" w:rsidRPr="00CC731E" w:rsidRDefault="00651F88" w:rsidP="00651F88">
      <w:pPr>
        <w:pStyle w:val="List"/>
        <w:ind w:left="2880"/>
      </w:pPr>
      <w:r w:rsidRPr="00CC731E">
        <w:t>(A)</w:t>
      </w:r>
      <w:r w:rsidRPr="00CC731E">
        <w:tab/>
        <w:t>If there are three ratings and two of the three are functional equivalents, within the range where two of the three apply;</w:t>
      </w:r>
    </w:p>
    <w:p w14:paraId="2E7868BE" w14:textId="77777777" w:rsidR="00651F88" w:rsidRPr="00CC731E" w:rsidRDefault="00651F88" w:rsidP="00651F88">
      <w:pPr>
        <w:pStyle w:val="List"/>
        <w:ind w:left="2880"/>
      </w:pPr>
      <w:r w:rsidRPr="00CC731E">
        <w:t>(B)</w:t>
      </w:r>
      <w:r w:rsidRPr="00CC731E">
        <w:tab/>
        <w:t>If there are three ratings and all three are different, within the range where the average of the three ratings apply (rounded down); and</w:t>
      </w:r>
    </w:p>
    <w:p w14:paraId="5C56FE9D" w14:textId="77777777" w:rsidR="00651F88" w:rsidRPr="00CC731E" w:rsidRDefault="00651F88" w:rsidP="00651F88">
      <w:pPr>
        <w:pStyle w:val="List"/>
        <w:ind w:left="2880"/>
      </w:pPr>
      <w:r w:rsidRPr="00CC731E">
        <w:t>(C)</w:t>
      </w:r>
      <w:r w:rsidRPr="00CC731E">
        <w:tab/>
        <w:t>If there are two ratings and the two are different, within the range of the lower of the two.</w:t>
      </w:r>
    </w:p>
    <w:p w14:paraId="1072B2B7" w14:textId="77777777" w:rsidR="00651F88" w:rsidRPr="00CC731E" w:rsidRDefault="00651F88" w:rsidP="00651F88">
      <w:pPr>
        <w:pStyle w:val="List2"/>
      </w:pPr>
      <w:r>
        <w:t>(iii)</w:t>
      </w:r>
      <w:r>
        <w:tab/>
      </w:r>
      <w:r w:rsidRPr="00CC731E">
        <w:t>ERCOT shall utilize annual financial data only for the assessment for those ECs</w:t>
      </w:r>
      <w:r>
        <w:t xml:space="preserve"> and MOUs</w:t>
      </w:r>
      <w:r w:rsidRPr="00CC731E">
        <w:t xml:space="preserve"> that fall within the scope of this </w:t>
      </w:r>
      <w:r>
        <w:t>s</w:t>
      </w:r>
      <w:r w:rsidRPr="00CC731E">
        <w:t>ubsection.</w:t>
      </w:r>
    </w:p>
    <w:p w14:paraId="1B3EDC9E" w14:textId="77777777" w:rsidR="00651F88" w:rsidRPr="00CC731E" w:rsidRDefault="00651F88" w:rsidP="00651F88">
      <w:pPr>
        <w:pStyle w:val="List"/>
        <w:ind w:left="2160"/>
      </w:pPr>
      <w:r w:rsidRPr="00CC731E">
        <w:t>(</w:t>
      </w:r>
      <w:r>
        <w:t>iv</w:t>
      </w:r>
      <w:r w:rsidRPr="00CC731E">
        <w:t>)</w:t>
      </w:r>
      <w:r w:rsidRPr="00CC731E">
        <w:tab/>
        <w:t>The amount of the Unsecured Credit Limit established within the range in the table above is at the discretion of ERCOT if the stated criteria are met.</w:t>
      </w:r>
    </w:p>
    <w:p w14:paraId="55A24D79" w14:textId="77777777" w:rsidR="00651F88" w:rsidRPr="00CC731E" w:rsidRDefault="00651F88" w:rsidP="00651F88">
      <w:pPr>
        <w:pStyle w:val="List"/>
      </w:pPr>
      <w:r w:rsidRPr="00CC731E">
        <w:lastRenderedPageBreak/>
        <w:t>(d)</w:t>
      </w:r>
      <w:r w:rsidRPr="00CC731E">
        <w:tab/>
        <w:t xml:space="preserve">If the Counter-Party is a privately held company that is not publicly rated by S&amp;P, Fitch or Moody’s, subject to its providing ERCOT with financial statements as specified in paragraph (1) of Section 16.11.5, Monitoring of a Counter-Party’s Creditworthiness and Credit Exposure by ERCOT, the Unsecured Credit Limit </w:t>
      </w:r>
      <w:r>
        <w:t>s</w:t>
      </w:r>
      <w:r w:rsidRPr="00CC731E">
        <w:t>hall be set with</w:t>
      </w:r>
      <w:r>
        <w:t>in</w:t>
      </w:r>
      <w:r w:rsidRPr="00CC731E">
        <w:t xml:space="preserve"> </w:t>
      </w:r>
      <w:r>
        <w:t xml:space="preserve">the </w:t>
      </w:r>
      <w:r w:rsidRPr="00CC731E">
        <w:t xml:space="preserve">range defined in the following table: </w:t>
      </w:r>
    </w:p>
    <w:tbl>
      <w:tblPr>
        <w:tblW w:w="7984"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1440"/>
        <w:gridCol w:w="1468"/>
        <w:gridCol w:w="782"/>
        <w:gridCol w:w="576"/>
        <w:gridCol w:w="748"/>
      </w:tblGrid>
      <w:tr w:rsidR="00651F88" w:rsidRPr="00CC731E" w14:paraId="30288B5C" w14:textId="77777777" w:rsidTr="009D70F4">
        <w:tc>
          <w:tcPr>
            <w:tcW w:w="1530" w:type="dxa"/>
            <w:shd w:val="clear" w:color="auto" w:fill="BFBFBF"/>
            <w:vAlign w:val="center"/>
          </w:tcPr>
          <w:p w14:paraId="4E82FE03" w14:textId="77777777" w:rsidR="00651F88" w:rsidRPr="00CC731E" w:rsidRDefault="00651F88" w:rsidP="009D70F4">
            <w:pPr>
              <w:pStyle w:val="List2"/>
              <w:ind w:left="0" w:firstLine="0"/>
              <w:jc w:val="center"/>
              <w:rPr>
                <w:sz w:val="20"/>
              </w:rPr>
            </w:pPr>
            <w:r w:rsidRPr="00CC731E">
              <w:rPr>
                <w:sz w:val="20"/>
              </w:rPr>
              <w:t>If Counter-Party has</w:t>
            </w:r>
          </w:p>
        </w:tc>
        <w:tc>
          <w:tcPr>
            <w:tcW w:w="1440" w:type="dxa"/>
            <w:shd w:val="clear" w:color="auto" w:fill="BFBFBF"/>
            <w:vAlign w:val="center"/>
          </w:tcPr>
          <w:p w14:paraId="125797E1" w14:textId="77777777" w:rsidR="00651F88" w:rsidRPr="00CC731E" w:rsidRDefault="00651F88" w:rsidP="009D70F4">
            <w:pPr>
              <w:pStyle w:val="List2"/>
              <w:ind w:left="0" w:firstLine="0"/>
              <w:jc w:val="center"/>
              <w:rPr>
                <w:sz w:val="20"/>
              </w:rPr>
            </w:pPr>
            <w:r w:rsidRPr="00CC731E">
              <w:rPr>
                <w:sz w:val="20"/>
              </w:rPr>
              <w:t>And</w:t>
            </w:r>
          </w:p>
        </w:tc>
        <w:tc>
          <w:tcPr>
            <w:tcW w:w="1440" w:type="dxa"/>
            <w:shd w:val="clear" w:color="auto" w:fill="BFBFBF"/>
            <w:vAlign w:val="center"/>
          </w:tcPr>
          <w:p w14:paraId="456A3D99" w14:textId="77777777" w:rsidR="00651F88" w:rsidRPr="00CC731E" w:rsidRDefault="00651F88" w:rsidP="009D70F4">
            <w:pPr>
              <w:pStyle w:val="List2"/>
              <w:ind w:left="0" w:firstLine="0"/>
              <w:jc w:val="center"/>
              <w:rPr>
                <w:sz w:val="20"/>
              </w:rPr>
            </w:pPr>
            <w:r w:rsidRPr="00CC731E">
              <w:rPr>
                <w:sz w:val="20"/>
              </w:rPr>
              <w:t>And</w:t>
            </w:r>
          </w:p>
        </w:tc>
        <w:tc>
          <w:tcPr>
            <w:tcW w:w="1468" w:type="dxa"/>
            <w:shd w:val="clear" w:color="auto" w:fill="BFBFBF"/>
            <w:vAlign w:val="center"/>
          </w:tcPr>
          <w:p w14:paraId="17C9EC87" w14:textId="77777777" w:rsidR="00651F88" w:rsidRPr="00CC731E" w:rsidRDefault="00651F88" w:rsidP="009D70F4">
            <w:pPr>
              <w:pStyle w:val="List2"/>
              <w:ind w:left="0" w:firstLine="0"/>
              <w:jc w:val="center"/>
              <w:rPr>
                <w:sz w:val="20"/>
              </w:rPr>
            </w:pPr>
            <w:r w:rsidRPr="00CC731E">
              <w:rPr>
                <w:sz w:val="20"/>
              </w:rPr>
              <w:t>And</w:t>
            </w:r>
          </w:p>
        </w:tc>
        <w:tc>
          <w:tcPr>
            <w:tcW w:w="2106" w:type="dxa"/>
            <w:gridSpan w:val="3"/>
            <w:shd w:val="clear" w:color="auto" w:fill="BFBFBF"/>
            <w:vAlign w:val="center"/>
          </w:tcPr>
          <w:p w14:paraId="3883B7A2" w14:textId="77777777" w:rsidR="00651F88" w:rsidRPr="00CC731E" w:rsidRDefault="00651F88" w:rsidP="009D70F4">
            <w:pPr>
              <w:pStyle w:val="List2"/>
              <w:ind w:left="0" w:firstLine="0"/>
              <w:jc w:val="center"/>
              <w:rPr>
                <w:sz w:val="20"/>
              </w:rPr>
            </w:pPr>
            <w:r w:rsidRPr="00CC731E">
              <w:rPr>
                <w:sz w:val="20"/>
              </w:rPr>
              <w:t>Then</w:t>
            </w:r>
          </w:p>
        </w:tc>
      </w:tr>
      <w:tr w:rsidR="00651F88" w:rsidRPr="00CC731E" w14:paraId="7D936ADB" w14:textId="77777777" w:rsidTr="009D70F4">
        <w:tc>
          <w:tcPr>
            <w:tcW w:w="1530" w:type="dxa"/>
            <w:shd w:val="clear" w:color="auto" w:fill="BFBFBF"/>
            <w:vAlign w:val="center"/>
          </w:tcPr>
          <w:p w14:paraId="1E77032B" w14:textId="77777777" w:rsidR="00651F88" w:rsidRPr="00CC731E" w:rsidRDefault="00651F88" w:rsidP="009D70F4">
            <w:pPr>
              <w:pStyle w:val="List2"/>
              <w:ind w:left="0" w:firstLine="0"/>
              <w:jc w:val="center"/>
              <w:rPr>
                <w:sz w:val="20"/>
              </w:rPr>
            </w:pPr>
            <w:r w:rsidRPr="00CC731E">
              <w:rPr>
                <w:sz w:val="20"/>
              </w:rPr>
              <w:t>Tangible Net Worth</w:t>
            </w:r>
          </w:p>
        </w:tc>
        <w:tc>
          <w:tcPr>
            <w:tcW w:w="1440" w:type="dxa"/>
            <w:shd w:val="clear" w:color="auto" w:fill="BFBFBF"/>
            <w:vAlign w:val="center"/>
          </w:tcPr>
          <w:p w14:paraId="56C14BAE" w14:textId="77777777" w:rsidR="00651F88" w:rsidRPr="00CC731E" w:rsidRDefault="00651F88" w:rsidP="009D70F4">
            <w:pPr>
              <w:pStyle w:val="List2"/>
              <w:ind w:left="0" w:firstLine="0"/>
              <w:jc w:val="center"/>
              <w:rPr>
                <w:sz w:val="20"/>
              </w:rPr>
            </w:pPr>
            <w:r w:rsidRPr="00CC731E">
              <w:rPr>
                <w:sz w:val="20"/>
              </w:rPr>
              <w:t>Minimum Current Ratio</w:t>
            </w:r>
          </w:p>
        </w:tc>
        <w:tc>
          <w:tcPr>
            <w:tcW w:w="1440" w:type="dxa"/>
            <w:shd w:val="clear" w:color="auto" w:fill="BFBFBF"/>
            <w:vAlign w:val="center"/>
          </w:tcPr>
          <w:p w14:paraId="508141DA" w14:textId="77777777" w:rsidR="00651F88" w:rsidRPr="00CC731E" w:rsidRDefault="00651F88" w:rsidP="009D70F4">
            <w:pPr>
              <w:pStyle w:val="List2"/>
              <w:ind w:left="0" w:firstLine="0"/>
              <w:jc w:val="center"/>
              <w:rPr>
                <w:sz w:val="20"/>
              </w:rPr>
            </w:pPr>
            <w:r w:rsidRPr="00CC731E">
              <w:rPr>
                <w:sz w:val="20"/>
              </w:rPr>
              <w:t xml:space="preserve">Maximum Debt to Total Capitalization Ratio </w:t>
            </w:r>
          </w:p>
        </w:tc>
        <w:tc>
          <w:tcPr>
            <w:tcW w:w="1468" w:type="dxa"/>
            <w:shd w:val="clear" w:color="auto" w:fill="BFBFBF"/>
            <w:vAlign w:val="center"/>
          </w:tcPr>
          <w:p w14:paraId="09C83AC4" w14:textId="77777777" w:rsidR="00651F88" w:rsidRPr="00CC731E" w:rsidRDefault="00651F88" w:rsidP="009D70F4">
            <w:pPr>
              <w:pStyle w:val="List2"/>
              <w:ind w:left="0" w:firstLine="0"/>
              <w:jc w:val="center"/>
              <w:rPr>
                <w:sz w:val="20"/>
              </w:rPr>
            </w:pPr>
            <w:r w:rsidRPr="00CC731E">
              <w:rPr>
                <w:sz w:val="20"/>
              </w:rPr>
              <w:t>Minimum EBITDA to Interest and CMLTD</w:t>
            </w:r>
          </w:p>
        </w:tc>
        <w:tc>
          <w:tcPr>
            <w:tcW w:w="2106" w:type="dxa"/>
            <w:gridSpan w:val="3"/>
            <w:shd w:val="clear" w:color="auto" w:fill="BFBFBF"/>
            <w:vAlign w:val="center"/>
          </w:tcPr>
          <w:p w14:paraId="61831A43" w14:textId="77777777" w:rsidR="00651F88" w:rsidRPr="00CC731E" w:rsidRDefault="00651F88" w:rsidP="009D70F4">
            <w:pPr>
              <w:pStyle w:val="List2"/>
              <w:ind w:left="0" w:firstLine="0"/>
              <w:jc w:val="center"/>
              <w:rPr>
                <w:sz w:val="20"/>
              </w:rPr>
            </w:pPr>
            <w:r w:rsidRPr="00CC731E">
              <w:rPr>
                <w:sz w:val="20"/>
              </w:rPr>
              <w:t>Maximum Unsecured Credit Limit as a percentage of Tangible Net Worth</w:t>
            </w:r>
          </w:p>
        </w:tc>
      </w:tr>
      <w:tr w:rsidR="00651F88" w:rsidRPr="00CC731E" w14:paraId="7ABA07DC" w14:textId="77777777" w:rsidTr="009D70F4">
        <w:tc>
          <w:tcPr>
            <w:tcW w:w="1530" w:type="dxa"/>
            <w:shd w:val="clear" w:color="auto" w:fill="auto"/>
            <w:vAlign w:val="center"/>
          </w:tcPr>
          <w:p w14:paraId="1B7750B1" w14:textId="77777777" w:rsidR="00651F88" w:rsidRPr="00CC731E" w:rsidRDefault="00651F88" w:rsidP="009D70F4">
            <w:pPr>
              <w:pStyle w:val="List2"/>
              <w:ind w:left="0" w:firstLine="0"/>
              <w:jc w:val="center"/>
              <w:rPr>
                <w:sz w:val="20"/>
              </w:rPr>
            </w:pPr>
            <w:r w:rsidRPr="00CC731E">
              <w:rPr>
                <w:sz w:val="20"/>
              </w:rPr>
              <w:t>$100,000,000</w:t>
            </w:r>
          </w:p>
        </w:tc>
        <w:tc>
          <w:tcPr>
            <w:tcW w:w="1440" w:type="dxa"/>
            <w:shd w:val="clear" w:color="auto" w:fill="auto"/>
            <w:vAlign w:val="center"/>
          </w:tcPr>
          <w:p w14:paraId="4B5F56F7" w14:textId="77777777" w:rsidR="00651F88" w:rsidRPr="00CC731E" w:rsidRDefault="00651F88" w:rsidP="009D70F4">
            <w:pPr>
              <w:pStyle w:val="List2"/>
              <w:ind w:left="0" w:firstLine="0"/>
              <w:jc w:val="center"/>
              <w:rPr>
                <w:sz w:val="20"/>
              </w:rPr>
            </w:pPr>
            <w:r w:rsidRPr="00CC731E">
              <w:rPr>
                <w:sz w:val="20"/>
              </w:rPr>
              <w:t>1.0</w:t>
            </w:r>
          </w:p>
        </w:tc>
        <w:tc>
          <w:tcPr>
            <w:tcW w:w="1440" w:type="dxa"/>
            <w:shd w:val="clear" w:color="auto" w:fill="auto"/>
            <w:vAlign w:val="center"/>
          </w:tcPr>
          <w:p w14:paraId="23981235" w14:textId="77777777" w:rsidR="00651F88" w:rsidRPr="00CC731E" w:rsidRDefault="00651F88" w:rsidP="009D70F4">
            <w:pPr>
              <w:pStyle w:val="List2"/>
              <w:ind w:left="0" w:firstLine="0"/>
              <w:jc w:val="center"/>
              <w:rPr>
                <w:sz w:val="20"/>
              </w:rPr>
            </w:pPr>
            <w:r w:rsidRPr="00CC731E">
              <w:rPr>
                <w:sz w:val="20"/>
              </w:rPr>
              <w:t>0.60</w:t>
            </w:r>
          </w:p>
        </w:tc>
        <w:tc>
          <w:tcPr>
            <w:tcW w:w="1468" w:type="dxa"/>
            <w:shd w:val="clear" w:color="auto" w:fill="auto"/>
            <w:vAlign w:val="center"/>
          </w:tcPr>
          <w:p w14:paraId="1BFF31E1" w14:textId="77777777" w:rsidR="00651F88" w:rsidRPr="00CC731E" w:rsidRDefault="00651F88" w:rsidP="009D70F4">
            <w:pPr>
              <w:pStyle w:val="List2"/>
              <w:ind w:left="0" w:firstLine="0"/>
              <w:jc w:val="center"/>
              <w:rPr>
                <w:sz w:val="20"/>
              </w:rPr>
            </w:pPr>
            <w:r w:rsidRPr="00CC731E">
              <w:rPr>
                <w:sz w:val="20"/>
              </w:rPr>
              <w:t>2.0</w:t>
            </w:r>
          </w:p>
        </w:tc>
        <w:tc>
          <w:tcPr>
            <w:tcW w:w="782" w:type="dxa"/>
            <w:shd w:val="clear" w:color="auto" w:fill="auto"/>
            <w:vAlign w:val="center"/>
          </w:tcPr>
          <w:p w14:paraId="2829482D" w14:textId="77777777" w:rsidR="00651F88" w:rsidRPr="00CC731E" w:rsidRDefault="00651F88" w:rsidP="009D70F4">
            <w:pPr>
              <w:pStyle w:val="List2"/>
              <w:ind w:left="0" w:firstLine="0"/>
              <w:jc w:val="center"/>
              <w:rPr>
                <w:sz w:val="20"/>
              </w:rPr>
            </w:pPr>
            <w:r w:rsidRPr="00CC731E">
              <w:rPr>
                <w:sz w:val="20"/>
              </w:rPr>
              <w:t>0.00%</w:t>
            </w:r>
          </w:p>
        </w:tc>
        <w:tc>
          <w:tcPr>
            <w:tcW w:w="576" w:type="dxa"/>
            <w:shd w:val="clear" w:color="auto" w:fill="auto"/>
            <w:vAlign w:val="center"/>
          </w:tcPr>
          <w:p w14:paraId="52C2AC1B" w14:textId="77777777" w:rsidR="00651F88" w:rsidRPr="00CC731E" w:rsidRDefault="00651F88" w:rsidP="009D70F4">
            <w:pPr>
              <w:pStyle w:val="List2"/>
              <w:ind w:left="0" w:firstLine="0"/>
              <w:jc w:val="center"/>
              <w:rPr>
                <w:sz w:val="20"/>
              </w:rPr>
            </w:pPr>
            <w:r w:rsidRPr="00CC731E">
              <w:rPr>
                <w:sz w:val="20"/>
              </w:rPr>
              <w:t>to</w:t>
            </w:r>
          </w:p>
        </w:tc>
        <w:tc>
          <w:tcPr>
            <w:tcW w:w="748" w:type="dxa"/>
            <w:shd w:val="clear" w:color="auto" w:fill="auto"/>
            <w:vAlign w:val="center"/>
          </w:tcPr>
          <w:p w14:paraId="115165C6" w14:textId="77777777" w:rsidR="00651F88" w:rsidRPr="00CC731E" w:rsidRDefault="00651F88" w:rsidP="009D70F4">
            <w:pPr>
              <w:pStyle w:val="List2"/>
              <w:ind w:left="0" w:firstLine="0"/>
              <w:jc w:val="center"/>
              <w:rPr>
                <w:sz w:val="20"/>
              </w:rPr>
            </w:pPr>
            <w:r w:rsidRPr="00CC731E">
              <w:rPr>
                <w:sz w:val="20"/>
              </w:rPr>
              <w:t>1.80%</w:t>
            </w:r>
          </w:p>
        </w:tc>
      </w:tr>
    </w:tbl>
    <w:p w14:paraId="4DCC8632" w14:textId="77777777" w:rsidR="00651F88" w:rsidRPr="00CC731E" w:rsidRDefault="00651F88" w:rsidP="00651F88">
      <w:pPr>
        <w:pStyle w:val="List"/>
        <w:spacing w:before="240"/>
        <w:ind w:left="2160"/>
        <w:rPr>
          <w:rFonts w:ascii="Arial" w:hAnsi="Arial" w:cs="Arial"/>
        </w:rPr>
      </w:pPr>
      <w:r w:rsidRPr="00CA23EE">
        <w:t>(</w:t>
      </w:r>
      <w:r>
        <w:t>i</w:t>
      </w:r>
      <w:r w:rsidRPr="00CA23EE">
        <w:t>)</w:t>
      </w:r>
      <w:r w:rsidRPr="00CC731E">
        <w:rPr>
          <w:rFonts w:ascii="Arial" w:hAnsi="Arial" w:cs="Arial"/>
        </w:rPr>
        <w:tab/>
      </w:r>
      <w:r w:rsidRPr="00CC731E">
        <w:t>The amount of the Unsecured Credit Limit established within the range in the table above is at the discretion of ERCOT if the stated criteria are met.</w:t>
      </w:r>
    </w:p>
    <w:p w14:paraId="3A450EFF" w14:textId="77777777" w:rsidR="00FC1C5F" w:rsidRDefault="00651F88" w:rsidP="00762CD1">
      <w:pPr>
        <w:pStyle w:val="List"/>
        <w:rPr>
          <w:b/>
        </w:rPr>
      </w:pPr>
      <w:r w:rsidRPr="00CC731E">
        <w:t>(e)</w:t>
      </w:r>
      <w:r w:rsidRPr="00CC731E">
        <w:tab/>
        <w:t>ERCOT has the discretion to adjust Unsecured Credit Limits and to reasonably request any Counter-Party or guarantor, if applicable, to provide updated financial information in support of Unsecured Credit Limit calculations.</w:t>
      </w:r>
      <w:r>
        <w:t xml:space="preserve"> </w:t>
      </w:r>
    </w:p>
    <w:p w14:paraId="065D1685" w14:textId="77777777" w:rsidR="00FC1C5F" w:rsidRDefault="00727E32" w:rsidP="00762CD1">
      <w:pPr>
        <w:pStyle w:val="H3"/>
        <w:ind w:left="0" w:firstLine="0"/>
      </w:pPr>
      <w:bookmarkStart w:id="432" w:name="_Toc390438964"/>
      <w:bookmarkStart w:id="433" w:name="_Toc405897661"/>
      <w:bookmarkStart w:id="434" w:name="_Toc415055765"/>
      <w:bookmarkStart w:id="435" w:name="_Toc415055891"/>
      <w:bookmarkStart w:id="436" w:name="_Toc415055990"/>
      <w:bookmarkStart w:id="437" w:name="_Toc415056091"/>
      <w:bookmarkStart w:id="438" w:name="_Toc70591632"/>
      <w:r>
        <w:t>16.11.3</w:t>
      </w:r>
      <w:r>
        <w:tab/>
        <w:t>Alternative Means of Satisfying ERCOT Creditworthiness Requirements</w:t>
      </w:r>
      <w:bookmarkEnd w:id="432"/>
      <w:bookmarkEnd w:id="433"/>
      <w:bookmarkEnd w:id="434"/>
      <w:bookmarkEnd w:id="435"/>
      <w:bookmarkEnd w:id="436"/>
      <w:bookmarkEnd w:id="437"/>
      <w:bookmarkEnd w:id="438"/>
    </w:p>
    <w:p w14:paraId="3C35A38A" w14:textId="77777777" w:rsidR="00651F88" w:rsidRPr="00CC731E" w:rsidRDefault="00651F88" w:rsidP="00651F88">
      <w:pPr>
        <w:pStyle w:val="List"/>
        <w:ind w:left="702" w:hanging="702"/>
      </w:pPr>
      <w:r w:rsidRPr="00CC731E">
        <w:t>(1)</w:t>
      </w:r>
      <w:r w:rsidRPr="00CC731E">
        <w:tab/>
        <w:t>If a Counter-Party is required to provide Financial Security under these Protocols, then it may do so through one or more of the following means:</w:t>
      </w:r>
    </w:p>
    <w:p w14:paraId="70CFB9F3" w14:textId="77777777" w:rsidR="00651F88" w:rsidRPr="00CC731E" w:rsidRDefault="00651F88" w:rsidP="00651F88">
      <w:pPr>
        <w:pStyle w:val="List"/>
      </w:pPr>
      <w:r w:rsidRPr="00CC731E">
        <w:t>(a)</w:t>
      </w:r>
      <w:r w:rsidRPr="00CC731E">
        <w:tab/>
        <w:t xml:space="preserve">Another Entity may give a guarantee to ERCOT, if ERCOT has set an Unsecured Credit Limit for the Entity under Section 16.11.2, Requirements for Setting a Counter-Party’s Unsecured Credit Limit.  ERCOT shall value the guarantee based on the guarantor’s Unsecured Credit Limit and other obligations the guarantor has under these Protocols or other contracts with ERCOT.  </w:t>
      </w:r>
    </w:p>
    <w:p w14:paraId="6C1D90CB" w14:textId="77777777" w:rsidR="00651F88" w:rsidRPr="00CC731E" w:rsidRDefault="00651F88" w:rsidP="00651F88">
      <w:pPr>
        <w:pStyle w:val="List"/>
        <w:ind w:left="2160"/>
      </w:pPr>
      <w:r w:rsidRPr="00CC731E">
        <w:t>(i)</w:t>
      </w:r>
      <w:r w:rsidRPr="00CC731E">
        <w:tab/>
        <w:t>The guarantee must be given using one of the ERCOT Board-approved standard guarantee forms.  No modifications are permitted.</w:t>
      </w:r>
    </w:p>
    <w:p w14:paraId="45489CC7" w14:textId="77777777" w:rsidR="00651F88" w:rsidRPr="00CC731E" w:rsidRDefault="00651F88" w:rsidP="00651F88">
      <w:pPr>
        <w:pStyle w:val="List"/>
        <w:ind w:left="2160"/>
        <w:rPr>
          <w:szCs w:val="24"/>
        </w:rPr>
      </w:pPr>
      <w:r w:rsidRPr="00CC731E">
        <w:rPr>
          <w:szCs w:val="24"/>
        </w:rPr>
        <w:t>(ii)</w:t>
      </w:r>
      <w:r w:rsidRPr="00CC731E">
        <w:rPr>
          <w:szCs w:val="24"/>
        </w:rPr>
        <w:tab/>
        <w:t>Guarantees are subject to a limit of $50 million of guarantees per Counter-Party and an overall limit of $50 million per guarantor for all ERCOT Counter-Parties.</w:t>
      </w:r>
    </w:p>
    <w:p w14:paraId="0DB360D4" w14:textId="77777777" w:rsidR="00651F88" w:rsidRPr="00CC731E" w:rsidRDefault="00651F88" w:rsidP="00651F88">
      <w:pPr>
        <w:pStyle w:val="List"/>
        <w:ind w:left="2160"/>
        <w:rPr>
          <w:szCs w:val="24"/>
        </w:rPr>
      </w:pPr>
      <w:r w:rsidRPr="00CC731E">
        <w:rPr>
          <w:szCs w:val="24"/>
        </w:rPr>
        <w:t>(iii)</w:t>
      </w:r>
      <w:r w:rsidRPr="00CC731E">
        <w:rPr>
          <w:szCs w:val="24"/>
        </w:rPr>
        <w:tab/>
        <w:t>For foreign guarantees, the guarantor must also meet the following standards:</w:t>
      </w:r>
    </w:p>
    <w:p w14:paraId="35965306" w14:textId="77777777" w:rsidR="00651F88" w:rsidRPr="00CC731E" w:rsidRDefault="00651F88" w:rsidP="00651F88">
      <w:pPr>
        <w:pStyle w:val="List"/>
        <w:ind w:left="2880"/>
        <w:rPr>
          <w:szCs w:val="24"/>
        </w:rPr>
      </w:pPr>
      <w:r w:rsidRPr="00CC731E">
        <w:rPr>
          <w:szCs w:val="24"/>
        </w:rPr>
        <w:t>(A)</w:t>
      </w:r>
      <w:r w:rsidRPr="00CC731E">
        <w:rPr>
          <w:szCs w:val="24"/>
        </w:rPr>
        <w:tab/>
        <w:t>The country of domicile for the foreign guarantor must:</w:t>
      </w:r>
    </w:p>
    <w:p w14:paraId="62FBD4E2" w14:textId="77777777" w:rsidR="00651F88" w:rsidRPr="00CC731E" w:rsidRDefault="00651F88" w:rsidP="00651F88">
      <w:pPr>
        <w:pStyle w:val="List"/>
        <w:ind w:left="3600"/>
        <w:rPr>
          <w:szCs w:val="24"/>
        </w:rPr>
      </w:pPr>
      <w:r>
        <w:rPr>
          <w:szCs w:val="24"/>
        </w:rPr>
        <w:lastRenderedPageBreak/>
        <w:t>(1)</w:t>
      </w:r>
      <w:r w:rsidRPr="00CC731E">
        <w:rPr>
          <w:szCs w:val="24"/>
        </w:rPr>
        <w:tab/>
        <w:t>Maintain a sovereign rating greater than or equal to AA with Fitch or S&amp;P or Aa2 with Moody’s</w:t>
      </w:r>
      <w:r>
        <w:rPr>
          <w:szCs w:val="24"/>
        </w:rPr>
        <w:t>;</w:t>
      </w:r>
    </w:p>
    <w:p w14:paraId="7222DBC8" w14:textId="77777777" w:rsidR="00651F88" w:rsidRPr="00CC731E" w:rsidRDefault="00651F88" w:rsidP="00651F88">
      <w:pPr>
        <w:pStyle w:val="List"/>
        <w:ind w:left="3600"/>
        <w:rPr>
          <w:szCs w:val="24"/>
        </w:rPr>
      </w:pPr>
      <w:r>
        <w:rPr>
          <w:szCs w:val="24"/>
        </w:rPr>
        <w:t>(2)</w:t>
      </w:r>
      <w:r w:rsidRPr="00CC731E">
        <w:rPr>
          <w:szCs w:val="24"/>
        </w:rPr>
        <w:tab/>
        <w:t xml:space="preserve">If the ratings are below those in </w:t>
      </w:r>
      <w:r>
        <w:rPr>
          <w:szCs w:val="24"/>
        </w:rPr>
        <w:t>item (a)(iii)(A)(1)</w:t>
      </w:r>
      <w:r w:rsidRPr="00CC731E">
        <w:rPr>
          <w:szCs w:val="24"/>
        </w:rPr>
        <w:t xml:space="preserve"> above, but greater than or equal to A with Fitch or S&amp;P or A2 with Moody’s, then the sovereign rating would qualify if the country had a ceiling rating of AAA with Fitch or S&amp;P or Aaa with Moody’s</w:t>
      </w:r>
      <w:r>
        <w:rPr>
          <w:szCs w:val="24"/>
        </w:rPr>
        <w:t>; and</w:t>
      </w:r>
    </w:p>
    <w:p w14:paraId="3E568742" w14:textId="77777777" w:rsidR="00651F88" w:rsidRPr="00CC731E" w:rsidRDefault="00651F88" w:rsidP="00651F88">
      <w:pPr>
        <w:pStyle w:val="List"/>
        <w:ind w:left="3600"/>
        <w:rPr>
          <w:szCs w:val="24"/>
        </w:rPr>
      </w:pPr>
      <w:r>
        <w:rPr>
          <w:szCs w:val="24"/>
        </w:rPr>
        <w:t>(3)</w:t>
      </w:r>
      <w:r w:rsidRPr="00CC731E">
        <w:rPr>
          <w:szCs w:val="24"/>
        </w:rPr>
        <w:tab/>
        <w:t>Must have reciprocity agreements with the U.S. regarding enforcement and collection of guarantee agreements.</w:t>
      </w:r>
    </w:p>
    <w:p w14:paraId="188FD5B5" w14:textId="77777777" w:rsidR="00651F88" w:rsidRPr="00CA23EE" w:rsidRDefault="00651F88" w:rsidP="00651F88">
      <w:pPr>
        <w:pStyle w:val="List"/>
        <w:ind w:left="2880"/>
        <w:rPr>
          <w:szCs w:val="24"/>
        </w:rPr>
      </w:pPr>
      <w:r w:rsidRPr="00CC731E">
        <w:rPr>
          <w:szCs w:val="24"/>
        </w:rPr>
        <w:t>(B)</w:t>
      </w:r>
      <w:r w:rsidRPr="00CC731E">
        <w:rPr>
          <w:szCs w:val="24"/>
        </w:rPr>
        <w:tab/>
      </w:r>
      <w:r w:rsidRPr="00CA23EE">
        <w:rPr>
          <w:szCs w:val="24"/>
        </w:rPr>
        <w:t>The foreign guarantor must:</w:t>
      </w:r>
    </w:p>
    <w:p w14:paraId="6106355A" w14:textId="77777777" w:rsidR="00651F88" w:rsidRPr="00CC731E" w:rsidRDefault="00651F88" w:rsidP="00651F88">
      <w:pPr>
        <w:pStyle w:val="List"/>
        <w:ind w:left="3600"/>
        <w:rPr>
          <w:szCs w:val="24"/>
        </w:rPr>
      </w:pPr>
      <w:r>
        <w:rPr>
          <w:szCs w:val="24"/>
        </w:rPr>
        <w:t>(1)</w:t>
      </w:r>
      <w:r>
        <w:rPr>
          <w:szCs w:val="24"/>
        </w:rPr>
        <w:tab/>
      </w:r>
      <w:r w:rsidRPr="00CC731E">
        <w:rPr>
          <w:szCs w:val="24"/>
        </w:rPr>
        <w:t>Provide to ERCOT annual audited financial statements, prepared in accordance with U.S. Generally Accepted Accounting Principles (GAAP) or International Accounting Standards (IAS) and semi-annual unaudited financial statements</w:t>
      </w:r>
      <w:r>
        <w:rPr>
          <w:szCs w:val="24"/>
        </w:rPr>
        <w:t>;</w:t>
      </w:r>
    </w:p>
    <w:p w14:paraId="4639AB2A" w14:textId="77777777" w:rsidR="00651F88" w:rsidRPr="00CA23EE" w:rsidRDefault="00651F88" w:rsidP="00651F88">
      <w:pPr>
        <w:pStyle w:val="List"/>
        <w:ind w:left="3600"/>
        <w:rPr>
          <w:szCs w:val="24"/>
        </w:rPr>
      </w:pPr>
      <w:r>
        <w:rPr>
          <w:szCs w:val="24"/>
        </w:rPr>
        <w:t>(2)</w:t>
      </w:r>
      <w:r>
        <w:rPr>
          <w:szCs w:val="24"/>
        </w:rPr>
        <w:tab/>
      </w:r>
      <w:r w:rsidRPr="00CA23EE">
        <w:rPr>
          <w:szCs w:val="24"/>
        </w:rPr>
        <w:t>Provide a guarantee in one of the standard form documents approved by the ERCOT Board of Directors for foreign Entities.  No modifications are permitted</w:t>
      </w:r>
      <w:r>
        <w:rPr>
          <w:szCs w:val="24"/>
        </w:rPr>
        <w:t>;</w:t>
      </w:r>
      <w:r w:rsidRPr="00CA23EE">
        <w:rPr>
          <w:szCs w:val="24"/>
        </w:rPr>
        <w:t xml:space="preserve"> and</w:t>
      </w:r>
    </w:p>
    <w:p w14:paraId="2D68528F" w14:textId="77777777" w:rsidR="00651F88" w:rsidRPr="00CC731E" w:rsidRDefault="00651F88" w:rsidP="00651F88">
      <w:pPr>
        <w:pStyle w:val="List"/>
        <w:ind w:left="3600"/>
        <w:rPr>
          <w:szCs w:val="24"/>
        </w:rPr>
      </w:pPr>
      <w:r>
        <w:rPr>
          <w:szCs w:val="24"/>
        </w:rPr>
        <w:t>(3)</w:t>
      </w:r>
      <w:r>
        <w:rPr>
          <w:szCs w:val="24"/>
        </w:rPr>
        <w:tab/>
      </w:r>
      <w:r w:rsidRPr="00CA23EE">
        <w:rPr>
          <w:szCs w:val="24"/>
        </w:rPr>
        <w:t>Provide an opinion letter from a law firm unaffiliated with the Counter-Party or guarantor affirming that the guarantee agreement is enforceable in the U.S. and in the jurisdiction of the corporate guarantor’s domicile.</w:t>
      </w:r>
    </w:p>
    <w:p w14:paraId="16340BCC" w14:textId="77777777" w:rsidR="00651F88" w:rsidRPr="00CC731E" w:rsidRDefault="00651F88" w:rsidP="00651F88">
      <w:pPr>
        <w:pStyle w:val="List"/>
      </w:pPr>
      <w:r w:rsidRPr="00CC731E">
        <w:t>(b)</w:t>
      </w:r>
      <w:r w:rsidRPr="00CC731E">
        <w:tab/>
        <w:t xml:space="preserve">The Counter-Party may give an unconditional, irrevocable letter of credit naming ERCOT as the beneficiary.  ERCOT may, in its sole discretion, reject the letter of credit if the issuer is unacceptable to ERCOT or if the conditions under which ERCOT may draw against the letter of credit are unacceptable to ERCOT.  </w:t>
      </w:r>
    </w:p>
    <w:p w14:paraId="65B54E66" w14:textId="77777777" w:rsidR="00651F88" w:rsidRPr="00CC731E" w:rsidRDefault="00651F88" w:rsidP="00651F88">
      <w:pPr>
        <w:pStyle w:val="List"/>
        <w:ind w:left="2160"/>
      </w:pPr>
      <w:r w:rsidRPr="00CC731E">
        <w:t>(i)</w:t>
      </w:r>
      <w:r w:rsidRPr="00CC731E">
        <w:tab/>
        <w:t>The letter of credit must be given using the ERCOT Board-approved standard letter of credit form.</w:t>
      </w:r>
    </w:p>
    <w:p w14:paraId="778D8F38" w14:textId="77777777" w:rsidR="00651F88" w:rsidRPr="00CC731E" w:rsidRDefault="00651F88" w:rsidP="00651F88">
      <w:pPr>
        <w:pStyle w:val="List"/>
        <w:ind w:left="2160"/>
      </w:pPr>
      <w:r w:rsidRPr="00CC731E">
        <w:t>(ii)</w:t>
      </w:r>
      <w:r w:rsidRPr="00CC731E">
        <w:tab/>
        <w:t xml:space="preserve">Letters of credit must be issued by a bank </w:t>
      </w:r>
      <w:r w:rsidR="00D339A9">
        <w:t xml:space="preserve">or other financial institution that is acceptable to ERCOT, </w:t>
      </w:r>
      <w:r w:rsidRPr="00CC731E">
        <w:t>with a minimum rating of A- with S&amp;P or Fitch or A3 with Moody’s.</w:t>
      </w:r>
    </w:p>
    <w:p w14:paraId="0CBC5454" w14:textId="77777777" w:rsidR="00651F88" w:rsidRPr="00CC731E" w:rsidRDefault="00651F88" w:rsidP="00651F88">
      <w:pPr>
        <w:pStyle w:val="List"/>
        <w:ind w:left="2160"/>
      </w:pPr>
      <w:r w:rsidRPr="00CC731E">
        <w:t>(iii)</w:t>
      </w:r>
      <w:r w:rsidRPr="00CC731E">
        <w:tab/>
        <w:t xml:space="preserve">Letters of credit are subject to an overall limit per </w:t>
      </w:r>
      <w:r>
        <w:t>letter of credit</w:t>
      </w:r>
      <w:r w:rsidRPr="00CC731E">
        <w:t xml:space="preserve"> issuer for all ERCOT Counter-Parties as determined below: </w:t>
      </w:r>
    </w:p>
    <w:tbl>
      <w:tblPr>
        <w:tblW w:w="530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2335"/>
      </w:tblGrid>
      <w:tr w:rsidR="00651F88" w:rsidRPr="00CC731E" w14:paraId="64D2D89D" w14:textId="77777777" w:rsidTr="009D70F4">
        <w:trPr>
          <w:tblHeader/>
        </w:trPr>
        <w:tc>
          <w:tcPr>
            <w:tcW w:w="2970" w:type="dxa"/>
            <w:gridSpan w:val="2"/>
            <w:shd w:val="clear" w:color="auto" w:fill="BFBFBF"/>
            <w:vAlign w:val="center"/>
          </w:tcPr>
          <w:p w14:paraId="2FFBCD18" w14:textId="77777777" w:rsidR="00651F88" w:rsidRPr="00CC731E" w:rsidRDefault="00651F88" w:rsidP="009D70F4">
            <w:pPr>
              <w:pStyle w:val="List"/>
              <w:ind w:left="0" w:firstLine="0"/>
              <w:jc w:val="center"/>
              <w:rPr>
                <w:sz w:val="20"/>
              </w:rPr>
            </w:pPr>
            <w:r w:rsidRPr="00CC731E">
              <w:rPr>
                <w:sz w:val="20"/>
              </w:rPr>
              <w:lastRenderedPageBreak/>
              <w:t>If the issuing entity has</w:t>
            </w:r>
          </w:p>
        </w:tc>
        <w:tc>
          <w:tcPr>
            <w:tcW w:w="2335" w:type="dxa"/>
            <w:shd w:val="clear" w:color="auto" w:fill="BFBFBF"/>
            <w:vAlign w:val="center"/>
          </w:tcPr>
          <w:p w14:paraId="69F7DC7F" w14:textId="77777777" w:rsidR="00651F88" w:rsidRPr="00CC731E" w:rsidRDefault="00651F88" w:rsidP="009D70F4">
            <w:pPr>
              <w:pStyle w:val="List"/>
              <w:ind w:left="0" w:firstLine="0"/>
              <w:jc w:val="center"/>
              <w:rPr>
                <w:sz w:val="20"/>
              </w:rPr>
            </w:pPr>
            <w:r w:rsidRPr="00CC731E">
              <w:rPr>
                <w:sz w:val="20"/>
              </w:rPr>
              <w:t>Then</w:t>
            </w:r>
          </w:p>
        </w:tc>
      </w:tr>
      <w:tr w:rsidR="00651F88" w:rsidRPr="00CC731E" w14:paraId="50990E46" w14:textId="77777777" w:rsidTr="009D70F4">
        <w:trPr>
          <w:tblHeader/>
        </w:trPr>
        <w:tc>
          <w:tcPr>
            <w:tcW w:w="2970" w:type="dxa"/>
            <w:gridSpan w:val="2"/>
            <w:shd w:val="clear" w:color="auto" w:fill="BFBFBF"/>
            <w:vAlign w:val="center"/>
          </w:tcPr>
          <w:p w14:paraId="07CCEF22" w14:textId="77777777" w:rsidR="00651F88" w:rsidRPr="00CC731E" w:rsidRDefault="00651F88" w:rsidP="009D70F4">
            <w:pPr>
              <w:pStyle w:val="List"/>
              <w:ind w:left="0" w:firstLine="0"/>
              <w:jc w:val="center"/>
              <w:rPr>
                <w:sz w:val="20"/>
              </w:rPr>
            </w:pPr>
            <w:r w:rsidRPr="00CC731E">
              <w:rPr>
                <w:sz w:val="20"/>
              </w:rPr>
              <w:t>Long-Term or Issuer Rating</w:t>
            </w:r>
          </w:p>
        </w:tc>
        <w:tc>
          <w:tcPr>
            <w:tcW w:w="2335" w:type="dxa"/>
            <w:vMerge w:val="restart"/>
            <w:shd w:val="clear" w:color="auto" w:fill="BFBFBF"/>
            <w:vAlign w:val="center"/>
          </w:tcPr>
          <w:p w14:paraId="5BFE94A3" w14:textId="77777777" w:rsidR="00651F88" w:rsidRPr="00CC731E" w:rsidRDefault="00651F88" w:rsidP="009D70F4">
            <w:pPr>
              <w:pStyle w:val="List"/>
              <w:ind w:left="0" w:firstLine="0"/>
              <w:jc w:val="center"/>
              <w:rPr>
                <w:sz w:val="20"/>
              </w:rPr>
            </w:pPr>
            <w:r w:rsidRPr="00CC731E">
              <w:rPr>
                <w:sz w:val="20"/>
              </w:rPr>
              <w:t xml:space="preserve">Maximum </w:t>
            </w:r>
            <w:r>
              <w:rPr>
                <w:sz w:val="20"/>
              </w:rPr>
              <w:t>letter of credit</w:t>
            </w:r>
            <w:r w:rsidRPr="00CC731E">
              <w:rPr>
                <w:sz w:val="20"/>
              </w:rPr>
              <w:t xml:space="preserve"> issuer limit as a percentage of Tangible Net Worth of issuer</w:t>
            </w:r>
          </w:p>
        </w:tc>
      </w:tr>
      <w:tr w:rsidR="00651F88" w:rsidRPr="00CC731E" w14:paraId="567D23FE" w14:textId="77777777" w:rsidTr="009D70F4">
        <w:tc>
          <w:tcPr>
            <w:tcW w:w="1530" w:type="dxa"/>
            <w:shd w:val="clear" w:color="auto" w:fill="BFBFBF"/>
            <w:vAlign w:val="center"/>
          </w:tcPr>
          <w:p w14:paraId="1AC58433" w14:textId="77777777" w:rsidR="00651F88" w:rsidRPr="00CC731E" w:rsidRDefault="00651F88" w:rsidP="009D70F4">
            <w:pPr>
              <w:pStyle w:val="List"/>
              <w:ind w:left="0" w:firstLine="0"/>
              <w:jc w:val="center"/>
              <w:rPr>
                <w:sz w:val="20"/>
              </w:rPr>
            </w:pPr>
            <w:r w:rsidRPr="00CC731E">
              <w:rPr>
                <w:sz w:val="20"/>
              </w:rPr>
              <w:t>S&amp;P or Fitch</w:t>
            </w:r>
          </w:p>
        </w:tc>
        <w:tc>
          <w:tcPr>
            <w:tcW w:w="1440" w:type="dxa"/>
            <w:shd w:val="clear" w:color="auto" w:fill="BFBFBF"/>
            <w:vAlign w:val="center"/>
          </w:tcPr>
          <w:p w14:paraId="266D5A2B" w14:textId="77777777" w:rsidR="00651F88" w:rsidRPr="00CC731E" w:rsidRDefault="00651F88" w:rsidP="009D70F4">
            <w:pPr>
              <w:pStyle w:val="List"/>
              <w:ind w:left="0" w:firstLine="0"/>
              <w:jc w:val="center"/>
              <w:rPr>
                <w:sz w:val="20"/>
              </w:rPr>
            </w:pPr>
            <w:r w:rsidRPr="00CC731E">
              <w:rPr>
                <w:sz w:val="20"/>
              </w:rPr>
              <w:t>Moody’s</w:t>
            </w:r>
          </w:p>
        </w:tc>
        <w:tc>
          <w:tcPr>
            <w:tcW w:w="2335" w:type="dxa"/>
            <w:vMerge/>
            <w:shd w:val="clear" w:color="auto" w:fill="auto"/>
            <w:vAlign w:val="center"/>
          </w:tcPr>
          <w:p w14:paraId="4C28DB98" w14:textId="77777777" w:rsidR="00651F88" w:rsidRPr="00CC731E" w:rsidRDefault="00651F88" w:rsidP="009D70F4">
            <w:pPr>
              <w:pStyle w:val="List"/>
              <w:ind w:left="0" w:firstLine="0"/>
              <w:jc w:val="center"/>
              <w:rPr>
                <w:sz w:val="20"/>
              </w:rPr>
            </w:pPr>
          </w:p>
        </w:tc>
      </w:tr>
      <w:tr w:rsidR="00651F88" w:rsidRPr="00CC731E" w14:paraId="6117219C" w14:textId="77777777" w:rsidTr="009D70F4">
        <w:tc>
          <w:tcPr>
            <w:tcW w:w="1530" w:type="dxa"/>
            <w:shd w:val="clear" w:color="auto" w:fill="auto"/>
            <w:vAlign w:val="center"/>
          </w:tcPr>
          <w:p w14:paraId="19DAB5F2" w14:textId="77777777" w:rsidR="00651F88" w:rsidRPr="00CC731E" w:rsidRDefault="00651F88" w:rsidP="009D70F4">
            <w:pPr>
              <w:pStyle w:val="List"/>
              <w:ind w:left="0" w:firstLine="0"/>
              <w:jc w:val="center"/>
              <w:rPr>
                <w:sz w:val="20"/>
              </w:rPr>
            </w:pPr>
            <w:r w:rsidRPr="00CC731E">
              <w:rPr>
                <w:sz w:val="20"/>
              </w:rPr>
              <w:t>AAA</w:t>
            </w:r>
          </w:p>
        </w:tc>
        <w:tc>
          <w:tcPr>
            <w:tcW w:w="1440" w:type="dxa"/>
            <w:shd w:val="clear" w:color="auto" w:fill="auto"/>
            <w:vAlign w:val="center"/>
          </w:tcPr>
          <w:p w14:paraId="7682C340" w14:textId="77777777" w:rsidR="00651F88" w:rsidRPr="00CC731E" w:rsidRDefault="00651F88" w:rsidP="009D70F4">
            <w:pPr>
              <w:pStyle w:val="List"/>
              <w:ind w:left="0" w:firstLine="0"/>
              <w:jc w:val="center"/>
              <w:rPr>
                <w:sz w:val="20"/>
              </w:rPr>
            </w:pPr>
            <w:r w:rsidRPr="00CC731E">
              <w:rPr>
                <w:sz w:val="20"/>
              </w:rPr>
              <w:t>Aaa</w:t>
            </w:r>
          </w:p>
        </w:tc>
        <w:tc>
          <w:tcPr>
            <w:tcW w:w="2335" w:type="dxa"/>
            <w:shd w:val="clear" w:color="auto" w:fill="auto"/>
            <w:vAlign w:val="center"/>
          </w:tcPr>
          <w:p w14:paraId="11897340" w14:textId="77777777" w:rsidR="00651F88" w:rsidRPr="00CC731E" w:rsidRDefault="00651F88" w:rsidP="009D70F4">
            <w:pPr>
              <w:pStyle w:val="List"/>
              <w:ind w:left="0" w:firstLine="0"/>
              <w:jc w:val="center"/>
              <w:rPr>
                <w:sz w:val="20"/>
              </w:rPr>
            </w:pPr>
            <w:r w:rsidRPr="00CC731E">
              <w:rPr>
                <w:sz w:val="20"/>
              </w:rPr>
              <w:t>1.00%</w:t>
            </w:r>
          </w:p>
        </w:tc>
      </w:tr>
      <w:tr w:rsidR="00651F88" w:rsidRPr="00CC731E" w14:paraId="2DBDF7C7" w14:textId="77777777" w:rsidTr="009D70F4">
        <w:tc>
          <w:tcPr>
            <w:tcW w:w="1530" w:type="dxa"/>
            <w:shd w:val="clear" w:color="auto" w:fill="auto"/>
            <w:vAlign w:val="center"/>
          </w:tcPr>
          <w:p w14:paraId="4F7142D3" w14:textId="77777777" w:rsidR="00651F88" w:rsidRPr="00CC731E" w:rsidRDefault="00651F88" w:rsidP="009D70F4">
            <w:pPr>
              <w:pStyle w:val="List"/>
              <w:ind w:left="0" w:firstLine="0"/>
              <w:jc w:val="center"/>
              <w:rPr>
                <w:sz w:val="20"/>
              </w:rPr>
            </w:pPr>
            <w:r w:rsidRPr="00CC731E">
              <w:rPr>
                <w:sz w:val="20"/>
              </w:rPr>
              <w:t>AA+</w:t>
            </w:r>
          </w:p>
        </w:tc>
        <w:tc>
          <w:tcPr>
            <w:tcW w:w="1440" w:type="dxa"/>
            <w:shd w:val="clear" w:color="auto" w:fill="auto"/>
            <w:vAlign w:val="center"/>
          </w:tcPr>
          <w:p w14:paraId="471D7ABC" w14:textId="77777777" w:rsidR="00651F88" w:rsidRPr="00CC731E" w:rsidRDefault="00651F88" w:rsidP="009D70F4">
            <w:pPr>
              <w:pStyle w:val="List"/>
              <w:ind w:left="0" w:firstLine="0"/>
              <w:jc w:val="center"/>
              <w:rPr>
                <w:sz w:val="20"/>
              </w:rPr>
            </w:pPr>
            <w:r w:rsidRPr="00CC731E">
              <w:rPr>
                <w:sz w:val="20"/>
              </w:rPr>
              <w:t>Aa1</w:t>
            </w:r>
          </w:p>
        </w:tc>
        <w:tc>
          <w:tcPr>
            <w:tcW w:w="2335" w:type="dxa"/>
            <w:shd w:val="clear" w:color="auto" w:fill="auto"/>
            <w:vAlign w:val="center"/>
          </w:tcPr>
          <w:p w14:paraId="50FA4F38" w14:textId="77777777" w:rsidR="00651F88" w:rsidRPr="00CC731E" w:rsidRDefault="00651F88" w:rsidP="009D70F4">
            <w:pPr>
              <w:pStyle w:val="List"/>
              <w:ind w:left="0" w:firstLine="0"/>
              <w:jc w:val="center"/>
              <w:rPr>
                <w:sz w:val="20"/>
              </w:rPr>
            </w:pPr>
            <w:r w:rsidRPr="00CC731E">
              <w:rPr>
                <w:sz w:val="20"/>
              </w:rPr>
              <w:t>0.95%</w:t>
            </w:r>
          </w:p>
        </w:tc>
      </w:tr>
      <w:tr w:rsidR="00651F88" w:rsidRPr="00CC731E" w14:paraId="511D0769" w14:textId="77777777" w:rsidTr="009D70F4">
        <w:tc>
          <w:tcPr>
            <w:tcW w:w="1530" w:type="dxa"/>
            <w:shd w:val="clear" w:color="auto" w:fill="auto"/>
            <w:vAlign w:val="center"/>
          </w:tcPr>
          <w:p w14:paraId="6BD75E5D" w14:textId="77777777" w:rsidR="00651F88" w:rsidRPr="00CC731E" w:rsidRDefault="00651F88" w:rsidP="009D70F4">
            <w:pPr>
              <w:pStyle w:val="List"/>
              <w:ind w:left="0" w:firstLine="0"/>
              <w:jc w:val="center"/>
              <w:rPr>
                <w:sz w:val="20"/>
              </w:rPr>
            </w:pPr>
            <w:r w:rsidRPr="00CC731E">
              <w:rPr>
                <w:sz w:val="20"/>
              </w:rPr>
              <w:t>AA</w:t>
            </w:r>
          </w:p>
        </w:tc>
        <w:tc>
          <w:tcPr>
            <w:tcW w:w="1440" w:type="dxa"/>
            <w:shd w:val="clear" w:color="auto" w:fill="auto"/>
            <w:vAlign w:val="center"/>
          </w:tcPr>
          <w:p w14:paraId="404C0428" w14:textId="77777777" w:rsidR="00651F88" w:rsidRPr="00CC731E" w:rsidRDefault="00651F88" w:rsidP="009D70F4">
            <w:pPr>
              <w:pStyle w:val="List"/>
              <w:ind w:left="0" w:firstLine="0"/>
              <w:jc w:val="center"/>
              <w:rPr>
                <w:sz w:val="20"/>
              </w:rPr>
            </w:pPr>
            <w:r w:rsidRPr="00CC731E">
              <w:rPr>
                <w:sz w:val="20"/>
              </w:rPr>
              <w:t>Aa2</w:t>
            </w:r>
          </w:p>
        </w:tc>
        <w:tc>
          <w:tcPr>
            <w:tcW w:w="2335" w:type="dxa"/>
            <w:shd w:val="clear" w:color="auto" w:fill="auto"/>
            <w:vAlign w:val="center"/>
          </w:tcPr>
          <w:p w14:paraId="3F483B70" w14:textId="77777777" w:rsidR="00651F88" w:rsidRPr="00CC731E" w:rsidRDefault="00651F88" w:rsidP="009D70F4">
            <w:pPr>
              <w:pStyle w:val="List"/>
              <w:ind w:left="0" w:firstLine="0"/>
              <w:jc w:val="center"/>
              <w:rPr>
                <w:sz w:val="20"/>
              </w:rPr>
            </w:pPr>
            <w:r w:rsidRPr="00CC731E">
              <w:rPr>
                <w:sz w:val="20"/>
              </w:rPr>
              <w:t>0.90%</w:t>
            </w:r>
          </w:p>
        </w:tc>
      </w:tr>
      <w:tr w:rsidR="00651F88" w:rsidRPr="00CC731E" w14:paraId="28AB5C1A" w14:textId="77777777" w:rsidTr="009D70F4">
        <w:tc>
          <w:tcPr>
            <w:tcW w:w="1530" w:type="dxa"/>
            <w:shd w:val="clear" w:color="auto" w:fill="auto"/>
            <w:vAlign w:val="center"/>
          </w:tcPr>
          <w:p w14:paraId="61B22B2C" w14:textId="77777777" w:rsidR="00651F88" w:rsidRPr="00CC731E" w:rsidRDefault="00651F88" w:rsidP="009D70F4">
            <w:pPr>
              <w:pStyle w:val="List"/>
              <w:ind w:left="0" w:firstLine="0"/>
              <w:jc w:val="center"/>
              <w:rPr>
                <w:sz w:val="20"/>
              </w:rPr>
            </w:pPr>
            <w:r w:rsidRPr="00CC731E">
              <w:rPr>
                <w:sz w:val="20"/>
              </w:rPr>
              <w:t>AA-</w:t>
            </w:r>
          </w:p>
        </w:tc>
        <w:tc>
          <w:tcPr>
            <w:tcW w:w="1440" w:type="dxa"/>
            <w:shd w:val="clear" w:color="auto" w:fill="auto"/>
            <w:vAlign w:val="center"/>
          </w:tcPr>
          <w:p w14:paraId="0B2F23A2" w14:textId="77777777" w:rsidR="00651F88" w:rsidRPr="00CC731E" w:rsidRDefault="00651F88" w:rsidP="009D70F4">
            <w:pPr>
              <w:pStyle w:val="List"/>
              <w:ind w:left="0" w:firstLine="0"/>
              <w:jc w:val="center"/>
              <w:rPr>
                <w:sz w:val="20"/>
              </w:rPr>
            </w:pPr>
            <w:r w:rsidRPr="00CC731E">
              <w:rPr>
                <w:sz w:val="20"/>
              </w:rPr>
              <w:t>Aa3</w:t>
            </w:r>
          </w:p>
        </w:tc>
        <w:tc>
          <w:tcPr>
            <w:tcW w:w="2335" w:type="dxa"/>
            <w:shd w:val="clear" w:color="auto" w:fill="auto"/>
            <w:vAlign w:val="center"/>
          </w:tcPr>
          <w:p w14:paraId="2A76BFDD" w14:textId="77777777" w:rsidR="00651F88" w:rsidRPr="00CC731E" w:rsidRDefault="00651F88" w:rsidP="009D70F4">
            <w:pPr>
              <w:pStyle w:val="List"/>
              <w:ind w:left="0" w:firstLine="0"/>
              <w:jc w:val="center"/>
              <w:rPr>
                <w:sz w:val="20"/>
              </w:rPr>
            </w:pPr>
            <w:r w:rsidRPr="00CC731E">
              <w:rPr>
                <w:sz w:val="20"/>
              </w:rPr>
              <w:t>0.85%</w:t>
            </w:r>
          </w:p>
        </w:tc>
      </w:tr>
      <w:tr w:rsidR="00651F88" w:rsidRPr="00CC731E" w14:paraId="100E83B3" w14:textId="77777777" w:rsidTr="009D70F4">
        <w:tc>
          <w:tcPr>
            <w:tcW w:w="1530" w:type="dxa"/>
            <w:shd w:val="clear" w:color="auto" w:fill="auto"/>
            <w:vAlign w:val="center"/>
          </w:tcPr>
          <w:p w14:paraId="50F90A9D" w14:textId="77777777" w:rsidR="00651F88" w:rsidRPr="00CC731E" w:rsidRDefault="00651F88" w:rsidP="009D70F4">
            <w:pPr>
              <w:pStyle w:val="List"/>
              <w:ind w:left="0" w:firstLine="0"/>
              <w:jc w:val="center"/>
              <w:rPr>
                <w:sz w:val="20"/>
              </w:rPr>
            </w:pPr>
            <w:r w:rsidRPr="00CC731E">
              <w:rPr>
                <w:sz w:val="20"/>
              </w:rPr>
              <w:t>A+</w:t>
            </w:r>
          </w:p>
        </w:tc>
        <w:tc>
          <w:tcPr>
            <w:tcW w:w="1440" w:type="dxa"/>
            <w:shd w:val="clear" w:color="auto" w:fill="auto"/>
            <w:vAlign w:val="center"/>
          </w:tcPr>
          <w:p w14:paraId="7D191993" w14:textId="77777777" w:rsidR="00651F88" w:rsidRPr="00CC731E" w:rsidRDefault="00651F88" w:rsidP="009D70F4">
            <w:pPr>
              <w:pStyle w:val="List"/>
              <w:ind w:left="0" w:firstLine="0"/>
              <w:jc w:val="center"/>
              <w:rPr>
                <w:sz w:val="20"/>
              </w:rPr>
            </w:pPr>
            <w:r w:rsidRPr="00CC731E">
              <w:rPr>
                <w:sz w:val="20"/>
              </w:rPr>
              <w:t>A1</w:t>
            </w:r>
          </w:p>
        </w:tc>
        <w:tc>
          <w:tcPr>
            <w:tcW w:w="2335" w:type="dxa"/>
            <w:shd w:val="clear" w:color="auto" w:fill="auto"/>
            <w:vAlign w:val="center"/>
          </w:tcPr>
          <w:p w14:paraId="46F715DC" w14:textId="77777777" w:rsidR="00651F88" w:rsidRPr="00CC731E" w:rsidRDefault="00651F88" w:rsidP="009D70F4">
            <w:pPr>
              <w:pStyle w:val="List"/>
              <w:ind w:left="0" w:firstLine="0"/>
              <w:jc w:val="center"/>
              <w:rPr>
                <w:sz w:val="20"/>
              </w:rPr>
            </w:pPr>
            <w:r w:rsidRPr="00CC731E">
              <w:rPr>
                <w:sz w:val="20"/>
              </w:rPr>
              <w:t>0.80%</w:t>
            </w:r>
          </w:p>
        </w:tc>
      </w:tr>
      <w:tr w:rsidR="00651F88" w:rsidRPr="00CC731E" w14:paraId="682A964A" w14:textId="77777777" w:rsidTr="009D70F4">
        <w:tc>
          <w:tcPr>
            <w:tcW w:w="1530" w:type="dxa"/>
            <w:shd w:val="clear" w:color="auto" w:fill="auto"/>
            <w:vAlign w:val="center"/>
          </w:tcPr>
          <w:p w14:paraId="17DF1749" w14:textId="77777777" w:rsidR="00651F88" w:rsidRPr="00CC731E" w:rsidRDefault="00651F88" w:rsidP="009D70F4">
            <w:pPr>
              <w:pStyle w:val="List"/>
              <w:ind w:left="0" w:firstLine="0"/>
              <w:jc w:val="center"/>
              <w:rPr>
                <w:sz w:val="20"/>
              </w:rPr>
            </w:pPr>
            <w:r w:rsidRPr="00CC731E">
              <w:rPr>
                <w:sz w:val="20"/>
              </w:rPr>
              <w:t>A</w:t>
            </w:r>
          </w:p>
        </w:tc>
        <w:tc>
          <w:tcPr>
            <w:tcW w:w="1440" w:type="dxa"/>
            <w:shd w:val="clear" w:color="auto" w:fill="auto"/>
            <w:vAlign w:val="center"/>
          </w:tcPr>
          <w:p w14:paraId="648D1A44" w14:textId="77777777" w:rsidR="00651F88" w:rsidRPr="00CC731E" w:rsidRDefault="00651F88" w:rsidP="009D70F4">
            <w:pPr>
              <w:pStyle w:val="List"/>
              <w:ind w:left="0" w:firstLine="0"/>
              <w:jc w:val="center"/>
              <w:rPr>
                <w:sz w:val="20"/>
              </w:rPr>
            </w:pPr>
            <w:r w:rsidRPr="00CC731E">
              <w:rPr>
                <w:sz w:val="20"/>
              </w:rPr>
              <w:t>A2</w:t>
            </w:r>
          </w:p>
        </w:tc>
        <w:tc>
          <w:tcPr>
            <w:tcW w:w="2335" w:type="dxa"/>
            <w:shd w:val="clear" w:color="auto" w:fill="auto"/>
            <w:vAlign w:val="center"/>
          </w:tcPr>
          <w:p w14:paraId="14359F3D" w14:textId="77777777" w:rsidR="00651F88" w:rsidRPr="00CC731E" w:rsidRDefault="00651F88" w:rsidP="009D70F4">
            <w:pPr>
              <w:pStyle w:val="List"/>
              <w:ind w:left="0" w:firstLine="0"/>
              <w:jc w:val="center"/>
              <w:rPr>
                <w:sz w:val="20"/>
              </w:rPr>
            </w:pPr>
            <w:r w:rsidRPr="00CC731E">
              <w:rPr>
                <w:sz w:val="20"/>
              </w:rPr>
              <w:t>0.75%</w:t>
            </w:r>
          </w:p>
        </w:tc>
      </w:tr>
      <w:tr w:rsidR="00651F88" w:rsidRPr="00CC731E" w14:paraId="3CC3575F" w14:textId="77777777" w:rsidTr="009D70F4">
        <w:tc>
          <w:tcPr>
            <w:tcW w:w="1530" w:type="dxa"/>
            <w:shd w:val="clear" w:color="auto" w:fill="auto"/>
            <w:vAlign w:val="center"/>
          </w:tcPr>
          <w:p w14:paraId="44D47863" w14:textId="77777777" w:rsidR="00651F88" w:rsidRPr="00CC731E" w:rsidRDefault="00651F88" w:rsidP="009D70F4">
            <w:pPr>
              <w:pStyle w:val="List"/>
              <w:ind w:left="0" w:firstLine="0"/>
              <w:jc w:val="center"/>
              <w:rPr>
                <w:sz w:val="20"/>
              </w:rPr>
            </w:pPr>
            <w:r w:rsidRPr="00CC731E">
              <w:rPr>
                <w:sz w:val="20"/>
              </w:rPr>
              <w:t>A-</w:t>
            </w:r>
          </w:p>
        </w:tc>
        <w:tc>
          <w:tcPr>
            <w:tcW w:w="1440" w:type="dxa"/>
            <w:shd w:val="clear" w:color="auto" w:fill="auto"/>
            <w:vAlign w:val="center"/>
          </w:tcPr>
          <w:p w14:paraId="261B5033" w14:textId="77777777" w:rsidR="00651F88" w:rsidRPr="00CC731E" w:rsidRDefault="00651F88" w:rsidP="009D70F4">
            <w:pPr>
              <w:pStyle w:val="List"/>
              <w:ind w:left="0" w:firstLine="0"/>
              <w:jc w:val="center"/>
              <w:rPr>
                <w:sz w:val="20"/>
              </w:rPr>
            </w:pPr>
            <w:r w:rsidRPr="00CC731E">
              <w:rPr>
                <w:sz w:val="20"/>
              </w:rPr>
              <w:t>A3</w:t>
            </w:r>
          </w:p>
        </w:tc>
        <w:tc>
          <w:tcPr>
            <w:tcW w:w="2335" w:type="dxa"/>
            <w:shd w:val="clear" w:color="auto" w:fill="auto"/>
            <w:vAlign w:val="center"/>
          </w:tcPr>
          <w:p w14:paraId="00E06D07" w14:textId="77777777" w:rsidR="00651F88" w:rsidRPr="00CC731E" w:rsidRDefault="00651F88" w:rsidP="009D70F4">
            <w:pPr>
              <w:pStyle w:val="List"/>
              <w:ind w:left="0" w:firstLine="0"/>
              <w:jc w:val="center"/>
              <w:rPr>
                <w:sz w:val="20"/>
              </w:rPr>
            </w:pPr>
            <w:r w:rsidRPr="00CC731E">
              <w:rPr>
                <w:sz w:val="20"/>
              </w:rPr>
              <w:t>0.70%</w:t>
            </w:r>
          </w:p>
        </w:tc>
      </w:tr>
      <w:tr w:rsidR="00651F88" w:rsidRPr="00CC731E" w14:paraId="4603C5EF" w14:textId="77777777" w:rsidTr="009D70F4">
        <w:tc>
          <w:tcPr>
            <w:tcW w:w="1530" w:type="dxa"/>
            <w:shd w:val="clear" w:color="auto" w:fill="auto"/>
            <w:vAlign w:val="center"/>
          </w:tcPr>
          <w:p w14:paraId="2CFBA956" w14:textId="77777777" w:rsidR="00651F88" w:rsidRPr="00CC731E" w:rsidRDefault="00651F88" w:rsidP="009D70F4">
            <w:pPr>
              <w:pStyle w:val="List"/>
              <w:ind w:left="0" w:firstLine="0"/>
              <w:jc w:val="center"/>
              <w:rPr>
                <w:sz w:val="20"/>
              </w:rPr>
            </w:pPr>
            <w:r w:rsidRPr="00CC731E">
              <w:rPr>
                <w:sz w:val="20"/>
              </w:rPr>
              <w:t>Below A-</w:t>
            </w:r>
          </w:p>
        </w:tc>
        <w:tc>
          <w:tcPr>
            <w:tcW w:w="1440" w:type="dxa"/>
            <w:shd w:val="clear" w:color="auto" w:fill="auto"/>
            <w:vAlign w:val="center"/>
          </w:tcPr>
          <w:p w14:paraId="4D9C14AB" w14:textId="77777777" w:rsidR="00651F88" w:rsidRPr="00CC731E" w:rsidRDefault="00651F88" w:rsidP="009D70F4">
            <w:pPr>
              <w:pStyle w:val="List"/>
              <w:ind w:left="0" w:firstLine="0"/>
              <w:jc w:val="center"/>
              <w:rPr>
                <w:sz w:val="20"/>
              </w:rPr>
            </w:pPr>
            <w:r w:rsidRPr="00CC731E">
              <w:rPr>
                <w:sz w:val="20"/>
              </w:rPr>
              <w:t>Below A3</w:t>
            </w:r>
          </w:p>
        </w:tc>
        <w:tc>
          <w:tcPr>
            <w:tcW w:w="2335" w:type="dxa"/>
            <w:shd w:val="clear" w:color="auto" w:fill="auto"/>
            <w:vAlign w:val="center"/>
          </w:tcPr>
          <w:p w14:paraId="77D1C872" w14:textId="77777777" w:rsidR="00651F88" w:rsidRPr="00CC731E" w:rsidRDefault="00651F88" w:rsidP="009D70F4">
            <w:pPr>
              <w:pStyle w:val="List"/>
              <w:ind w:left="0" w:firstLine="0"/>
              <w:jc w:val="center"/>
              <w:rPr>
                <w:sz w:val="20"/>
              </w:rPr>
            </w:pPr>
            <w:r w:rsidRPr="00CC731E">
              <w:rPr>
                <w:sz w:val="20"/>
              </w:rPr>
              <w:t>Not accepted</w:t>
            </w:r>
          </w:p>
        </w:tc>
      </w:tr>
    </w:tbl>
    <w:p w14:paraId="19CD39DE" w14:textId="77777777" w:rsidR="00651F88" w:rsidRPr="00CC731E" w:rsidRDefault="00651F88" w:rsidP="00651F88">
      <w:pPr>
        <w:pStyle w:val="List"/>
        <w:spacing w:before="240"/>
        <w:ind w:left="2880"/>
      </w:pPr>
      <w:r w:rsidRPr="00CC731E">
        <w:t>(A)</w:t>
      </w:r>
      <w:r w:rsidRPr="00CC731E">
        <w:tab/>
        <w:t xml:space="preserve">Each </w:t>
      </w:r>
      <w:r>
        <w:t>letter of credit</w:t>
      </w:r>
      <w:r w:rsidRPr="00CC731E">
        <w:t xml:space="preserve"> issuer limit is also subject to an overall limit of $750 million per issuer.</w:t>
      </w:r>
    </w:p>
    <w:p w14:paraId="7131BD88" w14:textId="77777777" w:rsidR="00651F88" w:rsidRPr="00CC731E" w:rsidRDefault="00651F88" w:rsidP="00651F88">
      <w:pPr>
        <w:pStyle w:val="List"/>
        <w:ind w:left="2880"/>
      </w:pPr>
      <w:r w:rsidRPr="00CC731E">
        <w:t>(</w:t>
      </w:r>
      <w:r>
        <w:t>B</w:t>
      </w:r>
      <w:r w:rsidRPr="00CC731E">
        <w:t>)</w:t>
      </w:r>
      <w:r w:rsidRPr="00CC731E">
        <w:tab/>
        <w:t xml:space="preserve">Each Bank Business Day, ERCOT will issue a report of each </w:t>
      </w:r>
      <w:r>
        <w:t>letter of credit</w:t>
      </w:r>
      <w:r w:rsidRPr="00CC731E">
        <w:t xml:space="preserve"> issuer detailing the issuer’s dollar amount of the </w:t>
      </w:r>
      <w:r>
        <w:t>letters of credit</w:t>
      </w:r>
      <w:r w:rsidRPr="00CC731E">
        <w:t xml:space="preserve"> currently issued to ERCOT, the issuer’s computed aggregate concentration limit, and the unused capacity under that limit.  Market Participants may inquire of ERCOT about intra-day changes to the amount of posted </w:t>
      </w:r>
      <w:r>
        <w:t>letters of credit</w:t>
      </w:r>
      <w:r w:rsidRPr="00CC731E">
        <w:t>.</w:t>
      </w:r>
    </w:p>
    <w:p w14:paraId="1C40F9FA" w14:textId="77777777" w:rsidR="00651F88" w:rsidRPr="00CC731E" w:rsidRDefault="00651F88" w:rsidP="00651F88">
      <w:pPr>
        <w:pStyle w:val="List"/>
        <w:ind w:left="2880"/>
      </w:pPr>
      <w:r w:rsidRPr="00CC731E">
        <w:t>(</w:t>
      </w:r>
      <w:r>
        <w:t>C</w:t>
      </w:r>
      <w:r w:rsidRPr="00CC731E">
        <w:t>)</w:t>
      </w:r>
      <w:r w:rsidRPr="00CC731E">
        <w:tab/>
        <w:t xml:space="preserve">If a letter of credit issuer limit is breached, Counter-Parties utilizing that issuer will be notified and no new </w:t>
      </w:r>
      <w:r>
        <w:t>letters of credit</w:t>
      </w:r>
      <w:r w:rsidRPr="00CC731E">
        <w:t xml:space="preserve"> from the issuer will be accepted while the limit remains breached.</w:t>
      </w:r>
    </w:p>
    <w:p w14:paraId="03C2B122" w14:textId="77777777" w:rsidR="00651F88" w:rsidRPr="00CC731E" w:rsidRDefault="00651F88" w:rsidP="00651F88">
      <w:pPr>
        <w:pStyle w:val="List"/>
        <w:ind w:left="2880"/>
      </w:pPr>
      <w:r w:rsidRPr="00CC731E">
        <w:t>(</w:t>
      </w:r>
      <w:r>
        <w:t>D</w:t>
      </w:r>
      <w:r w:rsidRPr="00CC731E">
        <w:t>)</w:t>
      </w:r>
      <w:r w:rsidRPr="00CC731E">
        <w:tab/>
        <w:t xml:space="preserve">After four months of the limit in breach, ERCOT will no longer accept new </w:t>
      </w:r>
      <w:r>
        <w:t>letters of credit</w:t>
      </w:r>
      <w:r w:rsidRPr="00CC731E">
        <w:t xml:space="preserve"> or amendments to existing </w:t>
      </w:r>
      <w:r>
        <w:t>letters of credit</w:t>
      </w:r>
      <w:r w:rsidRPr="00CC731E">
        <w:t xml:space="preserve"> from that issuer.</w:t>
      </w:r>
    </w:p>
    <w:p w14:paraId="5F121980" w14:textId="77777777" w:rsidR="00651F88" w:rsidRPr="00CC731E" w:rsidRDefault="00651F88" w:rsidP="00651F88">
      <w:pPr>
        <w:pStyle w:val="List"/>
        <w:ind w:left="2880"/>
      </w:pPr>
      <w:r w:rsidRPr="00CC731E">
        <w:t>(</w:t>
      </w:r>
      <w:r>
        <w:t>E</w:t>
      </w:r>
      <w:r w:rsidRPr="00CC731E">
        <w:t>)</w:t>
      </w:r>
      <w:r w:rsidRPr="00CC731E">
        <w:tab/>
      </w:r>
      <w:r>
        <w:t>Letters of credit</w:t>
      </w:r>
      <w:r w:rsidRPr="00CC731E">
        <w:t xml:space="preserve"> held as collateral at the time of an issuer limit breach will not be rejected.</w:t>
      </w:r>
    </w:p>
    <w:p w14:paraId="54692D86" w14:textId="77777777" w:rsidR="00651F88" w:rsidRDefault="00651F88" w:rsidP="00651F88">
      <w:pPr>
        <w:pStyle w:val="List"/>
        <w:ind w:left="2880"/>
      </w:pPr>
      <w:r w:rsidRPr="00CC731E">
        <w:t>(</w:t>
      </w:r>
      <w:r>
        <w:t>F</w:t>
      </w:r>
      <w:r w:rsidRPr="00CC731E">
        <w:t>)</w:t>
      </w:r>
      <w:r w:rsidRPr="00CC731E">
        <w:tab/>
        <w:t xml:space="preserve">ERCOT in its sole discretion may authorize exceptions to these limits. </w:t>
      </w:r>
      <w:r>
        <w:t xml:space="preserve"> </w:t>
      </w:r>
    </w:p>
    <w:p w14:paraId="62044857" w14:textId="77777777" w:rsidR="00651F88" w:rsidRPr="00CC731E" w:rsidRDefault="00651F88" w:rsidP="00651F88">
      <w:pPr>
        <w:pStyle w:val="List"/>
        <w:ind w:left="2880"/>
      </w:pPr>
      <w:r>
        <w:t>(G)</w:t>
      </w:r>
      <w:r>
        <w:tab/>
      </w:r>
      <w:r w:rsidRPr="00CC731E">
        <w:t xml:space="preserve">Revisions to the issuer limit calculation in this Section will be recommended by </w:t>
      </w:r>
      <w:r w:rsidR="002D20F3">
        <w:t>the Technical Advisory Committee (</w:t>
      </w:r>
      <w:r w:rsidRPr="00CC731E">
        <w:t>TAC</w:t>
      </w:r>
      <w:r w:rsidR="005473F9">
        <w:t>)</w:t>
      </w:r>
      <w:r w:rsidRPr="00CC731E">
        <w:t xml:space="preserve"> and </w:t>
      </w:r>
      <w:r w:rsidRPr="00CC731E">
        <w:lastRenderedPageBreak/>
        <w:t>approved by the ERCOT Board.  ERCOT shall update parameter values on the first day of the month following ERCOT Board approval unless otherwise directed by the ERCOT Board.  ERCOT shall provide a Market Notice prior to implementation of a revised parameter value.</w:t>
      </w:r>
    </w:p>
    <w:p w14:paraId="59582990" w14:textId="77777777" w:rsidR="00651F88" w:rsidRPr="00CC731E" w:rsidRDefault="00651F88" w:rsidP="00651F88">
      <w:pPr>
        <w:pStyle w:val="List"/>
      </w:pPr>
      <w:r w:rsidRPr="00CC731E">
        <w:t>(c)</w:t>
      </w:r>
      <w:r w:rsidRPr="00CC731E">
        <w:tab/>
        <w:t xml:space="preserve">The Counter-Party may give a surety bond naming ERCOT as the beneficiary.  </w:t>
      </w:r>
    </w:p>
    <w:p w14:paraId="263F7219" w14:textId="77777777" w:rsidR="00651F88" w:rsidRPr="00CC731E" w:rsidRDefault="00651F88" w:rsidP="00651F88">
      <w:pPr>
        <w:pStyle w:val="List"/>
        <w:ind w:left="2160"/>
      </w:pPr>
      <w:r w:rsidRPr="00CC731E">
        <w:t>(i)</w:t>
      </w:r>
      <w:r w:rsidRPr="00CC731E">
        <w:tab/>
        <w:t>The surety bond must be signed by a surety acceptable to ERCOT, in its sole discretion and must be in the form of ERCOT’s standard surety bond form approved by the ERCOT Board.  No modifications to the form are permitted.</w:t>
      </w:r>
    </w:p>
    <w:p w14:paraId="6B08FB6D" w14:textId="77777777" w:rsidR="00651F88" w:rsidRPr="00CC731E" w:rsidRDefault="00651F88" w:rsidP="00651F88">
      <w:pPr>
        <w:pStyle w:val="List"/>
        <w:ind w:left="2160"/>
      </w:pPr>
      <w:r w:rsidRPr="00CC731E">
        <w:t>(ii)</w:t>
      </w:r>
      <w:r w:rsidRPr="00CC731E">
        <w:tab/>
        <w:t>The surety bond must be issued by an insurance company with a minimum rating of A- with S&amp;P or Fitch or A3 with Moody’s.</w:t>
      </w:r>
    </w:p>
    <w:p w14:paraId="52A27657" w14:textId="77777777" w:rsidR="00651F88" w:rsidRPr="00CC731E" w:rsidRDefault="00651F88" w:rsidP="00651F88">
      <w:pPr>
        <w:pStyle w:val="List"/>
        <w:ind w:left="2160"/>
      </w:pPr>
      <w:r w:rsidRPr="00CC731E">
        <w:t>(iii)</w:t>
      </w:r>
      <w:r w:rsidRPr="00CC731E">
        <w:tab/>
        <w:t>Surety bonds are subject to a limit of $10 million per Counter-Party per insurer and an overall limit of $100 million per insurer for all ERCOT Counter-Parties.</w:t>
      </w:r>
    </w:p>
    <w:p w14:paraId="6E2BAA15" w14:textId="77777777" w:rsidR="005A2AD9" w:rsidRDefault="00A44688" w:rsidP="00A44688">
      <w:pPr>
        <w:spacing w:after="240"/>
        <w:ind w:left="1440" w:hanging="720"/>
      </w:pPr>
      <w:r w:rsidRPr="00AF4A46">
        <w:t>(d)</w:t>
      </w:r>
      <w:r w:rsidRPr="00AF4A46">
        <w:tab/>
        <w:t xml:space="preserve">The Counter-Party may deposit Cash Collateral with ERCOT with the understanding that ERCOT may draw part or all of the deposited cash to satisfy any overdue payments owed by the Counter-Party to ERCOT.  The Cash Collateral may bear interest payable directly to the Counter-Party, but any such arrangements may not restrict ERCOT’s immediate access to the cash.  </w:t>
      </w:r>
    </w:p>
    <w:p w14:paraId="66477FA9" w14:textId="77777777" w:rsidR="005A2AD9" w:rsidRDefault="005A2AD9" w:rsidP="005A2AD9">
      <w:pPr>
        <w:spacing w:after="240"/>
        <w:ind w:left="2160" w:hanging="720"/>
      </w:pPr>
      <w:r>
        <w:t>(i)</w:t>
      </w:r>
      <w:r>
        <w:tab/>
        <w:t>Interest on Cash Collateral will be calculated based on Counter-Party average Cash Collateral balances.  Interest is not paid on Cash Collateral balances held by ERCOT where, in accordance with paragraph (4) of Section 16.11.7, Release of Market Participant’s Financial Security Requirement, the Counter-Party’s Standard Form Market Participant Agreement has been terminated and ERCOT has determined that no obligations remain owing or will become due and payable.</w:t>
      </w:r>
    </w:p>
    <w:p w14:paraId="3DA2B741" w14:textId="5FF96BE1" w:rsidR="00A44688" w:rsidRDefault="005A2AD9" w:rsidP="0078184C">
      <w:pPr>
        <w:spacing w:after="240"/>
        <w:ind w:left="2160" w:hanging="720"/>
      </w:pPr>
      <w:r>
        <w:t>(ii)</w:t>
      </w:r>
      <w:r>
        <w:tab/>
      </w:r>
      <w:r w:rsidR="00A44688" w:rsidRPr="00AF4A46">
        <w:t>Once per year, ERCOT will</w:t>
      </w:r>
      <w:r w:rsidR="00A44688">
        <w:t>:</w:t>
      </w:r>
      <w:r w:rsidR="00A44688" w:rsidRPr="00AF4A46">
        <w:t xml:space="preserve"> </w:t>
      </w:r>
    </w:p>
    <w:p w14:paraId="265D15AD" w14:textId="25AC79C8" w:rsidR="00A44688" w:rsidRDefault="00A44688" w:rsidP="0078184C">
      <w:pPr>
        <w:pStyle w:val="List"/>
        <w:ind w:left="2880"/>
      </w:pPr>
      <w:r w:rsidRPr="00AF4A46">
        <w:t>(</w:t>
      </w:r>
      <w:r w:rsidR="005A2AD9">
        <w:t>A</w:t>
      </w:r>
      <w:r w:rsidRPr="00AF4A46">
        <w:t>)</w:t>
      </w:r>
      <w:r w:rsidRPr="00CC731E">
        <w:t xml:space="preserve"> </w:t>
      </w:r>
      <w:r w:rsidRPr="00CC731E">
        <w:tab/>
      </w:r>
      <w:r>
        <w:t>R</w:t>
      </w:r>
      <w:r w:rsidRPr="00AF4A46">
        <w:t xml:space="preserve">eturn interest earned on a </w:t>
      </w:r>
      <w:r w:rsidRPr="0078184C">
        <w:t>Counter-Party</w:t>
      </w:r>
      <w:r w:rsidRPr="00AF4A46">
        <w:t xml:space="preserve">’s Cash Collateral to the </w:t>
      </w:r>
      <w:r w:rsidRPr="0078184C">
        <w:t>Counter-Party</w:t>
      </w:r>
      <w:r w:rsidRPr="00AF4A46">
        <w:t xml:space="preserve"> if the amount of interest earned is greater than $50</w:t>
      </w:r>
      <w:r>
        <w:t>;</w:t>
      </w:r>
      <w:r w:rsidRPr="00AF4A46">
        <w:t xml:space="preserve"> or </w:t>
      </w:r>
    </w:p>
    <w:p w14:paraId="5C155840" w14:textId="64C8A5C7" w:rsidR="00A44688" w:rsidRDefault="00A44688" w:rsidP="0078184C">
      <w:pPr>
        <w:pStyle w:val="List"/>
        <w:ind w:left="2880"/>
      </w:pPr>
      <w:r w:rsidRPr="00AF4A46">
        <w:t>(</w:t>
      </w:r>
      <w:r w:rsidR="005A2AD9">
        <w:t>B</w:t>
      </w:r>
      <w:r w:rsidRPr="00AF4A46">
        <w:t>)</w:t>
      </w:r>
      <w:r w:rsidRPr="00CC731E">
        <w:t xml:space="preserve"> </w:t>
      </w:r>
      <w:r w:rsidRPr="00CC731E">
        <w:tab/>
      </w:r>
      <w:r>
        <w:t>R</w:t>
      </w:r>
      <w:r w:rsidRPr="00AF4A46">
        <w:t xml:space="preserve">etain interest earned on a </w:t>
      </w:r>
      <w:r w:rsidRPr="0078184C">
        <w:t>Counter-Party</w:t>
      </w:r>
      <w:r w:rsidRPr="00AF4A46">
        <w:t xml:space="preserve">’s Cash Collateral as additional Cash Collateral if the amount of interest earned is less than or equal to $50.  </w:t>
      </w:r>
    </w:p>
    <w:p w14:paraId="39E77740" w14:textId="1681AA51" w:rsidR="00FC1C5F" w:rsidRDefault="005A2AD9" w:rsidP="0078184C">
      <w:pPr>
        <w:spacing w:after="240"/>
        <w:ind w:left="2160" w:hanging="720"/>
      </w:pPr>
      <w:r>
        <w:t>(iii)</w:t>
      </w:r>
      <w:r>
        <w:tab/>
      </w:r>
      <w:r w:rsidR="00A44688" w:rsidRPr="00AF4A46">
        <w:t>ERCOT has a security interest in all property delivered by the Counter-Party to ERCOT from time to tim</w:t>
      </w:r>
      <w:r w:rsidR="00A44688">
        <w:t xml:space="preserve">e to meet the creditworthiness </w:t>
      </w:r>
      <w:r w:rsidR="00A44688" w:rsidRPr="00AF4A46">
        <w:t>requirements, and that property secures all amounts owed by the Counter-Party to ERCOT.</w:t>
      </w:r>
    </w:p>
    <w:p w14:paraId="7FD6B095" w14:textId="77777777" w:rsidR="00FC1C5F" w:rsidRDefault="00727E32" w:rsidP="00D169BA">
      <w:pPr>
        <w:pStyle w:val="H3"/>
        <w:spacing w:before="480"/>
      </w:pPr>
      <w:bookmarkStart w:id="439" w:name="_Toc390438965"/>
      <w:bookmarkStart w:id="440" w:name="_Toc405897662"/>
      <w:bookmarkStart w:id="441" w:name="_Toc415055766"/>
      <w:bookmarkStart w:id="442" w:name="_Toc415055892"/>
      <w:bookmarkStart w:id="443" w:name="_Toc415055991"/>
      <w:bookmarkStart w:id="444" w:name="_Toc415056092"/>
      <w:bookmarkStart w:id="445" w:name="_Toc70591633"/>
      <w:r>
        <w:lastRenderedPageBreak/>
        <w:t>16.11.4</w:t>
      </w:r>
      <w:r>
        <w:tab/>
        <w:t>Determination and Monitoring of Counter-Party Credit Exposure</w:t>
      </w:r>
      <w:bookmarkEnd w:id="439"/>
      <w:bookmarkEnd w:id="440"/>
      <w:bookmarkEnd w:id="441"/>
      <w:bookmarkEnd w:id="442"/>
      <w:bookmarkEnd w:id="443"/>
      <w:bookmarkEnd w:id="444"/>
      <w:bookmarkEnd w:id="445"/>
    </w:p>
    <w:p w14:paraId="6A413844" w14:textId="77777777" w:rsidR="00856F40" w:rsidRPr="0002450E" w:rsidRDefault="00856F40" w:rsidP="00856F40">
      <w:pPr>
        <w:pStyle w:val="H4"/>
        <w:spacing w:before="120"/>
        <w:ind w:left="1267" w:hanging="1267"/>
        <w:rPr>
          <w:b/>
          <w:bCs/>
        </w:rPr>
      </w:pPr>
      <w:bookmarkStart w:id="446" w:name="_Toc390438966"/>
      <w:bookmarkStart w:id="447" w:name="_Toc405897663"/>
      <w:bookmarkStart w:id="448" w:name="_Toc415055767"/>
      <w:bookmarkStart w:id="449" w:name="_Toc415055893"/>
      <w:bookmarkStart w:id="450" w:name="_Toc415055992"/>
      <w:bookmarkStart w:id="451" w:name="_Toc415056093"/>
      <w:bookmarkStart w:id="452" w:name="_Toc70591634"/>
      <w:r w:rsidRPr="0002450E">
        <w:rPr>
          <w:b/>
          <w:bCs/>
        </w:rPr>
        <w:t>16.11.4.1</w:t>
      </w:r>
      <w:r w:rsidRPr="0002450E">
        <w:rPr>
          <w:b/>
          <w:bCs/>
        </w:rPr>
        <w:tab/>
        <w:t>Determination of Total Potential Exposure for a Counter-Party</w:t>
      </w:r>
      <w:bookmarkEnd w:id="446"/>
      <w:bookmarkEnd w:id="447"/>
      <w:bookmarkEnd w:id="448"/>
      <w:bookmarkEnd w:id="449"/>
      <w:bookmarkEnd w:id="450"/>
      <w:bookmarkEnd w:id="451"/>
      <w:bookmarkEnd w:id="452"/>
    </w:p>
    <w:p w14:paraId="63187785" w14:textId="77777777" w:rsidR="00856F40" w:rsidRDefault="00856F40" w:rsidP="00856F40">
      <w:pPr>
        <w:pStyle w:val="BodyTextNumbered"/>
      </w:pPr>
      <w:r>
        <w:t>(1)</w:t>
      </w:r>
      <w:r>
        <w:tab/>
        <w:t xml:space="preserve">A Counter-Party’s TPE is the sum of its “Total Potential Exposure Any” (TPEA) and TPES:  </w:t>
      </w:r>
    </w:p>
    <w:p w14:paraId="3CAE1BF5" w14:textId="77777777" w:rsidR="00856F40" w:rsidRDefault="00856F40" w:rsidP="00856F40">
      <w:pPr>
        <w:pStyle w:val="BodyTextNumbered"/>
        <w:ind w:left="1440"/>
      </w:pPr>
      <w:r>
        <w:t>(a)</w:t>
      </w:r>
      <w:r>
        <w:tab/>
        <w:t xml:space="preserve">TPEA is the positive net exposure of the Counter-Party that may be satisfied by any forms of Financial Security defined under paragraphs </w:t>
      </w:r>
      <w:r w:rsidR="000B6F80">
        <w:t>(1)</w:t>
      </w:r>
      <w:r>
        <w:t xml:space="preserve">(a) through </w:t>
      </w:r>
      <w:r w:rsidR="00DE2134">
        <w:t>(1)</w:t>
      </w:r>
      <w:r>
        <w:t xml:space="preserve">(d) of Section 16.11.3, </w:t>
      </w:r>
      <w:r w:rsidRPr="00442B0C">
        <w:t>Alternative Means of Satisfying ERCOT Creditworthiness Requirements</w:t>
      </w:r>
      <w:r>
        <w:t>.  TPEA will include all exposure not included in TPES.</w:t>
      </w:r>
    </w:p>
    <w:p w14:paraId="7E735C65" w14:textId="77777777" w:rsidR="00856F40" w:rsidRDefault="00856F40" w:rsidP="00856F40">
      <w:pPr>
        <w:pStyle w:val="BodyTextNumbered"/>
        <w:ind w:left="1440"/>
      </w:pPr>
      <w:r>
        <w:t>(b)</w:t>
      </w:r>
      <w:r>
        <w:tab/>
        <w:t xml:space="preserve">TPES is the positive net exposure of the Counter-Party that may be satisfied only by forms of Financial Security defined under paragraphs </w:t>
      </w:r>
      <w:r w:rsidR="000B6F80">
        <w:t>(1)</w:t>
      </w:r>
      <w:r>
        <w:t xml:space="preserve">(b) through </w:t>
      </w:r>
      <w:r w:rsidR="00DE2134">
        <w:t>(1)</w:t>
      </w:r>
      <w:r>
        <w:t xml:space="preserve">(d) of Section 16.11.3.  The </w:t>
      </w:r>
      <w:r w:rsidR="00355D7A">
        <w:t>Future Credit Exposure (</w:t>
      </w:r>
      <w:r>
        <w:t>FCE</w:t>
      </w:r>
      <w:r w:rsidR="00355D7A">
        <w:t>)</w:t>
      </w:r>
      <w:r>
        <w:t xml:space="preserve"> that reflects the future mark-to-market value for CRRs registered in the name of the Counter-</w:t>
      </w:r>
      <w:r w:rsidRPr="00030D28">
        <w:t>Party is included in TPES.</w:t>
      </w:r>
    </w:p>
    <w:p w14:paraId="2AAC7917" w14:textId="77777777" w:rsidR="002D0D49" w:rsidRDefault="002D0D49" w:rsidP="002D0D49">
      <w:pPr>
        <w:pStyle w:val="BodyTextNumbered"/>
      </w:pPr>
      <w:r>
        <w:t>(2)</w:t>
      </w:r>
      <w:r>
        <w:tab/>
        <w:t>For all Counter-Parties:</w:t>
      </w:r>
    </w:p>
    <w:p w14:paraId="35AE3E7F" w14:textId="77777777" w:rsidR="002D0D49" w:rsidRDefault="002D0D49" w:rsidP="002D0D49">
      <w:pPr>
        <w:pStyle w:val="BodyText"/>
        <w:tabs>
          <w:tab w:val="left" w:pos="1440"/>
        </w:tabs>
        <w:ind w:left="2160" w:hanging="1440"/>
      </w:pPr>
      <w:r w:rsidRPr="002C0418">
        <w:t xml:space="preserve">TPEA </w:t>
      </w:r>
      <w:r w:rsidRPr="002C0418">
        <w:tab/>
        <w:t xml:space="preserve">= </w:t>
      </w:r>
      <w:r w:rsidRPr="002C0418">
        <w:tab/>
        <w:t xml:space="preserve">Max [0, MCE, Max [0, </w:t>
      </w:r>
      <w:r w:rsidRPr="00FF36D0">
        <w:t xml:space="preserve">((1-TOA) * EAL </w:t>
      </w:r>
      <w:r w:rsidRPr="00FF36D0">
        <w:rPr>
          <w:i/>
          <w:vertAlign w:val="subscript"/>
        </w:rPr>
        <w:t>q</w:t>
      </w:r>
      <w:r w:rsidRPr="00FF36D0">
        <w:t xml:space="preserve"> + TOA * EAL</w:t>
      </w:r>
      <w:r>
        <w:t xml:space="preserve"> </w:t>
      </w:r>
      <w:r w:rsidRPr="00B3490C">
        <w:rPr>
          <w:i/>
          <w:vertAlign w:val="subscript"/>
        </w:rPr>
        <w:t>t</w:t>
      </w:r>
      <w:r w:rsidRPr="00D77426">
        <w:t xml:space="preserve"> +</w:t>
      </w:r>
      <w:r w:rsidRPr="002C0418">
        <w:rPr>
          <w:vertAlign w:val="subscript"/>
        </w:rPr>
        <w:t xml:space="preserve"> </w:t>
      </w:r>
      <w:r>
        <w:t xml:space="preserve">EAL </w:t>
      </w:r>
      <w:r w:rsidRPr="00D77426">
        <w:rPr>
          <w:i/>
          <w:vertAlign w:val="subscript"/>
        </w:rPr>
        <w:t>a</w:t>
      </w:r>
      <w:r>
        <w:t>)]] + PUL</w:t>
      </w:r>
    </w:p>
    <w:p w14:paraId="78A0717D" w14:textId="77777777" w:rsidR="002D0D49" w:rsidRDefault="002D0D49" w:rsidP="002D0D49">
      <w:pPr>
        <w:pStyle w:val="BodyTextNumbered"/>
        <w:ind w:left="1440"/>
      </w:pPr>
      <w:r>
        <w:t>TPES</w:t>
      </w:r>
      <w:r>
        <w:tab/>
        <w:t>=</w:t>
      </w:r>
      <w:r>
        <w:tab/>
        <w:t xml:space="preserve">Max [0, FCE </w:t>
      </w:r>
      <w:r w:rsidRPr="00D77426">
        <w:rPr>
          <w:i/>
          <w:vertAlign w:val="subscript"/>
        </w:rPr>
        <w:t>a</w:t>
      </w:r>
      <w:r>
        <w:t>] + IA</w:t>
      </w:r>
    </w:p>
    <w:p w14:paraId="3E2EC311" w14:textId="77777777" w:rsidR="002D0D49" w:rsidRDefault="002D0D49" w:rsidP="002D0D49">
      <w:pPr>
        <w:pStyle w:val="BodyText"/>
        <w:spacing w:after="0"/>
      </w:pPr>
      <w:r>
        <w:rPr>
          <w:iCs w:val="0"/>
        </w:rPr>
        <w:t>The above variables are defined as follows:</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1021"/>
        <w:gridCol w:w="6666"/>
      </w:tblGrid>
      <w:tr w:rsidR="002D0D49" w14:paraId="6A2B50C5" w14:textId="77777777" w:rsidTr="009F2C2F">
        <w:trPr>
          <w:trHeight w:val="351"/>
          <w:tblHeader/>
        </w:trPr>
        <w:tc>
          <w:tcPr>
            <w:tcW w:w="1652" w:type="dxa"/>
          </w:tcPr>
          <w:p w14:paraId="22FE4A5B" w14:textId="77777777" w:rsidR="002D0D49" w:rsidRDefault="002D0D49" w:rsidP="0031595F">
            <w:pPr>
              <w:pStyle w:val="TableHead"/>
            </w:pPr>
            <w:r>
              <w:t>Variable</w:t>
            </w:r>
          </w:p>
        </w:tc>
        <w:tc>
          <w:tcPr>
            <w:tcW w:w="986" w:type="dxa"/>
          </w:tcPr>
          <w:p w14:paraId="10773D1C" w14:textId="77777777" w:rsidR="002D0D49" w:rsidRDefault="002D0D49" w:rsidP="0031595F">
            <w:pPr>
              <w:pStyle w:val="TableHead"/>
            </w:pPr>
            <w:r>
              <w:t>Unit</w:t>
            </w:r>
          </w:p>
        </w:tc>
        <w:tc>
          <w:tcPr>
            <w:tcW w:w="6694" w:type="dxa"/>
          </w:tcPr>
          <w:p w14:paraId="4970098D" w14:textId="77777777" w:rsidR="002D0D49" w:rsidRDefault="002D0D49" w:rsidP="0031595F">
            <w:pPr>
              <w:pStyle w:val="TableHead"/>
            </w:pPr>
            <w:r>
              <w:t>Description</w:t>
            </w:r>
          </w:p>
        </w:tc>
      </w:tr>
      <w:tr w:rsidR="002D0D49" w14:paraId="0485A70D" w14:textId="77777777" w:rsidTr="009F2C2F">
        <w:trPr>
          <w:trHeight w:val="519"/>
        </w:trPr>
        <w:tc>
          <w:tcPr>
            <w:tcW w:w="1652" w:type="dxa"/>
          </w:tcPr>
          <w:p w14:paraId="1AC67AA6" w14:textId="77777777" w:rsidR="002D0D49" w:rsidRPr="00FF36D0" w:rsidRDefault="002D0D49" w:rsidP="0031595F">
            <w:pPr>
              <w:pStyle w:val="TableBody"/>
            </w:pPr>
            <w:r w:rsidRPr="00FF36D0">
              <w:t xml:space="preserve">EAL </w:t>
            </w:r>
            <w:r w:rsidRPr="00FF36D0">
              <w:rPr>
                <w:i/>
                <w:vertAlign w:val="subscript"/>
              </w:rPr>
              <w:t>q</w:t>
            </w:r>
          </w:p>
        </w:tc>
        <w:tc>
          <w:tcPr>
            <w:tcW w:w="986" w:type="dxa"/>
          </w:tcPr>
          <w:p w14:paraId="4B5BE70E" w14:textId="77777777" w:rsidR="002D0D49" w:rsidRPr="00906156" w:rsidRDefault="002D0D49" w:rsidP="0031595F">
            <w:pPr>
              <w:pStyle w:val="TableBody"/>
            </w:pPr>
            <w:r w:rsidRPr="00906156">
              <w:t>$</w:t>
            </w:r>
          </w:p>
        </w:tc>
        <w:tc>
          <w:tcPr>
            <w:tcW w:w="6694" w:type="dxa"/>
          </w:tcPr>
          <w:p w14:paraId="1FBBD922" w14:textId="77777777" w:rsidR="002D0D49" w:rsidRPr="00484E48" w:rsidRDefault="002D0D49" w:rsidP="0031595F">
            <w:pPr>
              <w:pStyle w:val="TableBody"/>
            </w:pPr>
            <w:r w:rsidRPr="004F59D3">
              <w:rPr>
                <w:i/>
              </w:rPr>
              <w:t>Estimated Aggregate Liability for all QSEs that represents Load or generation</w:t>
            </w:r>
            <w:r w:rsidRPr="004F59D3">
              <w:t>—EAL for all QSEs represented by the Counter-Party if at least one QSE represented by the Counter-Party represents either Load or generation</w:t>
            </w:r>
            <w:r w:rsidRPr="00484E48">
              <w:t>.</w:t>
            </w:r>
          </w:p>
        </w:tc>
      </w:tr>
      <w:tr w:rsidR="002D0D49" w14:paraId="1FC7BB7B" w14:textId="77777777" w:rsidTr="009F2C2F">
        <w:trPr>
          <w:trHeight w:val="519"/>
        </w:trPr>
        <w:tc>
          <w:tcPr>
            <w:tcW w:w="1652" w:type="dxa"/>
          </w:tcPr>
          <w:p w14:paraId="16664BF5" w14:textId="77777777" w:rsidR="002D0D49" w:rsidRDefault="002D0D49" w:rsidP="0031595F">
            <w:pPr>
              <w:pStyle w:val="TableBody"/>
            </w:pPr>
            <w:r>
              <w:t xml:space="preserve">EAL </w:t>
            </w:r>
            <w:r w:rsidRPr="00D857C2">
              <w:rPr>
                <w:i/>
                <w:vertAlign w:val="subscript"/>
              </w:rPr>
              <w:t>t</w:t>
            </w:r>
          </w:p>
        </w:tc>
        <w:tc>
          <w:tcPr>
            <w:tcW w:w="986" w:type="dxa"/>
          </w:tcPr>
          <w:p w14:paraId="6D7CAC40" w14:textId="77777777" w:rsidR="002D0D49" w:rsidRDefault="002D0D49" w:rsidP="0031595F">
            <w:pPr>
              <w:pStyle w:val="TableBody"/>
            </w:pPr>
            <w:r>
              <w:t>$</w:t>
            </w:r>
          </w:p>
        </w:tc>
        <w:tc>
          <w:tcPr>
            <w:tcW w:w="6694" w:type="dxa"/>
          </w:tcPr>
          <w:p w14:paraId="62E90092" w14:textId="77777777" w:rsidR="002D0D49" w:rsidRPr="00B67540" w:rsidRDefault="002D0D49" w:rsidP="0031595F">
            <w:pPr>
              <w:pStyle w:val="TableBody"/>
              <w:rPr>
                <w:i/>
              </w:rPr>
            </w:pPr>
            <w:r>
              <w:rPr>
                <w:i/>
              </w:rPr>
              <w:t xml:space="preserve">Estimated Aggregate Liability for all QSEs </w:t>
            </w:r>
            <w:r>
              <w:t xml:space="preserve">—EAL for all QSEs represented by the Counter-Party </w:t>
            </w:r>
            <w:r w:rsidRPr="00FF36D0">
              <w:t>if none of the QSEs represented by the Counter-Party represent either Load or generation.</w:t>
            </w:r>
          </w:p>
        </w:tc>
      </w:tr>
      <w:tr w:rsidR="002D0D49" w14:paraId="083B2258" w14:textId="77777777" w:rsidTr="009F2C2F">
        <w:trPr>
          <w:trHeight w:val="519"/>
        </w:trPr>
        <w:tc>
          <w:tcPr>
            <w:tcW w:w="1652" w:type="dxa"/>
          </w:tcPr>
          <w:p w14:paraId="4C701A60" w14:textId="77777777" w:rsidR="002D0D49" w:rsidRDefault="002D0D49" w:rsidP="0031595F">
            <w:pPr>
              <w:pStyle w:val="TableBody"/>
            </w:pPr>
            <w:r>
              <w:t xml:space="preserve">EAL </w:t>
            </w:r>
            <w:r w:rsidRPr="00D77426">
              <w:rPr>
                <w:i/>
                <w:vertAlign w:val="subscript"/>
              </w:rPr>
              <w:t>a</w:t>
            </w:r>
          </w:p>
        </w:tc>
        <w:tc>
          <w:tcPr>
            <w:tcW w:w="986" w:type="dxa"/>
          </w:tcPr>
          <w:p w14:paraId="03B0B3AA" w14:textId="77777777" w:rsidR="002D0D49" w:rsidRDefault="002D0D49" w:rsidP="0031595F">
            <w:pPr>
              <w:pStyle w:val="TableBody"/>
            </w:pPr>
            <w:r>
              <w:t>$</w:t>
            </w:r>
          </w:p>
        </w:tc>
        <w:tc>
          <w:tcPr>
            <w:tcW w:w="6694" w:type="dxa"/>
          </w:tcPr>
          <w:p w14:paraId="2CE92B9E" w14:textId="77777777" w:rsidR="002D0D49" w:rsidRPr="00B67540" w:rsidRDefault="002D0D49" w:rsidP="0031595F">
            <w:pPr>
              <w:pStyle w:val="TableBody"/>
              <w:rPr>
                <w:i/>
              </w:rPr>
            </w:pPr>
            <w:r w:rsidRPr="00B67540">
              <w:rPr>
                <w:i/>
              </w:rPr>
              <w:t>Estimated Aggregate Liability</w:t>
            </w:r>
            <w:r>
              <w:rPr>
                <w:i/>
              </w:rPr>
              <w:t xml:space="preserve"> for all CRR Account Holders</w:t>
            </w:r>
            <w:r>
              <w:t>—EAL for all CRR Account Holders represented by the Counter-Party.</w:t>
            </w:r>
          </w:p>
        </w:tc>
      </w:tr>
      <w:tr w:rsidR="002D0D49" w14:paraId="6A75524F" w14:textId="77777777" w:rsidTr="009F2C2F">
        <w:trPr>
          <w:trHeight w:val="519"/>
        </w:trPr>
        <w:tc>
          <w:tcPr>
            <w:tcW w:w="1652" w:type="dxa"/>
          </w:tcPr>
          <w:p w14:paraId="5FA14A8E" w14:textId="77777777" w:rsidR="002D0D49" w:rsidRDefault="002D0D49" w:rsidP="0031595F">
            <w:pPr>
              <w:pStyle w:val="TableBody"/>
            </w:pPr>
            <w:r w:rsidRPr="005D51CF">
              <w:t>PUL</w:t>
            </w:r>
          </w:p>
        </w:tc>
        <w:tc>
          <w:tcPr>
            <w:tcW w:w="986" w:type="dxa"/>
          </w:tcPr>
          <w:p w14:paraId="49B61974" w14:textId="77777777" w:rsidR="002D0D49" w:rsidRDefault="002D0D49" w:rsidP="0031595F">
            <w:pPr>
              <w:pStyle w:val="TableBody"/>
            </w:pPr>
            <w:r w:rsidRPr="005D51CF">
              <w:t>$</w:t>
            </w:r>
          </w:p>
        </w:tc>
        <w:tc>
          <w:tcPr>
            <w:tcW w:w="6694" w:type="dxa"/>
          </w:tcPr>
          <w:p w14:paraId="69FB583F" w14:textId="20752A12" w:rsidR="002D0D49" w:rsidRPr="00B67540" w:rsidRDefault="002D0D49" w:rsidP="0031595F">
            <w:pPr>
              <w:pStyle w:val="TableBody"/>
              <w:rPr>
                <w:i/>
              </w:rPr>
            </w:pPr>
            <w:r w:rsidRPr="00BD7386">
              <w:rPr>
                <w:i/>
              </w:rPr>
              <w:t>Potential Uplift</w:t>
            </w:r>
            <w:r w:rsidRPr="005D51CF">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w:t>
            </w:r>
            <w:r w:rsidR="0088125F">
              <w:t>the lesser of: (</w:t>
            </w:r>
            <w:r w:rsidR="003A5AEB">
              <w:t>i</w:t>
            </w:r>
            <w:r w:rsidR="0088125F">
              <w:t xml:space="preserve">) </w:t>
            </w:r>
            <w:r w:rsidR="0088125F" w:rsidRPr="00413D4A">
              <w:t>25%</w:t>
            </w:r>
            <w:r w:rsidR="0088125F">
              <w:t xml:space="preserve"> </w:t>
            </w:r>
            <w:r w:rsidR="0088125F" w:rsidRPr="007C65AD">
              <w:t>of amounts expected to be uplifted beyond one year of the date of the calculation</w:t>
            </w:r>
            <w:r w:rsidR="0088125F">
              <w:t>; or (</w:t>
            </w:r>
            <w:r w:rsidR="003A5AEB">
              <w:t>ii</w:t>
            </w:r>
            <w:r w:rsidR="0088125F">
              <w:t>)</w:t>
            </w:r>
            <w:r w:rsidR="0088125F" w:rsidRPr="007C65AD">
              <w:t xml:space="preserve"> </w:t>
            </w:r>
            <w:r w:rsidR="0088125F">
              <w:t>five</w:t>
            </w:r>
            <w:r w:rsidR="0088125F" w:rsidRPr="007C65AD">
              <w:t xml:space="preserve"> years’ worth of uplift charges</w:t>
            </w:r>
            <w:r w:rsidRPr="005D51CF">
              <w:t xml:space="preserve">. </w:t>
            </w:r>
          </w:p>
        </w:tc>
      </w:tr>
      <w:tr w:rsidR="002D0D49" w14:paraId="3ED79B4E" w14:textId="77777777" w:rsidTr="009F2C2F">
        <w:trPr>
          <w:trHeight w:val="519"/>
        </w:trPr>
        <w:tc>
          <w:tcPr>
            <w:tcW w:w="1652" w:type="dxa"/>
          </w:tcPr>
          <w:p w14:paraId="31E39058" w14:textId="77777777" w:rsidR="002D0D49" w:rsidRDefault="002D0D49" w:rsidP="0031595F">
            <w:pPr>
              <w:pStyle w:val="TableBody"/>
            </w:pPr>
            <w:r>
              <w:t xml:space="preserve">FCE </w:t>
            </w:r>
            <w:r w:rsidRPr="00D77426">
              <w:rPr>
                <w:i/>
                <w:vertAlign w:val="subscript"/>
              </w:rPr>
              <w:t>a</w:t>
            </w:r>
          </w:p>
        </w:tc>
        <w:tc>
          <w:tcPr>
            <w:tcW w:w="986" w:type="dxa"/>
          </w:tcPr>
          <w:p w14:paraId="02254C2D" w14:textId="77777777" w:rsidR="002D0D49" w:rsidRDefault="002D0D49" w:rsidP="0031595F">
            <w:pPr>
              <w:pStyle w:val="TableBody"/>
            </w:pPr>
            <w:r>
              <w:t>$</w:t>
            </w:r>
          </w:p>
        </w:tc>
        <w:tc>
          <w:tcPr>
            <w:tcW w:w="6694" w:type="dxa"/>
          </w:tcPr>
          <w:p w14:paraId="6BE80368" w14:textId="77777777" w:rsidR="002D0D49" w:rsidRPr="00B67540" w:rsidRDefault="002D0D49" w:rsidP="0031595F">
            <w:pPr>
              <w:pStyle w:val="TableBody"/>
              <w:rPr>
                <w:i/>
              </w:rPr>
            </w:pPr>
            <w:r>
              <w:rPr>
                <w:i/>
              </w:rPr>
              <w:t>Future Credit Exposure for all CRR Account Holders</w:t>
            </w:r>
            <w:r>
              <w:t>—FCE for all CRR Account Holders represented by the Counter-Party.</w:t>
            </w:r>
          </w:p>
        </w:tc>
      </w:tr>
      <w:tr w:rsidR="002D0D49" w14:paraId="0845AF43" w14:textId="77777777" w:rsidTr="009F2C2F">
        <w:trPr>
          <w:trHeight w:val="519"/>
        </w:trPr>
        <w:tc>
          <w:tcPr>
            <w:tcW w:w="1652" w:type="dxa"/>
          </w:tcPr>
          <w:p w14:paraId="706DC6BD" w14:textId="77777777" w:rsidR="002D0D49" w:rsidRDefault="002D0D49" w:rsidP="0031595F">
            <w:pPr>
              <w:pStyle w:val="TableBody"/>
            </w:pPr>
            <w:r>
              <w:t>MCE</w:t>
            </w:r>
          </w:p>
        </w:tc>
        <w:tc>
          <w:tcPr>
            <w:tcW w:w="986" w:type="dxa"/>
          </w:tcPr>
          <w:p w14:paraId="3E6E44D6" w14:textId="77777777" w:rsidR="002D0D49" w:rsidRDefault="002D0D49" w:rsidP="0031595F">
            <w:pPr>
              <w:pStyle w:val="TableBody"/>
            </w:pPr>
            <w:r>
              <w:t>$</w:t>
            </w:r>
          </w:p>
        </w:tc>
        <w:tc>
          <w:tcPr>
            <w:tcW w:w="6694" w:type="dxa"/>
          </w:tcPr>
          <w:p w14:paraId="2753891B" w14:textId="77777777" w:rsidR="002D0D49" w:rsidRPr="00BE4766" w:rsidRDefault="002D0D49" w:rsidP="0031595F">
            <w:pPr>
              <w:pStyle w:val="TableBody"/>
            </w:pPr>
            <w:r w:rsidRPr="00BE4766">
              <w:rPr>
                <w:i/>
              </w:rPr>
              <w:t>Minimum</w:t>
            </w:r>
            <w:r>
              <w:rPr>
                <w:i/>
              </w:rPr>
              <w:t xml:space="preserve"> Current</w:t>
            </w:r>
            <w:r w:rsidRPr="00BE4766">
              <w:rPr>
                <w:i/>
              </w:rPr>
              <w:t xml:space="preserve"> Exposure</w:t>
            </w:r>
            <w:r>
              <w:t>—</w:t>
            </w:r>
            <w:r w:rsidRPr="00BE4766">
              <w:t>For each Counter-Party, ERCOT shall determine a Minimum C</w:t>
            </w:r>
            <w:r>
              <w:t xml:space="preserve">urrent </w:t>
            </w:r>
            <w:r w:rsidRPr="00BE4766">
              <w:t xml:space="preserve">Exposure (MCE) as follows:  </w:t>
            </w:r>
          </w:p>
          <w:p w14:paraId="4ABF8F99" w14:textId="77777777" w:rsidR="002D0D49" w:rsidRPr="00BE4766" w:rsidRDefault="002D0D49" w:rsidP="0031595F">
            <w:pPr>
              <w:pStyle w:val="TableBody"/>
            </w:pPr>
          </w:p>
          <w:p w14:paraId="31F4C2AA" w14:textId="087CEC9C" w:rsidR="002D0D49" w:rsidRPr="00FF36D0" w:rsidRDefault="002D0D49" w:rsidP="0031595F">
            <w:pPr>
              <w:pStyle w:val="TableBody"/>
              <w:ind w:left="1643" w:hanging="1411"/>
            </w:pPr>
            <w:r w:rsidRPr="00FF36D0">
              <w:lastRenderedPageBreak/>
              <w:t>MCE = Max[RFAF * MAF * Max[{</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e>
              </m:nary>
            </m:oMath>
            <w:r w:rsidRPr="00FF36D0">
              <w:rPr>
                <w:b/>
                <w:bCs/>
              </w:rPr>
              <w:t>[</w:t>
            </w:r>
            <w:r w:rsidRPr="00FF36D0">
              <w:t xml:space="preserve">L </w:t>
            </w:r>
            <w:r w:rsidRPr="00FF36D0">
              <w:rPr>
                <w:i/>
                <w:vertAlign w:val="subscript"/>
              </w:rPr>
              <w:t>i, od, p</w:t>
            </w:r>
            <w:r w:rsidRPr="00FF36D0">
              <w:t xml:space="preserve"> * RTSPP </w:t>
            </w:r>
            <w:r w:rsidRPr="00FF36D0">
              <w:rPr>
                <w:i/>
                <w:vertAlign w:val="subscript"/>
              </w:rPr>
              <w:t>i, od, p</w:t>
            </w:r>
            <w:r w:rsidRPr="00FF36D0">
              <w:t>]/</w:t>
            </w:r>
            <w:r w:rsidRPr="00FF36D0">
              <w:rPr>
                <w:i/>
              </w:rPr>
              <w:t>n</w:t>
            </w:r>
            <w:r w:rsidRPr="00FF36D0">
              <w:t>},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L </w:t>
            </w:r>
            <w:r w:rsidRPr="00FF36D0">
              <w:rPr>
                <w:i/>
                <w:vertAlign w:val="subscript"/>
              </w:rPr>
              <w:t>i, od, p</w:t>
            </w:r>
            <w:r w:rsidRPr="00FF36D0">
              <w:t xml:space="preserve"> * </w:t>
            </w:r>
            <w:r w:rsidRPr="00FF36D0">
              <w:rPr>
                <w:i/>
              </w:rPr>
              <w:t>T2</w:t>
            </w:r>
            <w:r w:rsidRPr="00FF36D0">
              <w:rPr>
                <w:vertAlign w:val="subscript"/>
              </w:rPr>
              <w:t xml:space="preserve">  </w:t>
            </w:r>
            <w:r w:rsidRPr="00FF36D0">
              <w:rPr>
                <w:b/>
                <w:bCs/>
              </w:rPr>
              <w:t xml:space="preserve">- </w:t>
            </w:r>
            <w:r w:rsidRPr="00FF36D0">
              <w:t xml:space="preserve">G </w:t>
            </w:r>
            <w:r w:rsidRPr="00FF36D0">
              <w:rPr>
                <w:i/>
                <w:vertAlign w:val="subscript"/>
              </w:rPr>
              <w:t>i, od, p</w:t>
            </w:r>
            <w:r w:rsidRPr="00FF36D0">
              <w:t xml:space="preserve"> * (1-</w:t>
            </w:r>
            <w:r w:rsidRPr="00FF36D0">
              <w:rPr>
                <w:i/>
              </w:rPr>
              <w:t>NUCADJ</w:t>
            </w:r>
            <w:r w:rsidRPr="00FF36D0">
              <w:t xml:space="preserve">) * </w:t>
            </w:r>
            <w:r w:rsidRPr="00FF36D0">
              <w:rPr>
                <w:i/>
              </w:rPr>
              <w:t>T3</w:t>
            </w:r>
            <w:r w:rsidRPr="00FF36D0">
              <w:t xml:space="preserve">] * RTSPP </w:t>
            </w:r>
            <w:r w:rsidRPr="00FF36D0">
              <w:rPr>
                <w:i/>
                <w:vertAlign w:val="subscript"/>
              </w:rPr>
              <w:t>i, od, p</w:t>
            </w:r>
            <w:r w:rsidRPr="00FF36D0">
              <w:t xml:space="preserve">] + [RTQQNET </w:t>
            </w:r>
            <w:r w:rsidRPr="00FF36D0">
              <w:rPr>
                <w:i/>
                <w:vertAlign w:val="subscript"/>
              </w:rPr>
              <w:t>i, od, p</w:t>
            </w:r>
            <w:r w:rsidRPr="00FF36D0">
              <w:rPr>
                <w:b/>
                <w:bCs/>
              </w:rPr>
              <w:t xml:space="preserve"> </w:t>
            </w:r>
            <w:r w:rsidRPr="00FF36D0">
              <w:t xml:space="preserve">* </w:t>
            </w:r>
            <w:r w:rsidRPr="00FF36D0">
              <w:rPr>
                <w:i/>
              </w:rPr>
              <w:t>T5</w:t>
            </w:r>
            <w:r w:rsidRPr="00FF36D0">
              <w:t>]]</w:t>
            </w:r>
            <w:r w:rsidRPr="00FF36D0">
              <w:rPr>
                <w:b/>
                <w:bCs/>
              </w:rPr>
              <w:t>/</w:t>
            </w:r>
            <w:r w:rsidRPr="00FF36D0">
              <w:rPr>
                <w:i/>
              </w:rPr>
              <w:t>n</w:t>
            </w:r>
            <w:r w:rsidRPr="00FF36D0">
              <w:t xml:space="preserve">}, </w:t>
            </w:r>
          </w:p>
          <w:p w14:paraId="15DCC4AF" w14:textId="390ABB9C" w:rsidR="002D0D49" w:rsidRPr="00FF36D0" w:rsidRDefault="002D0D49" w:rsidP="0031595F">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G </w:t>
            </w:r>
            <w:r w:rsidRPr="00FF36D0">
              <w:rPr>
                <w:i/>
                <w:vertAlign w:val="subscript"/>
              </w:rPr>
              <w:t>i, od, p</w:t>
            </w:r>
            <w:r w:rsidRPr="00FF36D0">
              <w:t xml:space="preserve"> * </w:t>
            </w:r>
            <w:r w:rsidRPr="00FF36D0">
              <w:rPr>
                <w:i/>
              </w:rPr>
              <w:t>NUCADJ</w:t>
            </w:r>
            <w:r w:rsidRPr="00FF36D0">
              <w:t xml:space="preserve"> * </w:t>
            </w:r>
            <w:r w:rsidRPr="00FF36D0">
              <w:rPr>
                <w:i/>
              </w:rPr>
              <w:t>T1</w:t>
            </w:r>
            <w:r w:rsidRPr="00FF36D0">
              <w:t xml:space="preserve"> * RTSPP </w:t>
            </w:r>
            <w:r w:rsidRPr="00FF36D0">
              <w:rPr>
                <w:i/>
                <w:vertAlign w:val="subscript"/>
              </w:rPr>
              <w:t>i, od, p</w:t>
            </w:r>
            <w:r w:rsidRPr="00FF36D0">
              <w:rPr>
                <w:b/>
                <w:bCs/>
              </w:rPr>
              <w:t>]/</w:t>
            </w:r>
            <w:r w:rsidRPr="00FF36D0">
              <w:t>n},</w:t>
            </w:r>
          </w:p>
          <w:p w14:paraId="517227A5" w14:textId="201AE3E8" w:rsidR="002D0D49" w:rsidRPr="00FF36D0" w:rsidRDefault="002D0D49" w:rsidP="0031595F">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t>DARTNET</w:t>
            </w:r>
            <w:r w:rsidRPr="00FF36D0">
              <w:rPr>
                <w:sz w:val="16"/>
                <w:vertAlign w:val="subscript"/>
              </w:rPr>
              <w:t xml:space="preserve"> </w:t>
            </w:r>
            <w:r w:rsidRPr="00FF36D0">
              <w:rPr>
                <w:i/>
                <w:vertAlign w:val="subscript"/>
              </w:rPr>
              <w:t>i, od, p</w:t>
            </w:r>
            <w:r w:rsidRPr="00FF36D0">
              <w:t xml:space="preserve"> </w:t>
            </w:r>
            <w:r w:rsidRPr="00FF36D0">
              <w:rPr>
                <w:sz w:val="16"/>
              </w:rPr>
              <w:t xml:space="preserve">* </w:t>
            </w:r>
            <w:r w:rsidRPr="00FF36D0">
              <w:rPr>
                <w:i/>
              </w:rPr>
              <w:t>T4</w:t>
            </w:r>
            <w:r w:rsidRPr="00FF36D0">
              <w:t>/</w:t>
            </w:r>
            <w:r w:rsidRPr="00FF36D0">
              <w:rPr>
                <w:i/>
              </w:rPr>
              <w:t>n</w:t>
            </w:r>
            <w:r w:rsidRPr="00FF36D0">
              <w:t>}],</w:t>
            </w:r>
          </w:p>
          <w:p w14:paraId="2367B604" w14:textId="77777777" w:rsidR="002D0D49" w:rsidRPr="00BE4766" w:rsidRDefault="002D0D49" w:rsidP="0031595F">
            <w:pPr>
              <w:pStyle w:val="TableBody"/>
              <w:ind w:left="1643" w:hanging="1373"/>
            </w:pPr>
            <w:r w:rsidRPr="00FF36D0">
              <w:t xml:space="preserve">                      MAF * IMCE]</w:t>
            </w:r>
          </w:p>
          <w:p w14:paraId="5CBE7F75" w14:textId="77777777" w:rsidR="002D0D49" w:rsidRPr="00142152" w:rsidRDefault="002D0D49" w:rsidP="0031595F">
            <w:pPr>
              <w:pStyle w:val="TableBody"/>
              <w:ind w:left="1643" w:hanging="1373"/>
            </w:pPr>
          </w:p>
          <w:p w14:paraId="132C9AB3" w14:textId="42A6059C" w:rsidR="002D0D49" w:rsidRPr="00142152" w:rsidRDefault="002D0D49" w:rsidP="0031595F">
            <w:pPr>
              <w:pStyle w:val="TableBody"/>
              <w:ind w:left="1402" w:hanging="1170"/>
              <w:rPr>
                <w:b/>
              </w:rPr>
            </w:pPr>
            <w:r w:rsidRPr="00142152">
              <w:t xml:space="preserve">RTQQNET </w:t>
            </w:r>
            <w:r w:rsidRPr="00D77426">
              <w:rPr>
                <w:i/>
                <w:vertAlign w:val="subscript"/>
              </w:rPr>
              <w:t>i</w:t>
            </w:r>
            <w:r>
              <w:rPr>
                <w:i/>
                <w:vertAlign w:val="subscript"/>
              </w:rPr>
              <w:t>, o</w:t>
            </w:r>
            <w:r w:rsidRPr="00D77426">
              <w:rPr>
                <w:i/>
                <w:vertAlign w:val="subscript"/>
              </w:rPr>
              <w:t>d</w:t>
            </w:r>
            <w:r>
              <w:rPr>
                <w:i/>
                <w:vertAlign w:val="subscript"/>
              </w:rPr>
              <w:t>, p</w:t>
            </w:r>
            <w:r w:rsidRPr="00142152">
              <w:rPr>
                <w:i/>
              </w:rPr>
              <w:t xml:space="preserve"> </w:t>
            </w:r>
            <w:r w:rsidRPr="00142152">
              <w:t>= Max</w:t>
            </w:r>
            <w:r w:rsidRPr="00142152">
              <w:rPr>
                <w:b/>
              </w:rPr>
              <w:t>[</w:t>
            </w:r>
            <w:r w:rsidRPr="00BE4766">
              <w:rPr>
                <w:b/>
                <w:position w:val="-20"/>
              </w:rPr>
              <w:object w:dxaOrig="225" w:dyaOrig="420" w14:anchorId="4C3ABD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2.55pt" o:ole="">
                  <v:imagedata r:id="rId17" o:title=""/>
                </v:shape>
                <o:OLEObject Type="Embed" ProgID="Equation.3" ShapeID="_x0000_i1025" DrawAspect="Content" ObjectID="_1692600102" r:id="rId18"/>
              </w:object>
            </w:r>
            <w:r w:rsidRPr="00142152">
              <w:rPr>
                <w:b/>
              </w:rPr>
              <w:t>(</w:t>
            </w:r>
            <w:r w:rsidRPr="00142152">
              <w:t xml:space="preserve">RTQQES </w:t>
            </w:r>
            <w:r>
              <w:rPr>
                <w:i/>
                <w:vertAlign w:val="subscript"/>
              </w:rPr>
              <w:t>i, o</w:t>
            </w:r>
            <w:r w:rsidRPr="00D77426">
              <w:rPr>
                <w:i/>
                <w:vertAlign w:val="subscript"/>
              </w:rPr>
              <w:t>d</w:t>
            </w:r>
            <w:r>
              <w:rPr>
                <w:i/>
                <w:vertAlign w:val="subscript"/>
              </w:rPr>
              <w:t xml:space="preserve">, p, </w:t>
            </w:r>
            <w:r w:rsidRPr="00D77426">
              <w:rPr>
                <w:i/>
                <w:vertAlign w:val="subscript"/>
              </w:rPr>
              <w:t>c</w:t>
            </w:r>
            <w:r>
              <w:rPr>
                <w:i/>
                <w:vertAlign w:val="subscript"/>
              </w:rPr>
              <w:t xml:space="preserve"> </w:t>
            </w:r>
            <w:r w:rsidRPr="00900F8C">
              <w:rPr>
                <w:i/>
              </w:rPr>
              <w:t>-</w:t>
            </w:r>
            <w:r>
              <w:rPr>
                <w:i/>
                <w:vertAlign w:val="subscript"/>
              </w:rPr>
              <w:t xml:space="preserve"> </w:t>
            </w:r>
            <w:r>
              <w:t xml:space="preserve">RTQQEP </w:t>
            </w:r>
            <w:r>
              <w:rPr>
                <w:i/>
                <w:vertAlign w:val="subscript"/>
              </w:rPr>
              <w:t>i</w:t>
            </w:r>
            <w:r w:rsidRPr="00921C84">
              <w:rPr>
                <w:i/>
                <w:vertAlign w:val="subscript"/>
              </w:rPr>
              <w:t>,</w:t>
            </w:r>
            <w:r w:rsidRPr="00F41A7B">
              <w:rPr>
                <w:i/>
                <w:vertAlign w:val="subscript"/>
              </w:rPr>
              <w:t xml:space="preserve"> </w:t>
            </w:r>
            <w:r>
              <w:rPr>
                <w:i/>
                <w:vertAlign w:val="subscript"/>
              </w:rPr>
              <w:t>o</w:t>
            </w:r>
            <w:r w:rsidRPr="00921C84">
              <w:rPr>
                <w:i/>
                <w:vertAlign w:val="subscript"/>
              </w:rPr>
              <w:t>d</w:t>
            </w:r>
            <w:r>
              <w:rPr>
                <w:i/>
                <w:vertAlign w:val="subscript"/>
              </w:rPr>
              <w:t>, p, c</w:t>
            </w:r>
            <w:r w:rsidRPr="00921C84">
              <w:t>)</w:t>
            </w:r>
            <w:r>
              <w:t xml:space="preserve">, </w:t>
            </w:r>
            <w:r>
              <w:rPr>
                <w:i/>
              </w:rPr>
              <w:t>BTCF</w:t>
            </w:r>
            <w:r>
              <w:t xml:space="preserve"> *   </w:t>
            </w:r>
            <w:r w:rsidR="00122AC9">
              <w:t xml:space="preserve"> </w:t>
            </w:r>
            <w:r>
              <w:t xml:space="preserve">  </w:t>
            </w:r>
            <w:r w:rsidRPr="00BE4766">
              <w:rPr>
                <w:b/>
                <w:position w:val="-20"/>
              </w:rPr>
              <w:object w:dxaOrig="225" w:dyaOrig="420" w14:anchorId="047E37C8">
                <v:shape id="_x0000_i1026" type="#_x0000_t75" style="width:14.4pt;height:22.55pt" o:ole="">
                  <v:imagedata r:id="rId17" o:title=""/>
                </v:shape>
                <o:OLEObject Type="Embed" ProgID="Equation.3" ShapeID="_x0000_i1026" DrawAspect="Content" ObjectID="_1692600103" r:id="rId19"/>
              </w:object>
            </w:r>
            <w:r>
              <w:t xml:space="preserve">(RTQQES </w:t>
            </w:r>
            <w:r>
              <w:rPr>
                <w:i/>
                <w:vertAlign w:val="subscript"/>
              </w:rPr>
              <w:t>i, od, p, c</w:t>
            </w:r>
            <w:r>
              <w:t xml:space="preserve"> – RTQQEP </w:t>
            </w:r>
            <w:r>
              <w:rPr>
                <w:i/>
                <w:vertAlign w:val="subscript"/>
              </w:rPr>
              <w:t>i, od, p, c</w:t>
            </w:r>
            <w:r>
              <w:t>)]</w:t>
            </w:r>
            <w:r w:rsidRPr="00142152">
              <w:t xml:space="preserve"> * RTSPP </w:t>
            </w:r>
            <w:r w:rsidRPr="00D77426">
              <w:rPr>
                <w:i/>
                <w:vertAlign w:val="subscript"/>
              </w:rPr>
              <w:t>i</w:t>
            </w:r>
            <w:r>
              <w:rPr>
                <w:i/>
                <w:vertAlign w:val="subscript"/>
              </w:rPr>
              <w:t>, o</w:t>
            </w:r>
            <w:r w:rsidRPr="00D77426">
              <w:rPr>
                <w:i/>
                <w:vertAlign w:val="subscript"/>
              </w:rPr>
              <w:t>d</w:t>
            </w:r>
            <w:r>
              <w:rPr>
                <w:i/>
                <w:vertAlign w:val="subscript"/>
              </w:rPr>
              <w:t>, p</w:t>
            </w:r>
          </w:p>
          <w:p w14:paraId="31378DC9" w14:textId="77777777" w:rsidR="002D0D49" w:rsidRPr="00142152" w:rsidRDefault="002D0D49" w:rsidP="0031595F">
            <w:pPr>
              <w:pStyle w:val="TableBody"/>
              <w:ind w:left="293"/>
              <w:rPr>
                <w:b/>
              </w:rPr>
            </w:pPr>
          </w:p>
          <w:p w14:paraId="3B4719CF" w14:textId="77777777" w:rsidR="002D0D49" w:rsidRPr="00142152" w:rsidRDefault="002D0D49" w:rsidP="0031595F">
            <w:pPr>
              <w:pStyle w:val="TableBody"/>
              <w:ind w:left="1402" w:hanging="1170"/>
              <w:rPr>
                <w:color w:val="000000"/>
              </w:rPr>
            </w:pPr>
            <w:r w:rsidRPr="00142152">
              <w:rPr>
                <w:color w:val="000000"/>
              </w:rPr>
              <w:t>DARTNET</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142152">
              <w:rPr>
                <w:color w:val="000000"/>
              </w:rPr>
              <w:t xml:space="preserve"> = DAM EOO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TPO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 DAM PTP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DARTPTP</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EOB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w:t>
            </w:r>
          </w:p>
          <w:p w14:paraId="31B5E01C" w14:textId="77777777" w:rsidR="002D0D49" w:rsidRDefault="002D0D49" w:rsidP="0031595F">
            <w:pPr>
              <w:pStyle w:val="TableBody"/>
              <w:keepNext/>
              <w:tabs>
                <w:tab w:val="left" w:pos="1728"/>
                <w:tab w:val="center" w:pos="4536"/>
                <w:tab w:val="right" w:pos="9360"/>
              </w:tabs>
              <w:spacing w:before="240"/>
              <w:ind w:left="1733" w:hanging="1440"/>
              <w:outlineLvl w:val="6"/>
              <w:rPr>
                <w:iCs w:val="0"/>
              </w:rPr>
            </w:pPr>
            <w:r w:rsidRPr="00403872">
              <w:rPr>
                <w:iCs w:val="0"/>
              </w:rPr>
              <w:t>Where:</w:t>
            </w:r>
          </w:p>
          <w:p w14:paraId="296357B5" w14:textId="77777777" w:rsidR="002D0D49" w:rsidRDefault="002D0D49" w:rsidP="0031595F">
            <w:pPr>
              <w:pStyle w:val="TableBody"/>
              <w:keepNext/>
              <w:tabs>
                <w:tab w:val="left" w:pos="1728"/>
                <w:tab w:val="center" w:pos="4536"/>
                <w:tab w:val="right" w:pos="9360"/>
              </w:tabs>
              <w:spacing w:before="240"/>
              <w:ind w:left="1733" w:hanging="1440"/>
              <w:outlineLvl w:val="6"/>
              <w:rPr>
                <w:rFonts w:ascii="Cambria" w:hAnsi="Cambria"/>
                <w:color w:val="404040"/>
              </w:rPr>
            </w:pPr>
            <w:r w:rsidRPr="00BE4766">
              <w:t>G</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Metered Generation at all Resource Nodes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 xml:space="preserve">d </w:t>
            </w:r>
            <w:r w:rsidRPr="00BE4766">
              <w:t xml:space="preserve">at Settlement Point </w:t>
            </w:r>
            <w:r>
              <w:rPr>
                <w:i/>
              </w:rPr>
              <w:t>p</w:t>
            </w:r>
          </w:p>
          <w:p w14:paraId="632883CF" w14:textId="77777777" w:rsidR="002D0D49" w:rsidRPr="00BE4766" w:rsidRDefault="002D0D49" w:rsidP="0031595F">
            <w:pPr>
              <w:pStyle w:val="TableBody"/>
              <w:tabs>
                <w:tab w:val="right" w:pos="9360"/>
              </w:tabs>
              <w:ind w:left="1733" w:hanging="1440"/>
              <w:rPr>
                <w:rFonts w:ascii="Cambria" w:hAnsi="Cambria"/>
                <w:i/>
                <w:color w:val="404040"/>
              </w:rPr>
            </w:pPr>
            <w:r w:rsidRPr="00BE4766">
              <w:t>L</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Adjusted Metered Load (AML) at all Load Zones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245579DD" w14:textId="1778F64D" w:rsidR="002D0D49" w:rsidRPr="007B39E8" w:rsidRDefault="002D0D49" w:rsidP="0031595F">
            <w:pPr>
              <w:pStyle w:val="TableBody"/>
              <w:tabs>
                <w:tab w:val="right" w:pos="9360"/>
              </w:tabs>
              <w:ind w:left="1733" w:hanging="1440"/>
            </w:pPr>
            <w:r w:rsidRPr="00A549C5">
              <w:rPr>
                <w:iCs w:val="0"/>
              </w:rPr>
              <w:t xml:space="preserve">MAF = </w:t>
            </w:r>
            <w:r w:rsidRPr="00A549C5">
              <w:rPr>
                <w:iCs w:val="0"/>
              </w:rPr>
              <w:tab/>
            </w:r>
            <w:r w:rsidRPr="00A549C5">
              <w:rPr>
                <w:i/>
                <w:iCs w:val="0"/>
              </w:rPr>
              <w:t>Market Adjustment Factor</w:t>
            </w:r>
            <w:r w:rsidRPr="00A549C5">
              <w:t>—</w:t>
            </w:r>
            <w:r w:rsidRPr="00A549C5">
              <w:rPr>
                <w:iCs w:val="0"/>
              </w:rPr>
              <w:t>Used to provide for the potential for overall price increases based on changes to ERCOT market rules</w:t>
            </w:r>
            <w:r>
              <w:rPr>
                <w:iCs w:val="0"/>
              </w:rPr>
              <w:t xml:space="preserve"> or market conditions</w:t>
            </w:r>
            <w:r w:rsidRPr="00A549C5">
              <w:rPr>
                <w:iCs w:val="0"/>
              </w:rPr>
              <w:t xml:space="preserve">.  </w:t>
            </w:r>
            <w:r>
              <w:rPr>
                <w:iCs w:val="0"/>
              </w:rPr>
              <w:t xml:space="preserve">This factor shall not be set below 100%.  Revisions to this factor will be recommended by </w:t>
            </w:r>
            <w:r w:rsidR="00081A43">
              <w:rPr>
                <w:iCs w:val="0"/>
              </w:rPr>
              <w:t>the Technical Advisory Committee (</w:t>
            </w:r>
            <w:r>
              <w:rPr>
                <w:iCs w:val="0"/>
              </w:rPr>
              <w:t>TAC</w:t>
            </w:r>
            <w:r w:rsidR="00081A43">
              <w:rPr>
                <w:iCs w:val="0"/>
              </w:rPr>
              <w:t>)</w:t>
            </w:r>
            <w:r>
              <w:rPr>
                <w:iCs w:val="0"/>
              </w:rPr>
              <w:t xml:space="preserve"> and the ERCOT Finance and Audit (F&amp;A) Committee, and approved by the ERCOT Board.  Such revisions shall be implemented on the 45th calendar day following ERCOT Board approval unless otherwise directed by the ERCOT Board.</w:t>
            </w:r>
          </w:p>
          <w:p w14:paraId="7E30C8B5" w14:textId="531B089A" w:rsidR="002D0D49" w:rsidRDefault="002D0D49" w:rsidP="0031595F">
            <w:pPr>
              <w:pStyle w:val="TableBody"/>
              <w:tabs>
                <w:tab w:val="right" w:pos="9360"/>
              </w:tabs>
              <w:ind w:left="1733" w:hanging="1440"/>
            </w:pPr>
            <w:r w:rsidRPr="00142152">
              <w:rPr>
                <w:i/>
              </w:rPr>
              <w:t>NUCADJ</w:t>
            </w:r>
            <w:r w:rsidRPr="00142152">
              <w:rPr>
                <w:vertAlign w:val="subscript"/>
              </w:rPr>
              <w:t xml:space="preserve"> </w:t>
            </w:r>
            <w:r w:rsidRPr="00142152">
              <w:t xml:space="preserve">= </w:t>
            </w:r>
            <w:r w:rsidRPr="00142152">
              <w:tab/>
            </w:r>
            <w:r w:rsidRPr="00142152">
              <w:rPr>
                <w:i/>
                <w:iCs w:val="0"/>
              </w:rPr>
              <w:t xml:space="preserve">Net Unit Contingent </w:t>
            </w:r>
            <w:r w:rsidRPr="00BE4766">
              <w:rPr>
                <w:i/>
                <w:iCs w:val="0"/>
              </w:rPr>
              <w:t>Adjustment</w:t>
            </w:r>
            <w:r w:rsidRPr="00BE4766">
              <w:t>—</w:t>
            </w:r>
            <w:r w:rsidRPr="00142152">
              <w:t xml:space="preserve">To </w:t>
            </w:r>
            <w:r w:rsidRPr="001E41FD">
              <w:rPr>
                <w:iCs w:val="0"/>
              </w:rPr>
              <w:t>allow</w:t>
            </w:r>
            <w:r w:rsidRPr="00142152">
              <w:t xml:space="preserve"> for situations </w:t>
            </w:r>
            <w:r w:rsidRPr="001E41FD">
              <w:t>where</w:t>
            </w:r>
            <w:r w:rsidRPr="00142152">
              <w:t xml:space="preserve"> a </w:t>
            </w:r>
            <w:r w:rsidRPr="001E41FD">
              <w:t>generator may unintentionally</w:t>
            </w:r>
            <w:r w:rsidRPr="00142152">
              <w:t xml:space="preserve"> or </w:t>
            </w:r>
            <w:r w:rsidRPr="001E41FD">
              <w:t>intentionally meet its requirement from</w:t>
            </w:r>
            <w:r w:rsidRPr="00142152">
              <w:t xml:space="preserve"> the Real-Time Market (RTM)</w:t>
            </w:r>
          </w:p>
          <w:p w14:paraId="3090B527" w14:textId="77777777" w:rsidR="002D0D49" w:rsidRPr="00BE4766" w:rsidRDefault="002D0D49" w:rsidP="0031595F">
            <w:pPr>
              <w:pStyle w:val="TableBody"/>
              <w:tabs>
                <w:tab w:val="right" w:pos="9360"/>
              </w:tabs>
              <w:ind w:left="1733" w:hanging="1440"/>
            </w:pPr>
            <w:r w:rsidRPr="00BE4766">
              <w:t>RTQQNET</w:t>
            </w:r>
            <w:r>
              <w:rPr>
                <w:i/>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xml:space="preserve">, p </w:t>
            </w:r>
            <w:r w:rsidRPr="00BE4766">
              <w:t>=</w:t>
            </w:r>
            <w:r>
              <w:t xml:space="preserve"> </w:t>
            </w:r>
            <w:r w:rsidRPr="00BE4766">
              <w:rPr>
                <w:i/>
              </w:rPr>
              <w:t xml:space="preserve">Net QSE-to-QSE Energy </w:t>
            </w:r>
            <w:r>
              <w:rPr>
                <w:i/>
              </w:rPr>
              <w:t>Trades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3A825423" w14:textId="77777777" w:rsidR="002D0D49" w:rsidRPr="00BE4766" w:rsidRDefault="002D0D49" w:rsidP="0031595F">
            <w:pPr>
              <w:pStyle w:val="TableBody"/>
              <w:tabs>
                <w:tab w:val="right" w:pos="9360"/>
              </w:tabs>
              <w:ind w:left="1733" w:hanging="1440"/>
            </w:pPr>
            <w:r w:rsidRPr="00BE4766">
              <w:t>RTQQES</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 xml:space="preserve">for which the Counter-Party is the seller for interval </w:t>
            </w:r>
            <w:r w:rsidRPr="00BE4766">
              <w:rPr>
                <w:i/>
              </w:rPr>
              <w:t>i</w:t>
            </w:r>
            <w:r w:rsidRPr="00BE4766">
              <w:t xml:space="preserve"> for </w:t>
            </w:r>
            <w:r>
              <w:t xml:space="preserve">Operating Day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34E29AAF" w14:textId="4F25D1D0" w:rsidR="002D0D49" w:rsidRPr="00BE4766" w:rsidRDefault="002D0D49" w:rsidP="0031595F">
            <w:pPr>
              <w:pStyle w:val="TableBody"/>
              <w:tabs>
                <w:tab w:val="right" w:pos="9360"/>
              </w:tabs>
              <w:ind w:left="1733" w:hanging="1440"/>
            </w:pPr>
            <w:r w:rsidRPr="00BE4766">
              <w:t>RTQQEP</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for which the Counter-Party is</w:t>
            </w:r>
            <w:r>
              <w:t xml:space="preserve"> </w:t>
            </w:r>
            <w:r w:rsidRPr="00BE4766">
              <w:t xml:space="preserve">the buyer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7454E87D" w14:textId="77777777" w:rsidR="002D0D49" w:rsidRPr="00921C84" w:rsidRDefault="002D0D49" w:rsidP="0031595F">
            <w:pPr>
              <w:pStyle w:val="TableBody"/>
              <w:tabs>
                <w:tab w:val="right" w:pos="9360"/>
              </w:tabs>
              <w:ind w:left="1733" w:hanging="1440"/>
              <w:rPr>
                <w:i/>
              </w:rPr>
            </w:pPr>
            <w:r>
              <w:rPr>
                <w:i/>
              </w:rPr>
              <w:t>BTCF</w:t>
            </w:r>
            <w:r>
              <w:t xml:space="preserve"> =                </w:t>
            </w:r>
            <w:r>
              <w:rPr>
                <w:i/>
              </w:rPr>
              <w:t>Bilateral Trades Credit Factor</w:t>
            </w:r>
          </w:p>
          <w:p w14:paraId="7867F719" w14:textId="77777777" w:rsidR="002D0D49" w:rsidRPr="00BE4766" w:rsidRDefault="002D0D49" w:rsidP="0031595F">
            <w:pPr>
              <w:pStyle w:val="TableBody"/>
              <w:tabs>
                <w:tab w:val="right" w:pos="9360"/>
              </w:tabs>
              <w:ind w:left="1733" w:hanging="1440"/>
              <w:rPr>
                <w:i/>
              </w:rPr>
            </w:pPr>
            <w:r w:rsidRPr="00BE4766">
              <w:t>RTSPP</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Real-Time Settlement Point Price</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477F654E" w14:textId="77777777" w:rsidR="002D0D49" w:rsidRPr="00BE4766" w:rsidRDefault="002D0D49" w:rsidP="0031595F">
            <w:pPr>
              <w:pStyle w:val="TableBody"/>
              <w:tabs>
                <w:tab w:val="right" w:pos="9360"/>
              </w:tabs>
              <w:ind w:left="1733" w:hanging="1440"/>
              <w:rPr>
                <w:i/>
              </w:rPr>
            </w:pPr>
            <w:r w:rsidRPr="00BE4766">
              <w:lastRenderedPageBreak/>
              <w:t>DARTNET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w:t>
            </w:r>
            <w:r>
              <w:t xml:space="preserve">= </w:t>
            </w:r>
            <w:r w:rsidRPr="00BE4766">
              <w:rPr>
                <w:i/>
              </w:rPr>
              <w:t>Net DAM activities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7D5E3879" w14:textId="78EEF88B" w:rsidR="002D0D49" w:rsidRPr="00BE4766" w:rsidRDefault="002D0D49" w:rsidP="0031595F">
            <w:pPr>
              <w:pStyle w:val="TableBody"/>
              <w:tabs>
                <w:tab w:val="right" w:pos="9360"/>
              </w:tabs>
              <w:ind w:left="1733" w:hanging="1440"/>
            </w:pPr>
            <w:r w:rsidRPr="00BE4766">
              <w:t>DART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Day</w:t>
            </w:r>
            <w:r>
              <w:rPr>
                <w:i/>
              </w:rPr>
              <w:t>-</w:t>
            </w:r>
            <w:r w:rsidRPr="00BE4766">
              <w:rPr>
                <w:i/>
              </w:rPr>
              <w:t xml:space="preserve">Ahead - Real-Time Spread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22A983AD" w14:textId="77777777" w:rsidR="002D0D49" w:rsidRPr="00BE4766" w:rsidRDefault="002D0D49" w:rsidP="0031595F">
            <w:pPr>
              <w:pStyle w:val="TableBody"/>
              <w:tabs>
                <w:tab w:val="right" w:pos="9360"/>
              </w:tabs>
              <w:ind w:left="1733" w:hanging="1440"/>
            </w:pPr>
            <w:r w:rsidRPr="00BE4766">
              <w:t>DAM EOB Cleared</w:t>
            </w:r>
            <w:r w:rsidRPr="00BE4766">
              <w:rPr>
                <w:color w:val="000000"/>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DAM Energy Only Bids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C2D584A" w14:textId="77777777" w:rsidR="002D0D49" w:rsidRPr="00B3490C" w:rsidRDefault="002D0D49" w:rsidP="0031595F">
            <w:pPr>
              <w:pStyle w:val="TableBody"/>
              <w:tabs>
                <w:tab w:val="right" w:pos="9360"/>
              </w:tabs>
              <w:ind w:left="1728" w:hanging="1440"/>
              <w:rPr>
                <w:i/>
              </w:rPr>
            </w:pPr>
            <w:r w:rsidRPr="00BE4766">
              <w:t>DAM EOO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3490C">
              <w:rPr>
                <w:i/>
              </w:rPr>
              <w:t xml:space="preserve">DAM Energy Only Offers Cleared </w:t>
            </w:r>
            <w:r w:rsidRPr="00BE4766">
              <w:t xml:space="preserve">for interval </w:t>
            </w:r>
            <w:r w:rsidRPr="00BE4766">
              <w:rPr>
                <w:i/>
              </w:rPr>
              <w:t>i</w:t>
            </w:r>
            <w:r w:rsidRPr="00BE4766">
              <w:t xml:space="preserve"> for </w:t>
            </w:r>
            <w:r>
              <w:t>Operating</w:t>
            </w:r>
            <w:r w:rsidRPr="00BE4766">
              <w:t xml:space="preserve"> </w:t>
            </w:r>
            <w:r>
              <w:t>D</w:t>
            </w:r>
            <w:r w:rsidRPr="00BE4766">
              <w:t xml:space="preserve">ay </w:t>
            </w:r>
            <w:r w:rsidRPr="00AB68CC">
              <w:rPr>
                <w:i/>
              </w:rPr>
              <w:t>o</w:t>
            </w:r>
            <w:r w:rsidRPr="00BE4766">
              <w:rPr>
                <w:i/>
              </w:rPr>
              <w:t>d</w:t>
            </w:r>
            <w:r w:rsidRPr="00BE4766">
              <w:t xml:space="preserve"> at Settlement Point </w:t>
            </w:r>
            <w:r>
              <w:rPr>
                <w:i/>
              </w:rPr>
              <w:t>p</w:t>
            </w:r>
          </w:p>
          <w:p w14:paraId="52A103EC" w14:textId="77777777" w:rsidR="002D0D49" w:rsidRPr="00BE4766" w:rsidRDefault="002D0D49" w:rsidP="0031595F">
            <w:pPr>
              <w:pStyle w:val="TableBody"/>
              <w:ind w:left="1733" w:hanging="1440"/>
            </w:pPr>
            <w:r w:rsidRPr="00BE4766">
              <w:t>DAM TPO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Pr>
                <w:i/>
              </w:rPr>
              <w:t>DAM</w:t>
            </w:r>
            <w:r w:rsidRPr="00B3490C">
              <w:rPr>
                <w:i/>
              </w:rPr>
              <w:t xml:space="preserve"> Three-Part Offers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062043F0" w14:textId="77777777" w:rsidR="002D0D49" w:rsidRPr="00BE4766" w:rsidRDefault="002D0D49" w:rsidP="0031595F">
            <w:pPr>
              <w:pStyle w:val="TableBody"/>
              <w:ind w:left="1733" w:hanging="1440"/>
            </w:pPr>
            <w:r w:rsidRPr="00BE4766">
              <w:t xml:space="preserve">DAM PTP Cleared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 xml:space="preserve">DAM Point-to-Point (PTP) Obligations Cleared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1EDB0171" w14:textId="02C1E07D" w:rsidR="002D0D49" w:rsidRPr="00BE4766" w:rsidRDefault="002D0D49" w:rsidP="0031595F">
            <w:pPr>
              <w:pStyle w:val="TableBody"/>
              <w:ind w:left="1733" w:hanging="1440"/>
            </w:pPr>
            <w:r w:rsidRPr="00BE4766">
              <w:t xml:space="preserve">DARTPTP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E4766">
              <w:rPr>
                <w:i/>
              </w:rPr>
              <w:t>Day</w:t>
            </w:r>
            <w:r>
              <w:rPr>
                <w:i/>
              </w:rPr>
              <w:t>-</w:t>
            </w:r>
            <w:r w:rsidRPr="00BE4766">
              <w:rPr>
                <w:i/>
              </w:rPr>
              <w:t xml:space="preserve">Ahead - Real-Time Spread </w:t>
            </w:r>
            <w:r w:rsidRPr="00BE4766">
              <w:t xml:space="preserve">for value of PTP Obligation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2D308D1" w14:textId="77777777" w:rsidR="002D0D49" w:rsidRPr="00BE4766" w:rsidRDefault="002D0D49" w:rsidP="0031595F">
            <w:pPr>
              <w:pStyle w:val="TableBody"/>
              <w:ind w:left="1733" w:hanging="1440"/>
            </w:pPr>
            <w:r w:rsidRPr="00900F8C">
              <w:rPr>
                <w:i/>
              </w:rPr>
              <w:t>c</w:t>
            </w:r>
            <w:r w:rsidRPr="00BE4766">
              <w:t xml:space="preserve"> = </w:t>
            </w:r>
            <w:r w:rsidRPr="00BE4766">
              <w:tab/>
              <w:t xml:space="preserve">Bilateral Counter-Party </w:t>
            </w:r>
          </w:p>
          <w:p w14:paraId="05061FAF" w14:textId="77777777" w:rsidR="002D0D49" w:rsidRDefault="002D0D49" w:rsidP="0031595F">
            <w:pPr>
              <w:pStyle w:val="TableBody"/>
              <w:ind w:left="1733" w:hanging="1440"/>
              <w:rPr>
                <w:i/>
              </w:rPr>
            </w:pPr>
            <w:r w:rsidRPr="00FF36D0">
              <w:rPr>
                <w:i/>
              </w:rPr>
              <w:t>cif =</w:t>
            </w:r>
            <w:r w:rsidRPr="00FF36D0">
              <w:rPr>
                <w:i/>
              </w:rPr>
              <w:tab/>
              <w:t>Cap Interval Factor</w:t>
            </w:r>
            <w:r w:rsidRPr="00FF36D0">
              <w:t xml:space="preserve"> - Represents the historic largest percentage of System-Wide Offer Cap (SWCAP) intervals during a calendar day</w:t>
            </w:r>
          </w:p>
          <w:p w14:paraId="56FA2350" w14:textId="77777777" w:rsidR="002D0D49" w:rsidRPr="00BE4766" w:rsidRDefault="002D0D49" w:rsidP="0031595F">
            <w:pPr>
              <w:pStyle w:val="TableBody"/>
              <w:ind w:left="1733" w:hanging="1440"/>
            </w:pPr>
            <w:r w:rsidRPr="00900F8C">
              <w:rPr>
                <w:i/>
              </w:rPr>
              <w:t>e</w:t>
            </w:r>
            <w:r>
              <w:t xml:space="preserve"> = </w:t>
            </w:r>
            <w:r>
              <w:tab/>
              <w:t xml:space="preserve">Most recent </w:t>
            </w:r>
            <w:r w:rsidRPr="00355D7A">
              <w:rPr>
                <w:i/>
              </w:rPr>
              <w:t>n</w:t>
            </w:r>
            <w:r>
              <w:t xml:space="preserve"> Operating Days for which RTM Initial Settlement Statements are available</w:t>
            </w:r>
          </w:p>
          <w:p w14:paraId="55298A61" w14:textId="77777777" w:rsidR="002D0D49" w:rsidRPr="00BE4766" w:rsidRDefault="002D0D49" w:rsidP="0031595F">
            <w:pPr>
              <w:pStyle w:val="TableBody"/>
              <w:ind w:left="1733" w:hanging="1440"/>
            </w:pPr>
            <w:r w:rsidRPr="00900F8C">
              <w:rPr>
                <w:i/>
              </w:rPr>
              <w:t>i</w:t>
            </w:r>
            <w:r w:rsidRPr="00BE4766">
              <w:t xml:space="preserve"> = </w:t>
            </w:r>
            <w:r w:rsidRPr="00BE4766">
              <w:tab/>
              <w:t>Settlement Interval</w:t>
            </w:r>
          </w:p>
          <w:p w14:paraId="35AE8EAB" w14:textId="77777777" w:rsidR="002D0D49" w:rsidRPr="00BE4766" w:rsidRDefault="002D0D49" w:rsidP="0031595F">
            <w:pPr>
              <w:pStyle w:val="TableBody"/>
              <w:ind w:left="1733" w:hanging="1440"/>
            </w:pPr>
            <w:r w:rsidRPr="00900F8C">
              <w:rPr>
                <w:i/>
              </w:rPr>
              <w:t>n</w:t>
            </w:r>
            <w:r w:rsidRPr="00BE4766">
              <w:t xml:space="preserve"> = </w:t>
            </w:r>
            <w:r w:rsidRPr="00BE4766">
              <w:tab/>
            </w:r>
            <w:r>
              <w:t>D</w:t>
            </w:r>
            <w:r w:rsidRPr="00BE4766">
              <w:t>ays</w:t>
            </w:r>
            <w:r>
              <w:t xml:space="preserve"> used for averaging</w:t>
            </w:r>
          </w:p>
          <w:p w14:paraId="04A41163" w14:textId="77777777" w:rsidR="002D0D49" w:rsidRDefault="002D0D49" w:rsidP="0031595F">
            <w:pPr>
              <w:pStyle w:val="TableBody"/>
              <w:ind w:left="1733" w:hanging="1440"/>
              <w:rPr>
                <w:i/>
              </w:rPr>
            </w:pPr>
            <w:r w:rsidRPr="00FF36D0">
              <w:rPr>
                <w:i/>
              </w:rPr>
              <w:t>nm =</w:t>
            </w:r>
            <w:r w:rsidRPr="00FF36D0">
              <w:rPr>
                <w:i/>
              </w:rPr>
              <w:tab/>
            </w:r>
            <w:r w:rsidRPr="00FF36D0">
              <w:t>Notional Multiplier</w:t>
            </w:r>
          </w:p>
          <w:p w14:paraId="253BBF95" w14:textId="77777777" w:rsidR="002D0D49" w:rsidRPr="00BE4766" w:rsidRDefault="002D0D49" w:rsidP="0031595F">
            <w:pPr>
              <w:pStyle w:val="TableBody"/>
              <w:ind w:left="1733" w:hanging="1440"/>
            </w:pPr>
            <w:r w:rsidRPr="00900F8C">
              <w:rPr>
                <w:i/>
              </w:rPr>
              <w:t>o</w:t>
            </w:r>
            <w:r>
              <w:rPr>
                <w:i/>
              </w:rPr>
              <w:t>d</w:t>
            </w:r>
            <w:r w:rsidRPr="00BE4766">
              <w:t xml:space="preserve"> = </w:t>
            </w:r>
            <w:r w:rsidRPr="00BE4766">
              <w:tab/>
            </w:r>
            <w:r>
              <w:t>Operating Day</w:t>
            </w:r>
          </w:p>
          <w:p w14:paraId="00318EF3" w14:textId="77777777" w:rsidR="002D0D49" w:rsidRDefault="002D0D49" w:rsidP="0031595F">
            <w:pPr>
              <w:pStyle w:val="TableBody"/>
              <w:ind w:left="1733" w:hanging="1440"/>
              <w:rPr>
                <w:highlight w:val="yellow"/>
              </w:rPr>
            </w:pPr>
            <w:r>
              <w:rPr>
                <w:i/>
              </w:rPr>
              <w:t>p</w:t>
            </w:r>
            <w:r w:rsidRPr="00BE4766">
              <w:t xml:space="preserve"> = </w:t>
            </w:r>
            <w:r w:rsidRPr="00BE4766">
              <w:tab/>
              <w:t>A Settlement Point</w:t>
            </w:r>
          </w:p>
        </w:tc>
      </w:tr>
      <w:tr w:rsidR="004033D4" w14:paraId="18D4E8C6" w14:textId="77777777" w:rsidTr="00CD51A8">
        <w:trPr>
          <w:trHeight w:val="91"/>
        </w:trPr>
        <w:tc>
          <w:tcPr>
            <w:tcW w:w="9332"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4033D4" w14:paraId="310B4C93" w14:textId="77777777" w:rsidTr="005A32AC">
              <w:tc>
                <w:tcPr>
                  <w:tcW w:w="9134" w:type="dxa"/>
                  <w:shd w:val="pct12" w:color="auto" w:fill="auto"/>
                </w:tcPr>
                <w:p w14:paraId="16785432" w14:textId="086B2696" w:rsidR="004033D4" w:rsidRPr="0002450E" w:rsidRDefault="004033D4" w:rsidP="004033D4">
                  <w:pPr>
                    <w:pStyle w:val="Instructions"/>
                    <w:spacing w:before="120"/>
                    <w:rPr>
                      <w:iCs/>
                    </w:rPr>
                  </w:pPr>
                  <w:r>
                    <w:lastRenderedPageBreak/>
                    <w:t>[NPRR1013</w:t>
                  </w:r>
                  <w:r w:rsidRPr="0002450E">
                    <w:t xml:space="preserve">:  Replace </w:t>
                  </w:r>
                  <w:r>
                    <w:t>the variable “MCE”</w:t>
                  </w:r>
                  <w:r w:rsidRPr="0002450E">
                    <w:t xml:space="preserve"> above with the following upon system implementation</w:t>
                  </w:r>
                  <w:r>
                    <w:t xml:space="preserve"> of the Real-Time Co-Optimization (RTC) project</w:t>
                  </w:r>
                  <w:r w:rsidRPr="0002450E">
                    <w:t xml:space="preserve">:] </w:t>
                  </w:r>
                </w:p>
                <w:tbl>
                  <w:tblPr>
                    <w:tblW w:w="90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504"/>
                  </w:tblGrid>
                  <w:tr w:rsidR="004033D4" w:rsidRPr="00367720" w14:paraId="459CC079" w14:textId="77777777" w:rsidTr="004033D4">
                    <w:trPr>
                      <w:trHeight w:val="91"/>
                    </w:trPr>
                    <w:tc>
                      <w:tcPr>
                        <w:tcW w:w="1619" w:type="dxa"/>
                      </w:tcPr>
                      <w:p w14:paraId="2142B352" w14:textId="5D7B2653" w:rsidR="004033D4" w:rsidRPr="00906156" w:rsidRDefault="004033D4" w:rsidP="004033D4">
                        <w:pPr>
                          <w:pStyle w:val="TableBody"/>
                        </w:pPr>
                        <w:r w:rsidRPr="009F4E0B">
                          <w:t>MCE</w:t>
                        </w:r>
                      </w:p>
                    </w:tc>
                    <w:tc>
                      <w:tcPr>
                        <w:tcW w:w="880" w:type="dxa"/>
                      </w:tcPr>
                      <w:p w14:paraId="16E60A43" w14:textId="600570C9" w:rsidR="004033D4" w:rsidRPr="004F59D3" w:rsidRDefault="004033D4" w:rsidP="004033D4">
                        <w:pPr>
                          <w:pStyle w:val="TableBody"/>
                        </w:pPr>
                        <w:r w:rsidRPr="009F4E0B">
                          <w:t>$</w:t>
                        </w:r>
                      </w:p>
                    </w:tc>
                    <w:tc>
                      <w:tcPr>
                        <w:tcW w:w="6504" w:type="dxa"/>
                      </w:tcPr>
                      <w:p w14:paraId="3C84A7D3" w14:textId="77777777" w:rsidR="004033D4" w:rsidRPr="009F4E0B" w:rsidRDefault="004033D4" w:rsidP="004033D4">
                        <w:pPr>
                          <w:spacing w:after="60"/>
                          <w:rPr>
                            <w:iCs/>
                            <w:sz w:val="20"/>
                          </w:rPr>
                        </w:pPr>
                        <w:r w:rsidRPr="009F4E0B">
                          <w:rPr>
                            <w:i/>
                            <w:iCs/>
                            <w:sz w:val="20"/>
                          </w:rPr>
                          <w:t>Minimum Current Exposure</w:t>
                        </w:r>
                        <w:r w:rsidRPr="009F4E0B">
                          <w:rPr>
                            <w:iCs/>
                            <w:sz w:val="20"/>
                          </w:rPr>
                          <w:t xml:space="preserve">—For each Counter-Party, ERCOT shall determine a Minimum Current Exposure (MCE) as follows:  </w:t>
                        </w:r>
                      </w:p>
                      <w:p w14:paraId="48270D03" w14:textId="77777777" w:rsidR="004033D4" w:rsidRPr="009F4E0B" w:rsidRDefault="004033D4" w:rsidP="004033D4">
                        <w:pPr>
                          <w:spacing w:after="60"/>
                          <w:rPr>
                            <w:iCs/>
                            <w:sz w:val="20"/>
                          </w:rPr>
                        </w:pPr>
                      </w:p>
                      <w:p w14:paraId="1D2B113F" w14:textId="77777777" w:rsidR="004033D4" w:rsidRPr="009F4E0B" w:rsidRDefault="004033D4" w:rsidP="004033D4">
                        <w:pPr>
                          <w:spacing w:after="60"/>
                          <w:ind w:left="1643" w:hanging="1411"/>
                          <w:rPr>
                            <w:iCs/>
                            <w:sz w:val="20"/>
                          </w:rPr>
                        </w:pPr>
                        <w:r w:rsidRPr="009F4E0B">
                          <w:rPr>
                            <w:iCs/>
                            <w:sz w:val="20"/>
                          </w:rPr>
                          <w:t>MCE = Max[RFAF * MAF * Max[{</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e>
                          </m:nary>
                        </m:oMath>
                        <w:r w:rsidRPr="009F4E0B">
                          <w:rPr>
                            <w:b/>
                            <w:bCs/>
                            <w:iCs/>
                            <w:sz w:val="20"/>
                          </w:rPr>
                          <w:t>[</w:t>
                        </w:r>
                        <w:r w:rsidRPr="009F4E0B">
                          <w:rPr>
                            <w:iCs/>
                            <w:sz w:val="20"/>
                          </w:rPr>
                          <w:t xml:space="preserve">L </w:t>
                        </w:r>
                        <w:r w:rsidRPr="009F4E0B">
                          <w:rPr>
                            <w:i/>
                            <w:iCs/>
                            <w:sz w:val="20"/>
                            <w:vertAlign w:val="subscript"/>
                          </w:rPr>
                          <w:t>i, od, p</w:t>
                        </w:r>
                        <w:r w:rsidRPr="009F4E0B">
                          <w:rPr>
                            <w:iCs/>
                            <w:sz w:val="20"/>
                          </w:rPr>
                          <w:t xml:space="preserve"> * RTSPP </w:t>
                        </w:r>
                        <w:r w:rsidRPr="009F4E0B">
                          <w:rPr>
                            <w:i/>
                            <w:iCs/>
                            <w:sz w:val="20"/>
                            <w:vertAlign w:val="subscript"/>
                          </w:rPr>
                          <w:t>i, od, p</w:t>
                        </w:r>
                        <w:r w:rsidRPr="009F4E0B">
                          <w:rPr>
                            <w:iCs/>
                            <w:sz w:val="20"/>
                          </w:rPr>
                          <w:t>]/</w:t>
                        </w:r>
                        <w:r w:rsidRPr="009F4E0B">
                          <w:rPr>
                            <w:i/>
                            <w:iCs/>
                            <w:sz w:val="20"/>
                          </w:rPr>
                          <w:t>n</w:t>
                        </w:r>
                        <w:r w:rsidRPr="009F4E0B">
                          <w:rPr>
                            <w:iCs/>
                            <w:sz w:val="20"/>
                          </w:rPr>
                          <w:t>}, {</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b/>
                            <w:bCs/>
                            <w:iCs/>
                            <w:sz w:val="20"/>
                          </w:rPr>
                          <w:t>[[[</w:t>
                        </w:r>
                        <w:r w:rsidRPr="009F4E0B">
                          <w:rPr>
                            <w:iCs/>
                            <w:sz w:val="20"/>
                          </w:rPr>
                          <w:t xml:space="preserve">L </w:t>
                        </w:r>
                        <w:r w:rsidRPr="009F4E0B">
                          <w:rPr>
                            <w:i/>
                            <w:iCs/>
                            <w:sz w:val="20"/>
                            <w:vertAlign w:val="subscript"/>
                          </w:rPr>
                          <w:t>i, od, p</w:t>
                        </w:r>
                        <w:r w:rsidRPr="009F4E0B">
                          <w:rPr>
                            <w:iCs/>
                            <w:sz w:val="20"/>
                          </w:rPr>
                          <w:t xml:space="preserve"> * </w:t>
                        </w:r>
                        <w:r w:rsidRPr="009F4E0B">
                          <w:rPr>
                            <w:i/>
                            <w:iCs/>
                            <w:sz w:val="20"/>
                          </w:rPr>
                          <w:t>T2</w:t>
                        </w:r>
                        <w:r w:rsidRPr="009F4E0B">
                          <w:rPr>
                            <w:iCs/>
                            <w:sz w:val="20"/>
                            <w:vertAlign w:val="subscript"/>
                          </w:rPr>
                          <w:t xml:space="preserve">  </w:t>
                        </w:r>
                        <w:r w:rsidRPr="009F4E0B">
                          <w:rPr>
                            <w:b/>
                            <w:bCs/>
                            <w:iCs/>
                            <w:sz w:val="20"/>
                          </w:rPr>
                          <w:t xml:space="preserve">- </w:t>
                        </w:r>
                        <w:r w:rsidRPr="009F4E0B">
                          <w:rPr>
                            <w:iCs/>
                            <w:sz w:val="20"/>
                          </w:rPr>
                          <w:t xml:space="preserve">G </w:t>
                        </w:r>
                        <w:r w:rsidRPr="009F4E0B">
                          <w:rPr>
                            <w:i/>
                            <w:iCs/>
                            <w:sz w:val="20"/>
                            <w:vertAlign w:val="subscript"/>
                          </w:rPr>
                          <w:t>i, od, p</w:t>
                        </w:r>
                        <w:r w:rsidRPr="009F4E0B">
                          <w:rPr>
                            <w:iCs/>
                            <w:sz w:val="20"/>
                          </w:rPr>
                          <w:t xml:space="preserve"> * (1-</w:t>
                        </w:r>
                        <w:r w:rsidRPr="009F4E0B">
                          <w:rPr>
                            <w:i/>
                            <w:iCs/>
                            <w:sz w:val="20"/>
                          </w:rPr>
                          <w:t>NUCADJ</w:t>
                        </w:r>
                        <w:r w:rsidRPr="009F4E0B">
                          <w:rPr>
                            <w:iCs/>
                            <w:sz w:val="20"/>
                          </w:rPr>
                          <w:t xml:space="preserve">) * </w:t>
                        </w:r>
                        <w:r w:rsidRPr="009F4E0B">
                          <w:rPr>
                            <w:i/>
                            <w:iCs/>
                            <w:sz w:val="20"/>
                          </w:rPr>
                          <w:t>T3</w:t>
                        </w:r>
                        <w:r w:rsidRPr="009F4E0B">
                          <w:rPr>
                            <w:iCs/>
                            <w:sz w:val="20"/>
                          </w:rPr>
                          <w:t xml:space="preserve">] * RTSPP </w:t>
                        </w:r>
                        <w:r w:rsidRPr="009F4E0B">
                          <w:rPr>
                            <w:i/>
                            <w:iCs/>
                            <w:sz w:val="20"/>
                            <w:vertAlign w:val="subscript"/>
                          </w:rPr>
                          <w:t>i, od, p</w:t>
                        </w:r>
                        <w:r w:rsidRPr="009F4E0B">
                          <w:rPr>
                            <w:iCs/>
                            <w:sz w:val="20"/>
                          </w:rPr>
                          <w:t xml:space="preserve">] + [RTQQNET </w:t>
                        </w:r>
                        <w:r w:rsidRPr="009F4E0B">
                          <w:rPr>
                            <w:i/>
                            <w:iCs/>
                            <w:sz w:val="20"/>
                            <w:vertAlign w:val="subscript"/>
                          </w:rPr>
                          <w:t>i, od, p</w:t>
                        </w:r>
                        <w:r w:rsidRPr="009F4E0B">
                          <w:rPr>
                            <w:b/>
                            <w:bCs/>
                            <w:iCs/>
                            <w:sz w:val="20"/>
                          </w:rPr>
                          <w:t xml:space="preserve"> </w:t>
                        </w:r>
                        <w:r w:rsidRPr="009F4E0B">
                          <w:rPr>
                            <w:iCs/>
                            <w:sz w:val="20"/>
                          </w:rPr>
                          <w:t xml:space="preserve">* </w:t>
                        </w:r>
                        <w:r w:rsidRPr="009F4E0B">
                          <w:rPr>
                            <w:i/>
                            <w:iCs/>
                            <w:sz w:val="20"/>
                          </w:rPr>
                          <w:t>T5</w:t>
                        </w:r>
                        <w:r w:rsidRPr="009F4E0B">
                          <w:rPr>
                            <w:iCs/>
                            <w:sz w:val="20"/>
                          </w:rPr>
                          <w:t>]]</w:t>
                        </w:r>
                        <w:r w:rsidRPr="009F4E0B">
                          <w:rPr>
                            <w:b/>
                            <w:bCs/>
                            <w:iCs/>
                            <w:sz w:val="20"/>
                          </w:rPr>
                          <w:t>/</w:t>
                        </w:r>
                        <w:r w:rsidRPr="009F4E0B">
                          <w:rPr>
                            <w:i/>
                            <w:iCs/>
                            <w:sz w:val="20"/>
                          </w:rPr>
                          <w:t>n</w:t>
                        </w:r>
                        <w:r w:rsidRPr="009F4E0B">
                          <w:rPr>
                            <w:iCs/>
                            <w:sz w:val="20"/>
                          </w:rPr>
                          <w:t xml:space="preserve">}, </w:t>
                        </w:r>
                      </w:p>
                      <w:p w14:paraId="1841599B" w14:textId="77777777" w:rsidR="004033D4" w:rsidRPr="009F4E0B" w:rsidRDefault="004033D4" w:rsidP="004033D4">
                        <w:pPr>
                          <w:spacing w:after="60"/>
                          <w:ind w:left="1643" w:hanging="1373"/>
                          <w:rPr>
                            <w:iCs/>
                            <w:sz w:val="20"/>
                          </w:rPr>
                        </w:pPr>
                        <w:r w:rsidRPr="009F4E0B">
                          <w:rPr>
                            <w:iCs/>
                            <w:sz w:val="20"/>
                          </w:rPr>
                          <w:t xml:space="preserve">                      {</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b/>
                            <w:bCs/>
                            <w:iCs/>
                            <w:sz w:val="20"/>
                          </w:rPr>
                          <w:t>[</w:t>
                        </w:r>
                        <w:r w:rsidRPr="009F4E0B">
                          <w:rPr>
                            <w:iCs/>
                            <w:sz w:val="20"/>
                          </w:rPr>
                          <w:t xml:space="preserve">G </w:t>
                        </w:r>
                        <w:r w:rsidRPr="009F4E0B">
                          <w:rPr>
                            <w:i/>
                            <w:iCs/>
                            <w:sz w:val="20"/>
                            <w:vertAlign w:val="subscript"/>
                          </w:rPr>
                          <w:t>i, od, p</w:t>
                        </w:r>
                        <w:r w:rsidRPr="009F4E0B">
                          <w:rPr>
                            <w:iCs/>
                            <w:sz w:val="20"/>
                          </w:rPr>
                          <w:t xml:space="preserve"> * </w:t>
                        </w:r>
                        <w:r w:rsidRPr="009F4E0B">
                          <w:rPr>
                            <w:i/>
                            <w:iCs/>
                            <w:sz w:val="20"/>
                          </w:rPr>
                          <w:t>NUCADJ</w:t>
                        </w:r>
                        <w:r w:rsidRPr="009F4E0B">
                          <w:rPr>
                            <w:iCs/>
                            <w:sz w:val="20"/>
                          </w:rPr>
                          <w:t xml:space="preserve"> * </w:t>
                        </w:r>
                        <w:r w:rsidRPr="009F4E0B">
                          <w:rPr>
                            <w:i/>
                            <w:iCs/>
                            <w:sz w:val="20"/>
                          </w:rPr>
                          <w:t>T1</w:t>
                        </w:r>
                        <w:r w:rsidRPr="009F4E0B">
                          <w:rPr>
                            <w:iCs/>
                            <w:sz w:val="20"/>
                          </w:rPr>
                          <w:t xml:space="preserve"> * RTSPP </w:t>
                        </w:r>
                        <w:r w:rsidRPr="009F4E0B">
                          <w:rPr>
                            <w:i/>
                            <w:iCs/>
                            <w:sz w:val="20"/>
                            <w:vertAlign w:val="subscript"/>
                          </w:rPr>
                          <w:t>i, od, p</w:t>
                        </w:r>
                        <w:r w:rsidRPr="009F4E0B">
                          <w:rPr>
                            <w:b/>
                            <w:bCs/>
                            <w:iCs/>
                            <w:sz w:val="20"/>
                          </w:rPr>
                          <w:t>]/</w:t>
                        </w:r>
                        <w:r w:rsidRPr="009F4E0B">
                          <w:rPr>
                            <w:iCs/>
                            <w:sz w:val="20"/>
                          </w:rPr>
                          <w:t>n},</w:t>
                        </w:r>
                      </w:p>
                      <w:p w14:paraId="1E17603C" w14:textId="77777777" w:rsidR="004033D4" w:rsidRPr="009F4E0B" w:rsidRDefault="004033D4" w:rsidP="004033D4">
                        <w:pPr>
                          <w:spacing w:after="60"/>
                          <w:ind w:left="1643" w:hanging="1373"/>
                          <w:rPr>
                            <w:iCs/>
                            <w:sz w:val="20"/>
                          </w:rPr>
                        </w:pPr>
                        <w:r w:rsidRPr="009F4E0B">
                          <w:rPr>
                            <w:iCs/>
                            <w:sz w:val="20"/>
                          </w:rPr>
                          <w:t xml:space="preserve">                      {</w:t>
                        </w:r>
                        <w:r>
                          <w:rPr>
                            <w:iCs/>
                            <w:sz w:val="20"/>
                          </w:rPr>
                          <w:t>{</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iCs/>
                            <w:sz w:val="20"/>
                          </w:rPr>
                          <w:t>DARTNET</w:t>
                        </w:r>
                        <w:r w:rsidRPr="009F4E0B">
                          <w:rPr>
                            <w:iCs/>
                            <w:sz w:val="16"/>
                            <w:vertAlign w:val="subscript"/>
                          </w:rPr>
                          <w:t xml:space="preserve"> </w:t>
                        </w:r>
                        <w:r w:rsidRPr="009F4E0B">
                          <w:rPr>
                            <w:i/>
                            <w:iCs/>
                            <w:sz w:val="20"/>
                            <w:vertAlign w:val="subscript"/>
                          </w:rPr>
                          <w:t>i, od, p</w:t>
                        </w:r>
                        <w:r w:rsidRPr="009F4E0B">
                          <w:rPr>
                            <w:iCs/>
                            <w:sz w:val="20"/>
                          </w:rPr>
                          <w:t xml:space="preserve"> </w:t>
                        </w:r>
                        <w:r w:rsidRPr="009F4E0B">
                          <w:rPr>
                            <w:iCs/>
                            <w:sz w:val="16"/>
                          </w:rPr>
                          <w:t xml:space="preserve">* </w:t>
                        </w:r>
                        <w:r w:rsidRPr="009F4E0B">
                          <w:rPr>
                            <w:i/>
                            <w:iCs/>
                            <w:sz w:val="20"/>
                          </w:rPr>
                          <w:t>T4</w:t>
                        </w:r>
                        <w:r w:rsidRPr="009F4E0B">
                          <w:rPr>
                            <w:iCs/>
                            <w:sz w:val="20"/>
                          </w:rPr>
                          <w:t>/</w:t>
                        </w:r>
                        <w:r w:rsidRPr="009F4E0B">
                          <w:rPr>
                            <w:i/>
                            <w:iCs/>
                            <w:sz w:val="20"/>
                          </w:rPr>
                          <w:t>n</w:t>
                        </w:r>
                        <w:r w:rsidRPr="009F4E0B">
                          <w:rPr>
                            <w:iCs/>
                            <w:sz w:val="20"/>
                          </w:rPr>
                          <w:t>}</w:t>
                        </w:r>
                        <w:r>
                          <w:rPr>
                            <w:iCs/>
                            <w:sz w:val="20"/>
                          </w:rPr>
                          <w:t xml:space="preserve"> </w:t>
                        </w:r>
                        <m:oMath>
                          <m:r>
                            <w:rPr>
                              <w:rFonts w:ascii="Cambria Math" w:hAnsi="Cambria Math"/>
                              <w:sz w:val="20"/>
                            </w:rPr>
                            <m:t>+</m:t>
                          </m:r>
                        </m:oMath>
                        <w:r w:rsidRPr="009F4E0B">
                          <w:rPr>
                            <w:iCs/>
                            <w:sz w:val="20"/>
                          </w:rPr>
                          <w:t>{</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oMath>
                        <w:r>
                          <w:rPr>
                            <w:iCs/>
                            <w:sz w:val="20"/>
                          </w:rPr>
                          <w:t>DARTASONET</w:t>
                        </w:r>
                        <w:r w:rsidRPr="009F4E0B">
                          <w:rPr>
                            <w:i/>
                            <w:iCs/>
                            <w:sz w:val="20"/>
                            <w:vertAlign w:val="subscript"/>
                          </w:rPr>
                          <w:t xml:space="preserve"> </w:t>
                        </w:r>
                        <w:r>
                          <w:rPr>
                            <w:i/>
                            <w:iCs/>
                            <w:sz w:val="20"/>
                            <w:vertAlign w:val="subscript"/>
                          </w:rPr>
                          <w:t xml:space="preserve">i, od, </w:t>
                        </w:r>
                        <w:r w:rsidRPr="009F4E0B">
                          <w:rPr>
                            <w:i/>
                            <w:iCs/>
                            <w:sz w:val="20"/>
                            <w:vertAlign w:val="subscript"/>
                          </w:rPr>
                          <w:t>c</w:t>
                        </w:r>
                        <w:r>
                          <w:rPr>
                            <w:i/>
                            <w:iCs/>
                            <w:sz w:val="20"/>
                            <w:vertAlign w:val="subscript"/>
                          </w:rPr>
                          <w:t xml:space="preserve"> </w:t>
                        </w:r>
                        <w:r w:rsidRPr="007119F8">
                          <w:rPr>
                            <w:i/>
                            <w:iCs/>
                            <w:sz w:val="20"/>
                          </w:rPr>
                          <w:t>* T4/n</w:t>
                        </w:r>
                        <w:r w:rsidRPr="007119F8">
                          <w:rPr>
                            <w:iCs/>
                            <w:sz w:val="20"/>
                          </w:rPr>
                          <w:t>}</w:t>
                        </w:r>
                        <w:r>
                          <w:rPr>
                            <w:iCs/>
                            <w:sz w:val="20"/>
                          </w:rPr>
                          <w:t>}</w:t>
                        </w:r>
                        <w:r w:rsidRPr="009F4E0B">
                          <w:rPr>
                            <w:iCs/>
                            <w:sz w:val="20"/>
                          </w:rPr>
                          <w:t>],</w:t>
                        </w:r>
                      </w:p>
                      <w:p w14:paraId="01D397DF" w14:textId="77777777" w:rsidR="004033D4" w:rsidRPr="009F4E0B" w:rsidRDefault="004033D4" w:rsidP="004033D4">
                        <w:pPr>
                          <w:spacing w:after="60"/>
                          <w:ind w:left="1643" w:hanging="1373"/>
                          <w:rPr>
                            <w:iCs/>
                            <w:sz w:val="20"/>
                          </w:rPr>
                        </w:pPr>
                        <w:r w:rsidRPr="009F4E0B">
                          <w:rPr>
                            <w:iCs/>
                            <w:sz w:val="20"/>
                          </w:rPr>
                          <w:t xml:space="preserve">                      MAF * IMCE]</w:t>
                        </w:r>
                      </w:p>
                      <w:p w14:paraId="2D75F0B9" w14:textId="77777777" w:rsidR="004033D4" w:rsidRPr="009F4E0B" w:rsidRDefault="004033D4" w:rsidP="004033D4">
                        <w:pPr>
                          <w:spacing w:after="60"/>
                          <w:ind w:left="1643" w:hanging="1373"/>
                          <w:rPr>
                            <w:iCs/>
                            <w:sz w:val="20"/>
                          </w:rPr>
                        </w:pPr>
                      </w:p>
                      <w:p w14:paraId="20A0B138" w14:textId="77777777" w:rsidR="004033D4" w:rsidRPr="009F4E0B" w:rsidRDefault="004033D4" w:rsidP="004033D4">
                        <w:pPr>
                          <w:spacing w:after="60"/>
                          <w:ind w:left="1402" w:hanging="1170"/>
                          <w:rPr>
                            <w:b/>
                            <w:iCs/>
                            <w:sz w:val="20"/>
                          </w:rPr>
                        </w:pPr>
                        <w:r w:rsidRPr="009F4E0B">
                          <w:rPr>
                            <w:iCs/>
                            <w:sz w:val="20"/>
                          </w:rPr>
                          <w:t xml:space="preserve">RTQQNET </w:t>
                        </w:r>
                        <w:r w:rsidRPr="009F4E0B">
                          <w:rPr>
                            <w:i/>
                            <w:iCs/>
                            <w:sz w:val="20"/>
                            <w:vertAlign w:val="subscript"/>
                          </w:rPr>
                          <w:t>i, od, p</w:t>
                        </w:r>
                        <w:r w:rsidRPr="009F4E0B">
                          <w:rPr>
                            <w:i/>
                            <w:iCs/>
                            <w:sz w:val="20"/>
                          </w:rPr>
                          <w:t xml:space="preserve"> </w:t>
                        </w:r>
                        <w:r w:rsidRPr="009F4E0B">
                          <w:rPr>
                            <w:iCs/>
                            <w:sz w:val="20"/>
                          </w:rPr>
                          <w:t>= Max</w:t>
                        </w:r>
                        <w:r w:rsidRPr="009F4E0B">
                          <w:rPr>
                            <w:b/>
                            <w:iCs/>
                            <w:sz w:val="20"/>
                          </w:rPr>
                          <w:t>[</w:t>
                        </w:r>
                        <w:r w:rsidRPr="009F4E0B">
                          <w:rPr>
                            <w:b/>
                            <w:iCs/>
                            <w:position w:val="-20"/>
                            <w:sz w:val="20"/>
                          </w:rPr>
                          <w:object w:dxaOrig="225" w:dyaOrig="420" w14:anchorId="335FA0E3">
                            <v:shape id="_x0000_i1027" type="#_x0000_t75" style="width:7.5pt;height:22.55pt" o:ole="">
                              <v:imagedata r:id="rId17" o:title=""/>
                            </v:shape>
                            <o:OLEObject Type="Embed" ProgID="Equation.3" ShapeID="_x0000_i1027" DrawAspect="Content" ObjectID="_1692600104" r:id="rId20"/>
                          </w:object>
                        </w:r>
                        <w:r w:rsidRPr="009F4E0B">
                          <w:rPr>
                            <w:b/>
                            <w:iCs/>
                            <w:sz w:val="20"/>
                          </w:rPr>
                          <w:t>(</w:t>
                        </w:r>
                        <w:r w:rsidRPr="009F4E0B">
                          <w:rPr>
                            <w:iCs/>
                            <w:sz w:val="20"/>
                          </w:rPr>
                          <w:t xml:space="preserve">RTQQES </w:t>
                        </w:r>
                        <w:r w:rsidRPr="009F4E0B">
                          <w:rPr>
                            <w:i/>
                            <w:iCs/>
                            <w:sz w:val="20"/>
                            <w:vertAlign w:val="subscript"/>
                          </w:rPr>
                          <w:t xml:space="preserve">i, od, p, c </w:t>
                        </w:r>
                        <w:r w:rsidRPr="009F4E0B">
                          <w:rPr>
                            <w:i/>
                            <w:iCs/>
                            <w:sz w:val="20"/>
                          </w:rPr>
                          <w:t>-</w:t>
                        </w:r>
                        <w:r w:rsidRPr="009F4E0B">
                          <w:rPr>
                            <w:i/>
                            <w:iCs/>
                            <w:sz w:val="20"/>
                            <w:vertAlign w:val="subscript"/>
                          </w:rPr>
                          <w:t xml:space="preserve"> </w:t>
                        </w:r>
                        <w:r w:rsidRPr="009F4E0B">
                          <w:rPr>
                            <w:iCs/>
                            <w:sz w:val="20"/>
                          </w:rPr>
                          <w:t xml:space="preserve">RTQQEP </w:t>
                        </w:r>
                        <w:r w:rsidRPr="009F4E0B">
                          <w:rPr>
                            <w:i/>
                            <w:iCs/>
                            <w:sz w:val="20"/>
                            <w:vertAlign w:val="subscript"/>
                          </w:rPr>
                          <w:t>i, od, p, c</w:t>
                        </w:r>
                        <w:r w:rsidRPr="009F4E0B">
                          <w:rPr>
                            <w:iCs/>
                            <w:sz w:val="20"/>
                          </w:rPr>
                          <w:t xml:space="preserve">), </w:t>
                        </w:r>
                        <w:r w:rsidRPr="009F4E0B">
                          <w:rPr>
                            <w:i/>
                            <w:iCs/>
                            <w:sz w:val="20"/>
                          </w:rPr>
                          <w:t>BTCF</w:t>
                        </w:r>
                        <w:r w:rsidRPr="009F4E0B">
                          <w:rPr>
                            <w:iCs/>
                            <w:sz w:val="20"/>
                          </w:rPr>
                          <w:t xml:space="preserve"> *      </w:t>
                        </w:r>
                        <w:r w:rsidRPr="009F4E0B">
                          <w:rPr>
                            <w:b/>
                            <w:iCs/>
                            <w:position w:val="-20"/>
                            <w:sz w:val="20"/>
                          </w:rPr>
                          <w:object w:dxaOrig="225" w:dyaOrig="420" w14:anchorId="76ABEBDE">
                            <v:shape id="_x0000_i1028" type="#_x0000_t75" style="width:7.5pt;height:22.55pt" o:ole="">
                              <v:imagedata r:id="rId17" o:title=""/>
                            </v:shape>
                            <o:OLEObject Type="Embed" ProgID="Equation.3" ShapeID="_x0000_i1028" DrawAspect="Content" ObjectID="_1692600105" r:id="rId21"/>
                          </w:object>
                        </w:r>
                        <w:r w:rsidRPr="009F4E0B">
                          <w:rPr>
                            <w:iCs/>
                            <w:sz w:val="20"/>
                          </w:rPr>
                          <w:t xml:space="preserve">(RTQQES </w:t>
                        </w:r>
                        <w:r w:rsidRPr="009F4E0B">
                          <w:rPr>
                            <w:i/>
                            <w:iCs/>
                            <w:sz w:val="20"/>
                            <w:vertAlign w:val="subscript"/>
                          </w:rPr>
                          <w:t>i, od, p, c</w:t>
                        </w:r>
                        <w:r w:rsidRPr="009F4E0B">
                          <w:rPr>
                            <w:iCs/>
                            <w:sz w:val="20"/>
                          </w:rPr>
                          <w:t xml:space="preserve"> – RTQQEP </w:t>
                        </w:r>
                        <w:r w:rsidRPr="009F4E0B">
                          <w:rPr>
                            <w:i/>
                            <w:iCs/>
                            <w:sz w:val="20"/>
                            <w:vertAlign w:val="subscript"/>
                          </w:rPr>
                          <w:t>i, od, p, c</w:t>
                        </w:r>
                        <w:r w:rsidRPr="009F4E0B">
                          <w:rPr>
                            <w:iCs/>
                            <w:sz w:val="20"/>
                          </w:rPr>
                          <w:t xml:space="preserve">)] * RTSPP </w:t>
                        </w:r>
                        <w:r w:rsidRPr="009F4E0B">
                          <w:rPr>
                            <w:i/>
                            <w:iCs/>
                            <w:sz w:val="20"/>
                            <w:vertAlign w:val="subscript"/>
                          </w:rPr>
                          <w:t>i, od, p</w:t>
                        </w:r>
                      </w:p>
                      <w:p w14:paraId="4FBB6AD0" w14:textId="77777777" w:rsidR="004033D4" w:rsidRPr="009F4E0B" w:rsidRDefault="004033D4" w:rsidP="004033D4">
                        <w:pPr>
                          <w:spacing w:after="60"/>
                          <w:ind w:left="293"/>
                          <w:rPr>
                            <w:b/>
                            <w:iCs/>
                            <w:sz w:val="20"/>
                          </w:rPr>
                        </w:pPr>
                      </w:p>
                      <w:p w14:paraId="63FD939D" w14:textId="77777777" w:rsidR="004033D4" w:rsidRDefault="004033D4" w:rsidP="004033D4">
                        <w:pPr>
                          <w:spacing w:after="60"/>
                          <w:ind w:left="1402" w:hanging="1170"/>
                          <w:rPr>
                            <w:iCs/>
                            <w:color w:val="000000"/>
                            <w:sz w:val="20"/>
                          </w:rPr>
                        </w:pPr>
                        <w:r w:rsidRPr="009F4E0B">
                          <w:rPr>
                            <w:iCs/>
                            <w:color w:val="000000"/>
                            <w:sz w:val="20"/>
                          </w:rPr>
                          <w:lastRenderedPageBreak/>
                          <w:t>DARTNET</w:t>
                        </w:r>
                        <w:r w:rsidRPr="009F4E0B">
                          <w:rPr>
                            <w:i/>
                            <w:iCs/>
                            <w:sz w:val="20"/>
                            <w:vertAlign w:val="subscript"/>
                          </w:rPr>
                          <w:t xml:space="preserve"> i, od, p </w:t>
                        </w:r>
                        <w:r w:rsidRPr="009F4E0B">
                          <w:rPr>
                            <w:iCs/>
                            <w:color w:val="000000"/>
                            <w:sz w:val="20"/>
                          </w:rPr>
                          <w:t xml:space="preserve"> = DAM EOO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sz w:val="20"/>
                            <w:vertAlign w:val="subscript"/>
                          </w:rPr>
                          <w:t xml:space="preserve"> </w:t>
                        </w:r>
                        <w:r w:rsidRPr="009F4E0B">
                          <w:rPr>
                            <w:iCs/>
                            <w:color w:val="000000"/>
                            <w:sz w:val="20"/>
                          </w:rPr>
                          <w:t>+ DAM TPO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color w:val="000000"/>
                            <w:sz w:val="20"/>
                          </w:rPr>
                          <w:t xml:space="preserve"> + DAM PTP Cleared</w:t>
                        </w:r>
                        <w:r w:rsidRPr="009F4E0B">
                          <w:rPr>
                            <w:i/>
                            <w:iCs/>
                            <w:sz w:val="20"/>
                            <w:vertAlign w:val="subscript"/>
                          </w:rPr>
                          <w:t xml:space="preserve"> i, od, p</w:t>
                        </w:r>
                        <w:r w:rsidRPr="009F4E0B">
                          <w:rPr>
                            <w:i/>
                            <w:iCs/>
                            <w:sz w:val="20"/>
                          </w:rPr>
                          <w:t xml:space="preserve"> </w:t>
                        </w:r>
                        <w:r w:rsidRPr="009F4E0B">
                          <w:rPr>
                            <w:iCs/>
                            <w:color w:val="000000"/>
                            <w:sz w:val="20"/>
                          </w:rPr>
                          <w:t>* DARTPTP</w:t>
                        </w:r>
                        <w:r w:rsidRPr="009F4E0B">
                          <w:rPr>
                            <w:i/>
                            <w:iCs/>
                            <w:sz w:val="20"/>
                            <w:vertAlign w:val="subscript"/>
                          </w:rPr>
                          <w:t xml:space="preserve"> i, od, p</w:t>
                        </w:r>
                        <w:r w:rsidRPr="009F4E0B">
                          <w:rPr>
                            <w:iCs/>
                            <w:sz w:val="20"/>
                            <w:vertAlign w:val="subscript"/>
                          </w:rPr>
                          <w:t xml:space="preserve"> </w:t>
                        </w:r>
                        <w:r w:rsidRPr="009F4E0B">
                          <w:rPr>
                            <w:iCs/>
                            <w:color w:val="000000"/>
                            <w:sz w:val="20"/>
                          </w:rPr>
                          <w:t>– DAM EOB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color w:val="000000"/>
                            <w:sz w:val="20"/>
                          </w:rPr>
                          <w:t xml:space="preserve"> </w:t>
                        </w:r>
                      </w:p>
                      <w:p w14:paraId="1214D703" w14:textId="77777777" w:rsidR="004033D4" w:rsidRDefault="004033D4" w:rsidP="004033D4">
                        <w:pPr>
                          <w:spacing w:after="60"/>
                          <w:ind w:left="1402" w:hanging="1170"/>
                          <w:rPr>
                            <w:iCs/>
                            <w:color w:val="000000"/>
                            <w:sz w:val="20"/>
                          </w:rPr>
                        </w:pPr>
                      </w:p>
                      <w:p w14:paraId="448953EC" w14:textId="77777777" w:rsidR="004033D4" w:rsidRPr="009F4E0B" w:rsidRDefault="004033D4" w:rsidP="004033D4">
                        <w:pPr>
                          <w:spacing w:after="60"/>
                          <w:ind w:left="1402" w:hanging="1170"/>
                          <w:rPr>
                            <w:iCs/>
                            <w:color w:val="000000"/>
                            <w:sz w:val="20"/>
                          </w:rPr>
                        </w:pPr>
                        <w:r>
                          <w:rPr>
                            <w:iCs/>
                            <w:color w:val="000000"/>
                            <w:sz w:val="20"/>
                          </w:rPr>
                          <w:t>DARTASONET</w:t>
                        </w:r>
                        <w:r w:rsidRPr="009F4E0B">
                          <w:rPr>
                            <w:i/>
                            <w:iCs/>
                            <w:sz w:val="20"/>
                            <w:vertAlign w:val="subscript"/>
                          </w:rPr>
                          <w:t xml:space="preserve"> </w:t>
                        </w:r>
                        <w:r>
                          <w:rPr>
                            <w:i/>
                            <w:iCs/>
                            <w:sz w:val="20"/>
                            <w:vertAlign w:val="subscript"/>
                          </w:rPr>
                          <w:t>i, od</w:t>
                        </w:r>
                        <w:r>
                          <w:rPr>
                            <w:iCs/>
                            <w:color w:val="000000"/>
                            <w:sz w:val="20"/>
                          </w:rPr>
                          <w:t xml:space="preserve"> = DAM ASOO Cleared </w:t>
                        </w:r>
                        <w:r>
                          <w:rPr>
                            <w:i/>
                            <w:iCs/>
                            <w:sz w:val="20"/>
                            <w:vertAlign w:val="subscript"/>
                          </w:rPr>
                          <w:t>i, od</w:t>
                        </w:r>
                        <w:r>
                          <w:rPr>
                            <w:iCs/>
                            <w:color w:val="000000"/>
                            <w:sz w:val="20"/>
                          </w:rPr>
                          <w:t xml:space="preserve"> * DARTMCPC</w:t>
                        </w:r>
                        <w:r>
                          <w:rPr>
                            <w:i/>
                            <w:iCs/>
                            <w:sz w:val="20"/>
                            <w:vertAlign w:val="subscript"/>
                          </w:rPr>
                          <w:t xml:space="preserve"> i, od</w:t>
                        </w:r>
                      </w:p>
                      <w:p w14:paraId="636569A9" w14:textId="77777777" w:rsidR="004033D4" w:rsidRPr="009F4E0B" w:rsidRDefault="004033D4" w:rsidP="004033D4">
                        <w:pPr>
                          <w:keepNext/>
                          <w:tabs>
                            <w:tab w:val="left" w:pos="1728"/>
                            <w:tab w:val="center" w:pos="4536"/>
                            <w:tab w:val="right" w:pos="9360"/>
                          </w:tabs>
                          <w:spacing w:before="240" w:after="60"/>
                          <w:ind w:left="1733" w:hanging="1440"/>
                          <w:outlineLvl w:val="6"/>
                          <w:rPr>
                            <w:sz w:val="20"/>
                          </w:rPr>
                        </w:pPr>
                        <w:r w:rsidRPr="009F4E0B">
                          <w:rPr>
                            <w:sz w:val="20"/>
                          </w:rPr>
                          <w:t>Where:</w:t>
                        </w:r>
                      </w:p>
                      <w:p w14:paraId="44936BEF" w14:textId="77777777" w:rsidR="004033D4" w:rsidRPr="009F4E0B" w:rsidRDefault="004033D4" w:rsidP="004033D4">
                        <w:pPr>
                          <w:keepNext/>
                          <w:tabs>
                            <w:tab w:val="left" w:pos="1728"/>
                            <w:tab w:val="center" w:pos="4536"/>
                            <w:tab w:val="right" w:pos="9360"/>
                          </w:tabs>
                          <w:spacing w:before="240" w:after="60"/>
                          <w:ind w:left="1733" w:hanging="1440"/>
                          <w:outlineLvl w:val="6"/>
                          <w:rPr>
                            <w:rFonts w:ascii="Cambria" w:hAnsi="Cambria"/>
                            <w:iCs/>
                            <w:color w:val="404040"/>
                            <w:sz w:val="20"/>
                          </w:rPr>
                        </w:pPr>
                        <w:r w:rsidRPr="009F4E0B">
                          <w:rPr>
                            <w:iCs/>
                            <w:sz w:val="20"/>
                          </w:rPr>
                          <w:t>G</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Total Metered Generation at all Resource Nodes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 xml:space="preserve">od </w:t>
                        </w:r>
                        <w:r w:rsidRPr="009F4E0B">
                          <w:rPr>
                            <w:iCs/>
                            <w:sz w:val="20"/>
                          </w:rPr>
                          <w:t xml:space="preserve">at Settlement Point </w:t>
                        </w:r>
                        <w:r w:rsidRPr="009F4E0B">
                          <w:rPr>
                            <w:i/>
                            <w:iCs/>
                            <w:sz w:val="20"/>
                          </w:rPr>
                          <w:t>p</w:t>
                        </w:r>
                      </w:p>
                      <w:p w14:paraId="66A08D1C" w14:textId="77777777" w:rsidR="004033D4" w:rsidRPr="009F4E0B" w:rsidRDefault="004033D4" w:rsidP="004033D4">
                        <w:pPr>
                          <w:tabs>
                            <w:tab w:val="right" w:pos="9360"/>
                          </w:tabs>
                          <w:spacing w:after="60"/>
                          <w:ind w:left="1733" w:hanging="1440"/>
                          <w:rPr>
                            <w:rFonts w:ascii="Cambria" w:hAnsi="Cambria"/>
                            <w:i/>
                            <w:iCs/>
                            <w:color w:val="404040"/>
                            <w:sz w:val="20"/>
                          </w:rPr>
                        </w:pPr>
                        <w:r w:rsidRPr="009F4E0B">
                          <w:rPr>
                            <w:iCs/>
                            <w:sz w:val="20"/>
                          </w:rPr>
                          <w:t>L</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Total Adjusted Metered Load (AML) at all Load Zones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38524A7B" w14:textId="62822F50" w:rsidR="004033D4" w:rsidRPr="009F4E0B" w:rsidRDefault="004033D4" w:rsidP="004033D4">
                        <w:pPr>
                          <w:tabs>
                            <w:tab w:val="right" w:pos="9360"/>
                          </w:tabs>
                          <w:spacing w:after="60"/>
                          <w:ind w:left="1733" w:hanging="1440"/>
                          <w:rPr>
                            <w:iCs/>
                            <w:sz w:val="20"/>
                          </w:rPr>
                        </w:pPr>
                        <w:r w:rsidRPr="009F4E0B">
                          <w:rPr>
                            <w:sz w:val="20"/>
                          </w:rPr>
                          <w:t xml:space="preserve">MAF = </w:t>
                        </w:r>
                        <w:r w:rsidRPr="009F4E0B">
                          <w:rPr>
                            <w:sz w:val="20"/>
                          </w:rPr>
                          <w:tab/>
                        </w:r>
                        <w:r w:rsidRPr="009F4E0B">
                          <w:rPr>
                            <w:i/>
                            <w:sz w:val="20"/>
                          </w:rPr>
                          <w:t>Market Adjustment Factor</w:t>
                        </w:r>
                        <w:r w:rsidRPr="009F4E0B">
                          <w:rPr>
                            <w:iCs/>
                            <w:sz w:val="20"/>
                          </w:rPr>
                          <w:t>—</w:t>
                        </w:r>
                        <w:r w:rsidRPr="009F4E0B">
                          <w:rPr>
                            <w:sz w:val="20"/>
                          </w:rPr>
                          <w:t>Used to provide for the potential for overall price increases based on changes to ERCOT market rules or market conditions.  This factor shall not be set below 100%.  Revisions to this factor will be recommended by</w:t>
                        </w:r>
                        <w:r w:rsidR="00081A43">
                          <w:rPr>
                            <w:sz w:val="20"/>
                          </w:rPr>
                          <w:t xml:space="preserve"> the</w:t>
                        </w:r>
                        <w:r w:rsidR="00081A43" w:rsidRPr="009F4E0B">
                          <w:rPr>
                            <w:sz w:val="20"/>
                          </w:rPr>
                          <w:t xml:space="preserve"> </w:t>
                        </w:r>
                        <w:r w:rsidR="00081A43">
                          <w:rPr>
                            <w:sz w:val="20"/>
                          </w:rPr>
                          <w:t>Technical Advisory Committee (</w:t>
                        </w:r>
                        <w:r w:rsidR="00081A43" w:rsidRPr="009F4E0B">
                          <w:rPr>
                            <w:sz w:val="20"/>
                          </w:rPr>
                          <w:t>TAC</w:t>
                        </w:r>
                        <w:r w:rsidR="00081A43">
                          <w:rPr>
                            <w:sz w:val="20"/>
                          </w:rPr>
                          <w:t>)</w:t>
                        </w:r>
                        <w:r w:rsidR="00081A43" w:rsidRPr="009F4E0B">
                          <w:rPr>
                            <w:sz w:val="20"/>
                          </w:rPr>
                          <w:t xml:space="preserve"> </w:t>
                        </w:r>
                        <w:r w:rsidRPr="009F4E0B">
                          <w:rPr>
                            <w:sz w:val="20"/>
                          </w:rPr>
                          <w:t>and the ERCOT Finance and Audit (F&amp;A) Committee, and approved by the ERCOT Board.  Such revisions shall be implemented on the 45th calendar day following ERCOT Board approval unless otherwise directed by the ERCOT Board.</w:t>
                        </w:r>
                      </w:p>
                      <w:p w14:paraId="48002C52" w14:textId="6672C9B2" w:rsidR="004033D4" w:rsidRPr="009F4E0B" w:rsidRDefault="004033D4" w:rsidP="004033D4">
                        <w:pPr>
                          <w:tabs>
                            <w:tab w:val="right" w:pos="9360"/>
                          </w:tabs>
                          <w:spacing w:after="60"/>
                          <w:ind w:left="1733" w:hanging="1440"/>
                          <w:rPr>
                            <w:iCs/>
                            <w:sz w:val="20"/>
                          </w:rPr>
                        </w:pPr>
                        <w:r w:rsidRPr="009F4E0B">
                          <w:rPr>
                            <w:i/>
                            <w:iCs/>
                            <w:sz w:val="20"/>
                          </w:rPr>
                          <w:t>NUCADJ</w:t>
                        </w:r>
                        <w:r w:rsidRPr="009F4E0B">
                          <w:rPr>
                            <w:iCs/>
                            <w:sz w:val="20"/>
                            <w:vertAlign w:val="subscript"/>
                          </w:rPr>
                          <w:t xml:space="preserve"> </w:t>
                        </w:r>
                        <w:r w:rsidRPr="009F4E0B">
                          <w:rPr>
                            <w:iCs/>
                            <w:sz w:val="20"/>
                          </w:rPr>
                          <w:t xml:space="preserve">= </w:t>
                        </w:r>
                        <w:r w:rsidRPr="009F4E0B">
                          <w:rPr>
                            <w:iCs/>
                            <w:sz w:val="20"/>
                          </w:rPr>
                          <w:tab/>
                        </w:r>
                        <w:r w:rsidRPr="009F4E0B">
                          <w:rPr>
                            <w:i/>
                            <w:sz w:val="20"/>
                          </w:rPr>
                          <w:t>Net Unit Contingent Adjustment</w:t>
                        </w:r>
                        <w:r w:rsidRPr="009F4E0B">
                          <w:rPr>
                            <w:iCs/>
                            <w:sz w:val="20"/>
                          </w:rPr>
                          <w:t xml:space="preserve">—To </w:t>
                        </w:r>
                        <w:r w:rsidRPr="009F4E0B">
                          <w:rPr>
                            <w:sz w:val="20"/>
                          </w:rPr>
                          <w:t>allow</w:t>
                        </w:r>
                        <w:r w:rsidRPr="009F4E0B">
                          <w:rPr>
                            <w:iCs/>
                            <w:sz w:val="20"/>
                          </w:rPr>
                          <w:t xml:space="preserve"> for situations where a generator may unintentionally or intentionally meet its requirement from the Real-Time Market (RTM)</w:t>
                        </w:r>
                      </w:p>
                      <w:p w14:paraId="49B1253F" w14:textId="77777777" w:rsidR="004033D4" w:rsidRPr="009F4E0B" w:rsidRDefault="004033D4" w:rsidP="004033D4">
                        <w:pPr>
                          <w:tabs>
                            <w:tab w:val="right" w:pos="9360"/>
                          </w:tabs>
                          <w:spacing w:after="60"/>
                          <w:ind w:left="1733" w:hanging="1440"/>
                          <w:rPr>
                            <w:iCs/>
                            <w:sz w:val="20"/>
                          </w:rPr>
                        </w:pPr>
                        <w:r w:rsidRPr="009F4E0B">
                          <w:rPr>
                            <w:iCs/>
                            <w:sz w:val="20"/>
                          </w:rPr>
                          <w:t>RTQQNET</w:t>
                        </w:r>
                        <w:r w:rsidRPr="009F4E0B">
                          <w:rPr>
                            <w:i/>
                            <w:iCs/>
                            <w:sz w:val="20"/>
                            <w:vertAlign w:val="subscript"/>
                          </w:rPr>
                          <w:t xml:space="preserve"> i, od, p </w:t>
                        </w:r>
                        <w:r w:rsidRPr="009F4E0B">
                          <w:rPr>
                            <w:iCs/>
                            <w:sz w:val="20"/>
                          </w:rPr>
                          <w:t xml:space="preserve">= </w:t>
                        </w:r>
                        <w:r w:rsidRPr="009F4E0B">
                          <w:rPr>
                            <w:i/>
                            <w:iCs/>
                            <w:sz w:val="20"/>
                          </w:rPr>
                          <w:t>Net QSE-to-QSE Energy Trades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2BEECB76" w14:textId="77777777" w:rsidR="004033D4" w:rsidRPr="009F4E0B" w:rsidRDefault="004033D4" w:rsidP="004033D4">
                        <w:pPr>
                          <w:tabs>
                            <w:tab w:val="right" w:pos="9360"/>
                          </w:tabs>
                          <w:spacing w:after="60"/>
                          <w:ind w:left="1733" w:hanging="1440"/>
                          <w:rPr>
                            <w:iCs/>
                            <w:sz w:val="20"/>
                          </w:rPr>
                        </w:pPr>
                        <w:r w:rsidRPr="009F4E0B">
                          <w:rPr>
                            <w:iCs/>
                            <w:sz w:val="20"/>
                          </w:rPr>
                          <w:t>RTQQES</w:t>
                        </w:r>
                        <w:r w:rsidRPr="009F4E0B">
                          <w:rPr>
                            <w:i/>
                            <w:iCs/>
                            <w:sz w:val="20"/>
                            <w:vertAlign w:val="subscript"/>
                          </w:rPr>
                          <w:t xml:space="preserve"> i, od, p, c</w:t>
                        </w:r>
                        <w:r w:rsidRPr="009F4E0B">
                          <w:rPr>
                            <w:iCs/>
                            <w:sz w:val="20"/>
                          </w:rPr>
                          <w:t xml:space="preserve"> = </w:t>
                        </w:r>
                        <w:r w:rsidRPr="009F4E0B">
                          <w:rPr>
                            <w:i/>
                            <w:iCs/>
                            <w:sz w:val="20"/>
                          </w:rPr>
                          <w:t xml:space="preserve">QSE Energy Trades </w:t>
                        </w:r>
                        <w:r w:rsidRPr="009F4E0B">
                          <w:rPr>
                            <w:iCs/>
                            <w:sz w:val="20"/>
                          </w:rPr>
                          <w:t xml:space="preserve">for which the Counter-Party is the seller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03004516" w14:textId="51C6B9E6" w:rsidR="004033D4" w:rsidRDefault="004033D4" w:rsidP="004033D4">
                        <w:pPr>
                          <w:tabs>
                            <w:tab w:val="right" w:pos="9360"/>
                          </w:tabs>
                          <w:spacing w:after="60"/>
                          <w:ind w:left="1733" w:hanging="1440"/>
                          <w:rPr>
                            <w:i/>
                            <w:iCs/>
                            <w:sz w:val="20"/>
                          </w:rPr>
                        </w:pPr>
                        <w:r w:rsidRPr="009F4E0B">
                          <w:rPr>
                            <w:iCs/>
                            <w:sz w:val="20"/>
                          </w:rPr>
                          <w:t>RTQQEP</w:t>
                        </w:r>
                        <w:r w:rsidRPr="009F4E0B">
                          <w:rPr>
                            <w:i/>
                            <w:iCs/>
                            <w:sz w:val="20"/>
                            <w:vertAlign w:val="subscript"/>
                          </w:rPr>
                          <w:t xml:space="preserve"> i, od, p, c</w:t>
                        </w:r>
                        <w:r w:rsidRPr="009F4E0B">
                          <w:rPr>
                            <w:iCs/>
                            <w:sz w:val="20"/>
                          </w:rPr>
                          <w:t xml:space="preserve"> = </w:t>
                        </w:r>
                        <w:r w:rsidRPr="009F4E0B">
                          <w:rPr>
                            <w:i/>
                            <w:iCs/>
                            <w:sz w:val="20"/>
                          </w:rPr>
                          <w:t xml:space="preserve">QSE Energy Trades </w:t>
                        </w:r>
                        <w:r w:rsidRPr="009F4E0B">
                          <w:rPr>
                            <w:iCs/>
                            <w:sz w:val="20"/>
                          </w:rPr>
                          <w:t xml:space="preserve">for which the Counter-Party is the buyer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3C6720F4" w14:textId="26CE7C0B" w:rsidR="004033D4" w:rsidRPr="009F4E0B" w:rsidRDefault="004033D4" w:rsidP="004033D4">
                        <w:pPr>
                          <w:tabs>
                            <w:tab w:val="right" w:pos="9360"/>
                          </w:tabs>
                          <w:spacing w:after="60"/>
                          <w:ind w:left="1733" w:hanging="1440"/>
                          <w:rPr>
                            <w:i/>
                            <w:iCs/>
                            <w:sz w:val="20"/>
                          </w:rPr>
                        </w:pPr>
                        <w:r>
                          <w:rPr>
                            <w:iCs/>
                            <w:color w:val="000000"/>
                            <w:sz w:val="20"/>
                          </w:rPr>
                          <w:t>DARTASONET</w:t>
                        </w:r>
                        <w:r w:rsidRPr="009F4E0B">
                          <w:rPr>
                            <w:i/>
                            <w:iCs/>
                            <w:sz w:val="20"/>
                            <w:vertAlign w:val="subscript"/>
                          </w:rPr>
                          <w:t xml:space="preserve"> </w:t>
                        </w:r>
                        <w:r>
                          <w:rPr>
                            <w:i/>
                            <w:iCs/>
                            <w:sz w:val="20"/>
                            <w:vertAlign w:val="subscript"/>
                          </w:rPr>
                          <w:t>i, od</w:t>
                        </w:r>
                        <w:r>
                          <w:rPr>
                            <w:iCs/>
                            <w:color w:val="000000"/>
                            <w:sz w:val="20"/>
                          </w:rPr>
                          <w:t xml:space="preserve"> = </w:t>
                        </w:r>
                        <w:r w:rsidRPr="009F4E0B">
                          <w:rPr>
                            <w:i/>
                            <w:iCs/>
                            <w:sz w:val="20"/>
                          </w:rPr>
                          <w:t xml:space="preserve">Net DAM </w:t>
                        </w:r>
                        <w:r>
                          <w:rPr>
                            <w:i/>
                            <w:iCs/>
                            <w:sz w:val="20"/>
                          </w:rPr>
                          <w:t xml:space="preserve">Ancillary Service Only </w:t>
                        </w:r>
                        <w:r w:rsidRPr="009F4E0B">
                          <w:rPr>
                            <w:i/>
                            <w:iCs/>
                            <w:sz w:val="20"/>
                          </w:rPr>
                          <w:t>activities</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w:t>
                        </w:r>
                      </w:p>
                      <w:p w14:paraId="5B6800D1" w14:textId="092F69D5" w:rsidR="004033D4" w:rsidRDefault="004033D4" w:rsidP="004033D4">
                        <w:pPr>
                          <w:tabs>
                            <w:tab w:val="right" w:pos="9360"/>
                          </w:tabs>
                          <w:spacing w:after="60"/>
                          <w:ind w:left="1733" w:hanging="1440"/>
                          <w:rPr>
                            <w:iCs/>
                            <w:color w:val="000000"/>
                            <w:sz w:val="20"/>
                          </w:rPr>
                        </w:pPr>
                        <w:r>
                          <w:rPr>
                            <w:iCs/>
                            <w:color w:val="000000"/>
                            <w:sz w:val="20"/>
                          </w:rPr>
                          <w:t xml:space="preserve">DAM ASOO Cleared </w:t>
                        </w:r>
                        <w:r>
                          <w:rPr>
                            <w:i/>
                            <w:iCs/>
                            <w:sz w:val="20"/>
                            <w:vertAlign w:val="subscript"/>
                          </w:rPr>
                          <w:t>i, od</w:t>
                        </w:r>
                        <w:r>
                          <w:rPr>
                            <w:iCs/>
                            <w:color w:val="000000"/>
                            <w:sz w:val="20"/>
                          </w:rPr>
                          <w:t xml:space="preserve"> = DAM Ancillary Service Only Offers Cleared in DAM</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p>
                      <w:p w14:paraId="3FF42A0B" w14:textId="5BC4C227" w:rsidR="004033D4" w:rsidRPr="009F4E0B" w:rsidRDefault="004033D4" w:rsidP="004033D4">
                        <w:pPr>
                          <w:tabs>
                            <w:tab w:val="right" w:pos="9360"/>
                          </w:tabs>
                          <w:spacing w:after="60"/>
                          <w:ind w:left="1733" w:hanging="1440"/>
                          <w:rPr>
                            <w:iCs/>
                            <w:sz w:val="20"/>
                          </w:rPr>
                        </w:pPr>
                        <w:r>
                          <w:rPr>
                            <w:iCs/>
                            <w:color w:val="000000"/>
                            <w:sz w:val="20"/>
                          </w:rPr>
                          <w:t>DARTMCPC</w:t>
                        </w:r>
                        <w:r>
                          <w:rPr>
                            <w:i/>
                            <w:iCs/>
                            <w:sz w:val="20"/>
                            <w:vertAlign w:val="subscript"/>
                          </w:rPr>
                          <w:t xml:space="preserve"> i, od</w:t>
                        </w:r>
                        <w:r>
                          <w:rPr>
                            <w:iCs/>
                            <w:color w:val="000000"/>
                            <w:sz w:val="20"/>
                          </w:rPr>
                          <w:t xml:space="preserve"> = Day-Ahead – Real-Time MCPC Spread for interval </w:t>
                        </w:r>
                        <w:r w:rsidRPr="007119F8">
                          <w:rPr>
                            <w:i/>
                            <w:iCs/>
                            <w:color w:val="000000"/>
                            <w:sz w:val="20"/>
                          </w:rPr>
                          <w:t>i</w:t>
                        </w:r>
                        <w:r>
                          <w:rPr>
                            <w:iCs/>
                            <w:color w:val="000000"/>
                            <w:sz w:val="20"/>
                          </w:rPr>
                          <w:t xml:space="preserve"> for Operating Day </w:t>
                        </w:r>
                        <w:r w:rsidRPr="007119F8">
                          <w:rPr>
                            <w:i/>
                            <w:iCs/>
                            <w:color w:val="000000"/>
                            <w:sz w:val="20"/>
                          </w:rPr>
                          <w:t>od</w:t>
                        </w:r>
                      </w:p>
                      <w:p w14:paraId="14FDB2DA" w14:textId="77777777" w:rsidR="004033D4" w:rsidRPr="009F4E0B" w:rsidRDefault="004033D4" w:rsidP="004033D4">
                        <w:pPr>
                          <w:tabs>
                            <w:tab w:val="right" w:pos="9360"/>
                          </w:tabs>
                          <w:spacing w:after="60"/>
                          <w:ind w:left="1733" w:hanging="1440"/>
                          <w:rPr>
                            <w:i/>
                            <w:iCs/>
                            <w:sz w:val="20"/>
                          </w:rPr>
                        </w:pPr>
                        <w:r w:rsidRPr="009F4E0B">
                          <w:rPr>
                            <w:i/>
                            <w:iCs/>
                            <w:sz w:val="20"/>
                          </w:rPr>
                          <w:t>BTCF</w:t>
                        </w:r>
                        <w:r w:rsidRPr="009F4E0B">
                          <w:rPr>
                            <w:iCs/>
                            <w:sz w:val="20"/>
                          </w:rPr>
                          <w:t xml:space="preserve"> =                </w:t>
                        </w:r>
                        <w:r w:rsidRPr="009F4E0B">
                          <w:rPr>
                            <w:i/>
                            <w:iCs/>
                            <w:sz w:val="20"/>
                          </w:rPr>
                          <w:t>Bilateral Trades Credit Factor</w:t>
                        </w:r>
                      </w:p>
                      <w:p w14:paraId="63C31A47" w14:textId="77777777" w:rsidR="004033D4" w:rsidRDefault="004033D4" w:rsidP="004033D4">
                        <w:pPr>
                          <w:tabs>
                            <w:tab w:val="right" w:pos="9360"/>
                          </w:tabs>
                          <w:spacing w:after="60"/>
                          <w:ind w:left="1733" w:hanging="1440"/>
                          <w:rPr>
                            <w:i/>
                            <w:iCs/>
                            <w:sz w:val="20"/>
                          </w:rPr>
                        </w:pPr>
                        <w:r w:rsidRPr="009F4E0B">
                          <w:rPr>
                            <w:iCs/>
                            <w:sz w:val="20"/>
                          </w:rPr>
                          <w:t>RTSPP</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Real-Time Settlement Point Price</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36548C3A" w14:textId="77777777" w:rsidR="004033D4" w:rsidRPr="009F4E0B" w:rsidRDefault="004033D4" w:rsidP="004033D4">
                        <w:pPr>
                          <w:tabs>
                            <w:tab w:val="right" w:pos="9360"/>
                          </w:tabs>
                          <w:spacing w:after="60"/>
                          <w:ind w:left="1733" w:hanging="1440"/>
                          <w:rPr>
                            <w:i/>
                            <w:iCs/>
                            <w:sz w:val="20"/>
                          </w:rPr>
                        </w:pPr>
                        <w:r w:rsidRPr="009F4E0B">
                          <w:rPr>
                            <w:iCs/>
                            <w:sz w:val="20"/>
                          </w:rPr>
                          <w:t>DARTNET</w:t>
                        </w:r>
                        <w:r w:rsidRPr="009F4E0B">
                          <w:rPr>
                            <w:i/>
                            <w:iCs/>
                            <w:sz w:val="20"/>
                            <w:vertAlign w:val="subscript"/>
                          </w:rPr>
                          <w:t xml:space="preserve"> i, od, p</w:t>
                        </w:r>
                        <w:r w:rsidRPr="009F4E0B">
                          <w:rPr>
                            <w:iCs/>
                            <w:sz w:val="20"/>
                          </w:rPr>
                          <w:t xml:space="preserve"> = </w:t>
                        </w:r>
                        <w:r w:rsidRPr="009F4E0B">
                          <w:rPr>
                            <w:i/>
                            <w:iCs/>
                            <w:sz w:val="20"/>
                          </w:rPr>
                          <w:t>Net DAM activities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6494669C" w14:textId="08C5789F" w:rsidR="004033D4" w:rsidRPr="009F4E0B" w:rsidRDefault="004033D4" w:rsidP="004033D4">
                        <w:pPr>
                          <w:tabs>
                            <w:tab w:val="right" w:pos="9360"/>
                          </w:tabs>
                          <w:spacing w:after="60"/>
                          <w:ind w:left="1733" w:hanging="1440"/>
                          <w:rPr>
                            <w:iCs/>
                            <w:sz w:val="20"/>
                          </w:rPr>
                        </w:pPr>
                        <w:r w:rsidRPr="009F4E0B">
                          <w:rPr>
                            <w:iCs/>
                            <w:sz w:val="20"/>
                          </w:rPr>
                          <w:t>DART</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 xml:space="preserve">Day-Ahead - Real-Time Spread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2C314AD6" w14:textId="77777777" w:rsidR="004033D4" w:rsidRPr="009F4E0B" w:rsidRDefault="004033D4" w:rsidP="004033D4">
                        <w:pPr>
                          <w:tabs>
                            <w:tab w:val="right" w:pos="9360"/>
                          </w:tabs>
                          <w:spacing w:after="60"/>
                          <w:ind w:left="1733" w:hanging="1440"/>
                          <w:rPr>
                            <w:iCs/>
                            <w:sz w:val="20"/>
                          </w:rPr>
                        </w:pPr>
                        <w:r w:rsidRPr="009F4E0B">
                          <w:rPr>
                            <w:iCs/>
                            <w:sz w:val="20"/>
                          </w:rPr>
                          <w:lastRenderedPageBreak/>
                          <w:t>DAM EOB Cleared</w:t>
                        </w:r>
                        <w:r w:rsidRPr="009F4E0B">
                          <w:rPr>
                            <w:iCs/>
                            <w:color w:val="000000"/>
                            <w:sz w:val="20"/>
                            <w:vertAlign w:val="subscript"/>
                          </w:rPr>
                          <w:t xml:space="preserve"> </w:t>
                        </w:r>
                        <w:r w:rsidRPr="009F4E0B">
                          <w:rPr>
                            <w:i/>
                            <w:iCs/>
                            <w:sz w:val="20"/>
                            <w:vertAlign w:val="subscript"/>
                          </w:rPr>
                          <w:t>i, od, p</w:t>
                        </w:r>
                        <w:r w:rsidRPr="009F4E0B">
                          <w:rPr>
                            <w:iCs/>
                            <w:sz w:val="20"/>
                          </w:rPr>
                          <w:t xml:space="preserve"> = </w:t>
                        </w:r>
                        <w:r w:rsidRPr="009F4E0B">
                          <w:rPr>
                            <w:i/>
                            <w:iCs/>
                            <w:sz w:val="20"/>
                          </w:rPr>
                          <w:t>DAM Energy Only Bids Cleared</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7A10B740" w14:textId="77777777" w:rsidR="004033D4" w:rsidRPr="009F4E0B" w:rsidRDefault="004033D4" w:rsidP="004033D4">
                        <w:pPr>
                          <w:tabs>
                            <w:tab w:val="right" w:pos="9360"/>
                          </w:tabs>
                          <w:spacing w:after="60"/>
                          <w:ind w:left="1728" w:hanging="1440"/>
                          <w:rPr>
                            <w:i/>
                            <w:iCs/>
                            <w:sz w:val="20"/>
                          </w:rPr>
                        </w:pPr>
                        <w:r w:rsidRPr="009F4E0B">
                          <w:rPr>
                            <w:iCs/>
                            <w:sz w:val="20"/>
                          </w:rPr>
                          <w:t>DAM EOO Cleared</w:t>
                        </w:r>
                        <w:r w:rsidRPr="009F4E0B">
                          <w:rPr>
                            <w:i/>
                            <w:iCs/>
                            <w:sz w:val="20"/>
                            <w:vertAlign w:val="subscript"/>
                          </w:rPr>
                          <w:t xml:space="preserve"> i, od, p</w:t>
                        </w:r>
                        <w:r w:rsidRPr="009F4E0B">
                          <w:rPr>
                            <w:iCs/>
                            <w:sz w:val="20"/>
                          </w:rPr>
                          <w:t xml:space="preserve"> = </w:t>
                        </w:r>
                        <w:r w:rsidRPr="009F4E0B">
                          <w:rPr>
                            <w:i/>
                            <w:iCs/>
                            <w:sz w:val="20"/>
                          </w:rPr>
                          <w:t xml:space="preserve">DAM Energy Only Offers Cleared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6E530556" w14:textId="77777777" w:rsidR="004033D4" w:rsidRPr="009F4E0B" w:rsidRDefault="004033D4" w:rsidP="004033D4">
                        <w:pPr>
                          <w:spacing w:after="60"/>
                          <w:ind w:left="1733" w:hanging="1440"/>
                          <w:rPr>
                            <w:iCs/>
                            <w:sz w:val="20"/>
                          </w:rPr>
                        </w:pPr>
                        <w:r w:rsidRPr="009F4E0B">
                          <w:rPr>
                            <w:iCs/>
                            <w:sz w:val="20"/>
                          </w:rPr>
                          <w:t>DAM TPO Cleared</w:t>
                        </w:r>
                        <w:r w:rsidRPr="009F4E0B">
                          <w:rPr>
                            <w:i/>
                            <w:iCs/>
                            <w:sz w:val="20"/>
                            <w:vertAlign w:val="subscript"/>
                          </w:rPr>
                          <w:t xml:space="preserve"> i, od, p</w:t>
                        </w:r>
                        <w:r w:rsidRPr="009F4E0B">
                          <w:rPr>
                            <w:iCs/>
                            <w:sz w:val="20"/>
                          </w:rPr>
                          <w:t xml:space="preserve"> = </w:t>
                        </w:r>
                        <w:r w:rsidRPr="009F4E0B">
                          <w:rPr>
                            <w:i/>
                            <w:iCs/>
                            <w:sz w:val="20"/>
                          </w:rPr>
                          <w:t>DAM Three-Part Offers Cleared</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0200B473" w14:textId="77777777" w:rsidR="004033D4" w:rsidRPr="009F4E0B" w:rsidRDefault="004033D4" w:rsidP="004033D4">
                        <w:pPr>
                          <w:spacing w:after="60"/>
                          <w:ind w:left="1733" w:hanging="1440"/>
                          <w:rPr>
                            <w:iCs/>
                            <w:sz w:val="20"/>
                          </w:rPr>
                        </w:pPr>
                        <w:r w:rsidRPr="009F4E0B">
                          <w:rPr>
                            <w:iCs/>
                            <w:sz w:val="20"/>
                          </w:rPr>
                          <w:t xml:space="preserve">DAM PTP Cleared </w:t>
                        </w:r>
                        <w:r w:rsidRPr="009F4E0B">
                          <w:rPr>
                            <w:i/>
                            <w:iCs/>
                            <w:sz w:val="20"/>
                            <w:vertAlign w:val="subscript"/>
                          </w:rPr>
                          <w:t>i, od, p</w:t>
                        </w:r>
                        <w:r w:rsidRPr="009F4E0B">
                          <w:rPr>
                            <w:iCs/>
                            <w:sz w:val="20"/>
                          </w:rPr>
                          <w:t xml:space="preserve"> = </w:t>
                        </w:r>
                        <w:r w:rsidRPr="009F4E0B">
                          <w:rPr>
                            <w:i/>
                            <w:iCs/>
                            <w:sz w:val="20"/>
                          </w:rPr>
                          <w:t xml:space="preserve">DAM Point-to-Point (PTP) Obligations Cleared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70174B29" w14:textId="4DD0887E" w:rsidR="004033D4" w:rsidRPr="009F4E0B" w:rsidRDefault="004033D4" w:rsidP="004033D4">
                        <w:pPr>
                          <w:spacing w:after="60"/>
                          <w:ind w:left="1733" w:hanging="1440"/>
                          <w:rPr>
                            <w:iCs/>
                            <w:sz w:val="20"/>
                          </w:rPr>
                        </w:pPr>
                        <w:r w:rsidRPr="009F4E0B">
                          <w:rPr>
                            <w:iCs/>
                            <w:sz w:val="20"/>
                          </w:rPr>
                          <w:t xml:space="preserve">DARTPTP </w:t>
                        </w:r>
                        <w:r w:rsidRPr="009F4E0B">
                          <w:rPr>
                            <w:i/>
                            <w:iCs/>
                            <w:sz w:val="20"/>
                            <w:vertAlign w:val="subscript"/>
                          </w:rPr>
                          <w:t>i, od, p</w:t>
                        </w:r>
                        <w:r w:rsidRPr="009F4E0B">
                          <w:rPr>
                            <w:iCs/>
                            <w:sz w:val="20"/>
                          </w:rPr>
                          <w:t xml:space="preserve"> =  </w:t>
                        </w:r>
                        <w:r w:rsidRPr="009F4E0B">
                          <w:rPr>
                            <w:i/>
                            <w:iCs/>
                            <w:sz w:val="20"/>
                          </w:rPr>
                          <w:t xml:space="preserve">Day-Ahead - Real-Time Spread </w:t>
                        </w:r>
                        <w:r w:rsidRPr="009F4E0B">
                          <w:rPr>
                            <w:iCs/>
                            <w:sz w:val="20"/>
                          </w:rPr>
                          <w:t xml:space="preserve">for value of PTP Obligation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48AB4441" w14:textId="77777777" w:rsidR="004033D4" w:rsidRPr="009F4E0B" w:rsidRDefault="004033D4" w:rsidP="004033D4">
                        <w:pPr>
                          <w:spacing w:after="60"/>
                          <w:ind w:left="1733" w:hanging="1440"/>
                          <w:rPr>
                            <w:iCs/>
                            <w:sz w:val="20"/>
                          </w:rPr>
                        </w:pPr>
                        <w:r w:rsidRPr="009F4E0B">
                          <w:rPr>
                            <w:i/>
                            <w:iCs/>
                            <w:sz w:val="20"/>
                          </w:rPr>
                          <w:t>c</w:t>
                        </w:r>
                        <w:r w:rsidRPr="009F4E0B">
                          <w:rPr>
                            <w:iCs/>
                            <w:sz w:val="20"/>
                          </w:rPr>
                          <w:t xml:space="preserve"> = </w:t>
                        </w:r>
                        <w:r w:rsidRPr="009F4E0B">
                          <w:rPr>
                            <w:iCs/>
                            <w:sz w:val="20"/>
                          </w:rPr>
                          <w:tab/>
                          <w:t xml:space="preserve">Bilateral Counter-Party </w:t>
                        </w:r>
                      </w:p>
                      <w:p w14:paraId="6D6652CB" w14:textId="77777777" w:rsidR="004033D4" w:rsidRPr="009F4E0B" w:rsidRDefault="004033D4" w:rsidP="004033D4">
                        <w:pPr>
                          <w:spacing w:after="60"/>
                          <w:ind w:left="1733" w:hanging="1440"/>
                          <w:rPr>
                            <w:i/>
                            <w:iCs/>
                            <w:sz w:val="20"/>
                          </w:rPr>
                        </w:pPr>
                        <w:r w:rsidRPr="009F4E0B">
                          <w:rPr>
                            <w:i/>
                            <w:iCs/>
                            <w:sz w:val="20"/>
                          </w:rPr>
                          <w:t>cif =</w:t>
                        </w:r>
                        <w:r w:rsidRPr="009F4E0B">
                          <w:rPr>
                            <w:i/>
                            <w:iCs/>
                            <w:sz w:val="20"/>
                          </w:rPr>
                          <w:tab/>
                          <w:t>Cap Interval Factor</w:t>
                        </w:r>
                        <w:r w:rsidRPr="009F4E0B">
                          <w:rPr>
                            <w:iCs/>
                            <w:sz w:val="20"/>
                          </w:rPr>
                          <w:t xml:space="preserve"> - Represents the historic largest percentage of System-Wide Offer Cap (SWCAP) intervals during a calendar day</w:t>
                        </w:r>
                      </w:p>
                      <w:p w14:paraId="09832624" w14:textId="77777777" w:rsidR="004033D4" w:rsidRPr="009F4E0B" w:rsidRDefault="004033D4" w:rsidP="004033D4">
                        <w:pPr>
                          <w:spacing w:after="60"/>
                          <w:ind w:left="1733" w:hanging="1440"/>
                          <w:rPr>
                            <w:iCs/>
                            <w:sz w:val="20"/>
                          </w:rPr>
                        </w:pPr>
                        <w:r w:rsidRPr="009F4E0B">
                          <w:rPr>
                            <w:i/>
                            <w:iCs/>
                            <w:sz w:val="20"/>
                          </w:rPr>
                          <w:t>e</w:t>
                        </w:r>
                        <w:r w:rsidRPr="009F4E0B">
                          <w:rPr>
                            <w:iCs/>
                            <w:sz w:val="20"/>
                          </w:rPr>
                          <w:t xml:space="preserve"> = </w:t>
                        </w:r>
                        <w:r w:rsidRPr="009F4E0B">
                          <w:rPr>
                            <w:iCs/>
                            <w:sz w:val="20"/>
                          </w:rPr>
                          <w:tab/>
                          <w:t xml:space="preserve">Most recent </w:t>
                        </w:r>
                        <w:r w:rsidRPr="009F4E0B">
                          <w:rPr>
                            <w:i/>
                            <w:iCs/>
                            <w:sz w:val="20"/>
                          </w:rPr>
                          <w:t>n</w:t>
                        </w:r>
                        <w:r w:rsidRPr="009F4E0B">
                          <w:rPr>
                            <w:iCs/>
                            <w:sz w:val="20"/>
                          </w:rPr>
                          <w:t xml:space="preserve"> Operating Days for which RTM Initial Settlement Statements are available</w:t>
                        </w:r>
                      </w:p>
                      <w:p w14:paraId="075AF83E" w14:textId="77777777" w:rsidR="004033D4" w:rsidRPr="009F4E0B" w:rsidRDefault="004033D4" w:rsidP="004033D4">
                        <w:pPr>
                          <w:spacing w:after="60"/>
                          <w:ind w:left="1733" w:hanging="1440"/>
                          <w:rPr>
                            <w:iCs/>
                            <w:sz w:val="20"/>
                          </w:rPr>
                        </w:pPr>
                        <w:r w:rsidRPr="009F4E0B">
                          <w:rPr>
                            <w:i/>
                            <w:iCs/>
                            <w:sz w:val="20"/>
                          </w:rPr>
                          <w:t>i</w:t>
                        </w:r>
                        <w:r w:rsidRPr="009F4E0B">
                          <w:rPr>
                            <w:iCs/>
                            <w:sz w:val="20"/>
                          </w:rPr>
                          <w:t xml:space="preserve"> = </w:t>
                        </w:r>
                        <w:r w:rsidRPr="009F4E0B">
                          <w:rPr>
                            <w:iCs/>
                            <w:sz w:val="20"/>
                          </w:rPr>
                          <w:tab/>
                          <w:t>Settlement Interval</w:t>
                        </w:r>
                      </w:p>
                      <w:p w14:paraId="47F208BD" w14:textId="77777777" w:rsidR="004033D4" w:rsidRPr="009F4E0B" w:rsidRDefault="004033D4" w:rsidP="004033D4">
                        <w:pPr>
                          <w:spacing w:after="60"/>
                          <w:ind w:left="1733" w:hanging="1440"/>
                          <w:rPr>
                            <w:iCs/>
                            <w:sz w:val="20"/>
                          </w:rPr>
                        </w:pPr>
                        <w:r w:rsidRPr="009F4E0B">
                          <w:rPr>
                            <w:i/>
                            <w:iCs/>
                            <w:sz w:val="20"/>
                          </w:rPr>
                          <w:t>n</w:t>
                        </w:r>
                        <w:r w:rsidRPr="009F4E0B">
                          <w:rPr>
                            <w:iCs/>
                            <w:sz w:val="20"/>
                          </w:rPr>
                          <w:t xml:space="preserve"> = </w:t>
                        </w:r>
                        <w:r w:rsidRPr="009F4E0B">
                          <w:rPr>
                            <w:iCs/>
                            <w:sz w:val="20"/>
                          </w:rPr>
                          <w:tab/>
                          <w:t>Days used for averaging</w:t>
                        </w:r>
                      </w:p>
                      <w:p w14:paraId="2B460690" w14:textId="77777777" w:rsidR="004033D4" w:rsidRPr="009F4E0B" w:rsidRDefault="004033D4" w:rsidP="004033D4">
                        <w:pPr>
                          <w:spacing w:after="60"/>
                          <w:ind w:left="1733" w:hanging="1440"/>
                          <w:rPr>
                            <w:i/>
                            <w:iCs/>
                            <w:sz w:val="20"/>
                          </w:rPr>
                        </w:pPr>
                        <w:r w:rsidRPr="009F4E0B">
                          <w:rPr>
                            <w:i/>
                            <w:iCs/>
                            <w:sz w:val="20"/>
                          </w:rPr>
                          <w:t>nm =</w:t>
                        </w:r>
                        <w:r w:rsidRPr="009F4E0B">
                          <w:rPr>
                            <w:i/>
                            <w:iCs/>
                            <w:sz w:val="20"/>
                          </w:rPr>
                          <w:tab/>
                        </w:r>
                        <w:r w:rsidRPr="009F4E0B">
                          <w:rPr>
                            <w:iCs/>
                            <w:sz w:val="20"/>
                          </w:rPr>
                          <w:t>Notional Multiplier</w:t>
                        </w:r>
                      </w:p>
                      <w:p w14:paraId="38769C3A" w14:textId="77777777" w:rsidR="004033D4" w:rsidRPr="009F4E0B" w:rsidRDefault="004033D4" w:rsidP="004033D4">
                        <w:pPr>
                          <w:spacing w:after="60"/>
                          <w:ind w:left="1733" w:hanging="1440"/>
                          <w:rPr>
                            <w:iCs/>
                            <w:sz w:val="20"/>
                          </w:rPr>
                        </w:pPr>
                        <w:r w:rsidRPr="009F4E0B">
                          <w:rPr>
                            <w:i/>
                            <w:iCs/>
                            <w:sz w:val="20"/>
                          </w:rPr>
                          <w:t>od</w:t>
                        </w:r>
                        <w:r w:rsidRPr="009F4E0B">
                          <w:rPr>
                            <w:iCs/>
                            <w:sz w:val="20"/>
                          </w:rPr>
                          <w:t xml:space="preserve"> = </w:t>
                        </w:r>
                        <w:r w:rsidRPr="009F4E0B">
                          <w:rPr>
                            <w:iCs/>
                            <w:sz w:val="20"/>
                          </w:rPr>
                          <w:tab/>
                          <w:t>Operating Day</w:t>
                        </w:r>
                      </w:p>
                      <w:p w14:paraId="7A9873BB" w14:textId="395435B6" w:rsidR="004033D4" w:rsidRPr="00367720" w:rsidRDefault="004033D4" w:rsidP="004033D4">
                        <w:pPr>
                          <w:pStyle w:val="TableBody"/>
                          <w:ind w:left="1762" w:hanging="1440"/>
                          <w:rPr>
                            <w:i/>
                          </w:rPr>
                        </w:pPr>
                        <w:r w:rsidRPr="009F4E0B">
                          <w:rPr>
                            <w:i/>
                          </w:rPr>
                          <w:t>p</w:t>
                        </w:r>
                        <w:r w:rsidRPr="009F4E0B">
                          <w:t xml:space="preserve"> = </w:t>
                        </w:r>
                        <w:r w:rsidRPr="009F4E0B">
                          <w:tab/>
                          <w:t>A Settlement Point</w:t>
                        </w:r>
                      </w:p>
                    </w:tc>
                  </w:tr>
                </w:tbl>
                <w:p w14:paraId="2990BF65" w14:textId="77777777" w:rsidR="004033D4" w:rsidRPr="00B35DA1" w:rsidRDefault="004033D4" w:rsidP="004033D4">
                  <w:pPr>
                    <w:pStyle w:val="TableBody"/>
                    <w:ind w:left="1710"/>
                  </w:pPr>
                </w:p>
              </w:tc>
            </w:tr>
          </w:tbl>
          <w:p w14:paraId="1960276B" w14:textId="77777777" w:rsidR="004033D4" w:rsidRPr="004F59D3" w:rsidRDefault="004033D4" w:rsidP="0031595F">
            <w:pPr>
              <w:pStyle w:val="TableBody"/>
              <w:rPr>
                <w:i/>
              </w:rPr>
            </w:pPr>
          </w:p>
        </w:tc>
      </w:tr>
      <w:tr w:rsidR="002D0D49" w14:paraId="7494BB88" w14:textId="77777777" w:rsidTr="009F2C2F">
        <w:trPr>
          <w:trHeight w:val="91"/>
        </w:trPr>
        <w:tc>
          <w:tcPr>
            <w:tcW w:w="1652" w:type="dxa"/>
          </w:tcPr>
          <w:p w14:paraId="74614C8B" w14:textId="77777777" w:rsidR="002D0D49" w:rsidRPr="00906156" w:rsidRDefault="002D0D49" w:rsidP="0031595F">
            <w:pPr>
              <w:pStyle w:val="TableBody"/>
            </w:pPr>
            <w:r w:rsidRPr="00906156">
              <w:lastRenderedPageBreak/>
              <w:t>IMCE</w:t>
            </w:r>
          </w:p>
        </w:tc>
        <w:tc>
          <w:tcPr>
            <w:tcW w:w="986" w:type="dxa"/>
          </w:tcPr>
          <w:p w14:paraId="53C26958" w14:textId="77777777" w:rsidR="002D0D49" w:rsidRPr="004F59D3" w:rsidRDefault="002D0D49" w:rsidP="0031595F">
            <w:pPr>
              <w:pStyle w:val="TableBody"/>
            </w:pPr>
            <w:r w:rsidRPr="004F59D3">
              <w:t>$</w:t>
            </w:r>
          </w:p>
        </w:tc>
        <w:tc>
          <w:tcPr>
            <w:tcW w:w="6694" w:type="dxa"/>
          </w:tcPr>
          <w:p w14:paraId="6450456F" w14:textId="77777777" w:rsidR="002D0D49" w:rsidRPr="004F59D3" w:rsidRDefault="002D0D49" w:rsidP="0031595F">
            <w:pPr>
              <w:pStyle w:val="TableBody"/>
            </w:pPr>
            <w:r w:rsidRPr="004F59D3">
              <w:rPr>
                <w:i/>
              </w:rPr>
              <w:t xml:space="preserve">Initial Minimum Current Exposure </w:t>
            </w:r>
          </w:p>
          <w:p w14:paraId="7684A5D0" w14:textId="77777777" w:rsidR="002D0D49" w:rsidRPr="00484E48" w:rsidRDefault="002D0D49" w:rsidP="0031595F">
            <w:pPr>
              <w:pStyle w:val="TableBody"/>
            </w:pPr>
          </w:p>
          <w:p w14:paraId="59DA0B61" w14:textId="734586B2" w:rsidR="002D0D49" w:rsidRPr="00367720" w:rsidRDefault="002D0D49" w:rsidP="0031595F">
            <w:pPr>
              <w:pStyle w:val="TableBody"/>
              <w:ind w:left="1757" w:hanging="1440"/>
            </w:pPr>
            <w:r w:rsidRPr="00484E48">
              <w:t xml:space="preserve">IMCE =   </w:t>
            </w:r>
            <w:r w:rsidRPr="00484E48">
              <w:tab/>
              <w:t>TOA * (</w:t>
            </w:r>
            <w:r w:rsidR="00E67BE0">
              <w:t>SW</w:t>
            </w:r>
            <w:r w:rsidRPr="00484E48">
              <w:t xml:space="preserve">CAP * </w:t>
            </w:r>
            <w:r w:rsidRPr="00367720">
              <w:rPr>
                <w:i/>
              </w:rPr>
              <w:t>nm</w:t>
            </w:r>
            <w:r w:rsidRPr="00367720">
              <w:t xml:space="preserve"> * </w:t>
            </w:r>
            <w:r w:rsidRPr="00367720">
              <w:rPr>
                <w:i/>
              </w:rPr>
              <w:t>cif%</w:t>
            </w:r>
            <w:r w:rsidRPr="00367720">
              <w:t>)</w:t>
            </w:r>
          </w:p>
          <w:p w14:paraId="1901C950" w14:textId="1429B239" w:rsidR="002D0D49" w:rsidRPr="00367720" w:rsidRDefault="002D0D49" w:rsidP="009F2C2F">
            <w:pPr>
              <w:pStyle w:val="TableBody"/>
              <w:rPr>
                <w:i/>
              </w:rPr>
            </w:pPr>
            <w:r w:rsidRPr="00367720">
              <w:t xml:space="preserve"> </w:t>
            </w:r>
          </w:p>
        </w:tc>
      </w:tr>
      <w:tr w:rsidR="002D0D49" w14:paraId="77D72BA9" w14:textId="77777777" w:rsidTr="009F2C2F">
        <w:trPr>
          <w:trHeight w:val="91"/>
        </w:trPr>
        <w:tc>
          <w:tcPr>
            <w:tcW w:w="1652" w:type="dxa"/>
          </w:tcPr>
          <w:p w14:paraId="08EB3676" w14:textId="77777777" w:rsidR="002D0D49" w:rsidRPr="00906156" w:rsidRDefault="002D0D49" w:rsidP="0031595F">
            <w:pPr>
              <w:pStyle w:val="TableBody"/>
            </w:pPr>
            <w:r w:rsidRPr="00906156">
              <w:t>TOA</w:t>
            </w:r>
          </w:p>
        </w:tc>
        <w:tc>
          <w:tcPr>
            <w:tcW w:w="986" w:type="dxa"/>
          </w:tcPr>
          <w:p w14:paraId="42950FA1" w14:textId="77777777" w:rsidR="002D0D49" w:rsidRPr="004F59D3" w:rsidRDefault="002D0D49" w:rsidP="0031595F">
            <w:pPr>
              <w:pStyle w:val="TableBody"/>
            </w:pPr>
            <w:r w:rsidRPr="004F59D3">
              <w:t>None</w:t>
            </w:r>
          </w:p>
        </w:tc>
        <w:tc>
          <w:tcPr>
            <w:tcW w:w="6694" w:type="dxa"/>
          </w:tcPr>
          <w:p w14:paraId="6B856741" w14:textId="77777777" w:rsidR="002D0D49" w:rsidRPr="00367720" w:rsidRDefault="002D0D49" w:rsidP="0031595F">
            <w:pPr>
              <w:pStyle w:val="TableBody"/>
              <w:rPr>
                <w:i/>
              </w:rPr>
            </w:pPr>
            <w:r w:rsidRPr="004F59D3">
              <w:rPr>
                <w:i/>
              </w:rPr>
              <w:t>Trade-Only Activity</w:t>
            </w:r>
            <w:r w:rsidRPr="004F59D3">
              <w:t>—Counter-Party that does not represent either a Load or a generatio</w:t>
            </w:r>
            <w:r w:rsidRPr="00484E48">
              <w:t xml:space="preserve">n QSE.  </w:t>
            </w:r>
            <w:r w:rsidRPr="00484E48">
              <w:rPr>
                <w:iCs w:val="0"/>
              </w:rPr>
              <w:t>Set to “0” if Counter-Party represents a QSE that has an association with a</w:t>
            </w:r>
            <w:r w:rsidRPr="00484E48" w:rsidDel="0044096C">
              <w:rPr>
                <w:iCs w:val="0"/>
              </w:rPr>
              <w:t xml:space="preserve"> </w:t>
            </w:r>
            <w:r w:rsidRPr="00367720">
              <w:rPr>
                <w:iCs w:val="0"/>
              </w:rPr>
              <w:t>Load Serving Entity (LSE) or a Resource Entity, or if Counter-Party does not represent any QSE;</w:t>
            </w:r>
            <w:r w:rsidRPr="00367720">
              <w:rPr>
                <w:b/>
                <w:bCs/>
                <w:i/>
                <w:iCs w:val="0"/>
              </w:rPr>
              <w:t xml:space="preserve"> </w:t>
            </w:r>
            <w:r w:rsidRPr="00367720">
              <w:rPr>
                <w:iCs w:val="0"/>
              </w:rPr>
              <w:t>otherwise set to 1.</w:t>
            </w:r>
          </w:p>
        </w:tc>
      </w:tr>
      <w:tr w:rsidR="002D0D49" w14:paraId="107B6A72" w14:textId="77777777" w:rsidTr="009F2C2F">
        <w:trPr>
          <w:trHeight w:val="91"/>
        </w:trPr>
        <w:tc>
          <w:tcPr>
            <w:tcW w:w="1652" w:type="dxa"/>
          </w:tcPr>
          <w:p w14:paraId="14B2E6C3" w14:textId="77777777" w:rsidR="002D0D49" w:rsidRPr="00906156" w:rsidRDefault="002D0D49" w:rsidP="0031595F">
            <w:pPr>
              <w:pStyle w:val="TableBody"/>
              <w:rPr>
                <w:i/>
              </w:rPr>
            </w:pPr>
            <w:r w:rsidRPr="00906156">
              <w:rPr>
                <w:i/>
              </w:rPr>
              <w:t>q</w:t>
            </w:r>
          </w:p>
        </w:tc>
        <w:tc>
          <w:tcPr>
            <w:tcW w:w="986" w:type="dxa"/>
          </w:tcPr>
          <w:p w14:paraId="2E4B7DC4" w14:textId="1EA6EDF4" w:rsidR="002D0D49" w:rsidRPr="004F59D3" w:rsidRDefault="002D0D49" w:rsidP="0031595F">
            <w:pPr>
              <w:pStyle w:val="TableBody"/>
            </w:pPr>
            <w:r w:rsidRPr="004F59D3">
              <w:t>None</w:t>
            </w:r>
          </w:p>
        </w:tc>
        <w:tc>
          <w:tcPr>
            <w:tcW w:w="6694" w:type="dxa"/>
          </w:tcPr>
          <w:p w14:paraId="21248127" w14:textId="77777777" w:rsidR="002D0D49" w:rsidRPr="004F59D3" w:rsidRDefault="002D0D49" w:rsidP="0031595F">
            <w:pPr>
              <w:pStyle w:val="TableBody"/>
            </w:pPr>
            <w:r w:rsidRPr="004F59D3">
              <w:t>QSEs represented by Counter-Party.</w:t>
            </w:r>
          </w:p>
        </w:tc>
      </w:tr>
      <w:tr w:rsidR="002D0D49" w14:paraId="3A635143" w14:textId="77777777" w:rsidTr="009F2C2F">
        <w:trPr>
          <w:trHeight w:val="91"/>
        </w:trPr>
        <w:tc>
          <w:tcPr>
            <w:tcW w:w="1652" w:type="dxa"/>
          </w:tcPr>
          <w:p w14:paraId="69AF5082" w14:textId="77777777" w:rsidR="002D0D49" w:rsidRPr="00906156" w:rsidRDefault="002D0D49" w:rsidP="0031595F">
            <w:pPr>
              <w:pStyle w:val="TableBody"/>
              <w:rPr>
                <w:i/>
              </w:rPr>
            </w:pPr>
            <w:r w:rsidRPr="00906156">
              <w:rPr>
                <w:i/>
              </w:rPr>
              <w:t>a</w:t>
            </w:r>
          </w:p>
        </w:tc>
        <w:tc>
          <w:tcPr>
            <w:tcW w:w="986" w:type="dxa"/>
          </w:tcPr>
          <w:p w14:paraId="05B074CE" w14:textId="05037ACB" w:rsidR="002D0D49" w:rsidRPr="004F59D3" w:rsidRDefault="002D0D49" w:rsidP="0031595F">
            <w:pPr>
              <w:pStyle w:val="TableBody"/>
            </w:pPr>
            <w:r w:rsidRPr="004F59D3">
              <w:t>None</w:t>
            </w:r>
          </w:p>
        </w:tc>
        <w:tc>
          <w:tcPr>
            <w:tcW w:w="6694" w:type="dxa"/>
          </w:tcPr>
          <w:p w14:paraId="5D7DB3B0" w14:textId="77777777" w:rsidR="002D0D49" w:rsidRPr="004F59D3" w:rsidRDefault="002D0D49" w:rsidP="0031595F">
            <w:pPr>
              <w:pStyle w:val="TableBody"/>
            </w:pPr>
            <w:r w:rsidRPr="004F59D3">
              <w:t>CRR Account Holders represented by Counter-Party.</w:t>
            </w:r>
          </w:p>
        </w:tc>
      </w:tr>
      <w:tr w:rsidR="002D0D49" w14:paraId="11055758" w14:textId="77777777" w:rsidTr="009F2C2F">
        <w:trPr>
          <w:trHeight w:val="91"/>
        </w:trPr>
        <w:tc>
          <w:tcPr>
            <w:tcW w:w="1652" w:type="dxa"/>
          </w:tcPr>
          <w:p w14:paraId="0F314784" w14:textId="77777777" w:rsidR="002D0D49" w:rsidRPr="00951B55" w:rsidRDefault="002D0D49" w:rsidP="0031595F">
            <w:pPr>
              <w:pStyle w:val="TableBody"/>
            </w:pPr>
            <w:r>
              <w:t>IA</w:t>
            </w:r>
          </w:p>
        </w:tc>
        <w:tc>
          <w:tcPr>
            <w:tcW w:w="986" w:type="dxa"/>
          </w:tcPr>
          <w:p w14:paraId="70915410" w14:textId="77777777" w:rsidR="002D0D49" w:rsidRDefault="002D0D49" w:rsidP="0031595F">
            <w:pPr>
              <w:pStyle w:val="TableBody"/>
            </w:pPr>
            <w:r>
              <w:t>$</w:t>
            </w:r>
          </w:p>
        </w:tc>
        <w:tc>
          <w:tcPr>
            <w:tcW w:w="6694" w:type="dxa"/>
          </w:tcPr>
          <w:p w14:paraId="1252E419" w14:textId="77777777" w:rsidR="002D0D49" w:rsidRPr="00947170" w:rsidRDefault="002D0D49" w:rsidP="0031595F">
            <w:pPr>
              <w:pStyle w:val="TableBody"/>
            </w:pPr>
            <w:r w:rsidRPr="00CE545D">
              <w:rPr>
                <w:i/>
              </w:rPr>
              <w:t>Independent Amount</w:t>
            </w:r>
            <w:r>
              <w:t>—</w:t>
            </w:r>
            <w:r w:rsidRPr="00CE545D">
              <w:t>The amount required to be posted as defined in Section 16.16.1, Counter-Party Criteria.</w:t>
            </w:r>
          </w:p>
        </w:tc>
      </w:tr>
      <w:tr w:rsidR="002D0D49" w14:paraId="7322E519" w14:textId="77777777" w:rsidTr="009F2C2F">
        <w:trPr>
          <w:trHeight w:val="91"/>
        </w:trPr>
        <w:tc>
          <w:tcPr>
            <w:tcW w:w="1652" w:type="dxa"/>
          </w:tcPr>
          <w:p w14:paraId="14F490A8" w14:textId="77777777" w:rsidR="002D0D49" w:rsidRDefault="002D0D49" w:rsidP="0031595F">
            <w:pPr>
              <w:pStyle w:val="TableBody"/>
            </w:pPr>
            <w:r>
              <w:t>RFAF</w:t>
            </w:r>
          </w:p>
        </w:tc>
        <w:tc>
          <w:tcPr>
            <w:tcW w:w="986" w:type="dxa"/>
          </w:tcPr>
          <w:p w14:paraId="055E2DAA" w14:textId="77777777" w:rsidR="002D0D49" w:rsidRDefault="002D0D49" w:rsidP="0031595F">
            <w:pPr>
              <w:pStyle w:val="TableBody"/>
            </w:pPr>
            <w:r>
              <w:t>None</w:t>
            </w:r>
          </w:p>
        </w:tc>
        <w:tc>
          <w:tcPr>
            <w:tcW w:w="6694" w:type="dxa"/>
          </w:tcPr>
          <w:p w14:paraId="090A81D1" w14:textId="77777777" w:rsidR="002D0D49" w:rsidRPr="00CE545D" w:rsidRDefault="002D0D49" w:rsidP="0031595F">
            <w:pPr>
              <w:pStyle w:val="TableBody"/>
              <w:rPr>
                <w:i/>
              </w:rPr>
            </w:pPr>
            <w:r>
              <w:rPr>
                <w:i/>
              </w:rPr>
              <w:t>Real-Time Forward Adjustment Factor</w:t>
            </w:r>
            <w:r w:rsidRPr="00A549C5">
              <w:t>—</w:t>
            </w:r>
            <w:r w:rsidRPr="00CE545D">
              <w:t xml:space="preserve">The </w:t>
            </w:r>
            <w:r>
              <w:t xml:space="preserve">adjustment factor for RTM-related forward exposure as </w:t>
            </w:r>
            <w:r w:rsidRPr="00CE545D">
              <w:t xml:space="preserve">defined in Section </w:t>
            </w:r>
            <w:r w:rsidRPr="006E7FC0">
              <w:t>16.11.4.3.3, Forward Adjustment Factors</w:t>
            </w:r>
            <w:r w:rsidRPr="00CE545D">
              <w:t>.</w:t>
            </w:r>
          </w:p>
        </w:tc>
      </w:tr>
    </w:tbl>
    <w:p w14:paraId="1CBBD670" w14:textId="77777777" w:rsidR="002D0D49" w:rsidRDefault="002D0D49" w:rsidP="002D0D49">
      <w:pPr>
        <w:pStyle w:val="BodyText"/>
        <w:spacing w:before="240" w:after="0"/>
      </w:pPr>
      <w: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2D0D49" w:rsidRPr="00BE4766" w14:paraId="50ECFB23" w14:textId="77777777" w:rsidTr="002D0D49">
        <w:trPr>
          <w:trHeight w:val="351"/>
          <w:tblHeader/>
        </w:trPr>
        <w:tc>
          <w:tcPr>
            <w:tcW w:w="1448" w:type="dxa"/>
          </w:tcPr>
          <w:p w14:paraId="6D1E3EF5" w14:textId="77777777" w:rsidR="002D0D49" w:rsidRPr="00BE4766" w:rsidRDefault="002D0D49" w:rsidP="0031595F">
            <w:pPr>
              <w:pStyle w:val="TableHead"/>
            </w:pPr>
            <w:r>
              <w:t>Parameter</w:t>
            </w:r>
          </w:p>
        </w:tc>
        <w:tc>
          <w:tcPr>
            <w:tcW w:w="1702" w:type="dxa"/>
          </w:tcPr>
          <w:p w14:paraId="3C6226A7" w14:textId="77777777" w:rsidR="002D0D49" w:rsidRPr="00BE4766" w:rsidRDefault="002D0D49" w:rsidP="0031595F">
            <w:pPr>
              <w:pStyle w:val="TableHead"/>
            </w:pPr>
            <w:r w:rsidRPr="00BE4766">
              <w:t>Unit</w:t>
            </w:r>
          </w:p>
        </w:tc>
        <w:tc>
          <w:tcPr>
            <w:tcW w:w="6120" w:type="dxa"/>
          </w:tcPr>
          <w:p w14:paraId="1C71B301" w14:textId="77777777" w:rsidR="002D0D49" w:rsidRPr="00BE4766" w:rsidRDefault="002D0D49" w:rsidP="0031595F">
            <w:pPr>
              <w:pStyle w:val="TableHead"/>
            </w:pPr>
            <w:r>
              <w:t>Current Value*</w:t>
            </w:r>
          </w:p>
        </w:tc>
      </w:tr>
      <w:tr w:rsidR="002D0D49" w:rsidRPr="00BE4766" w14:paraId="4515A9BE" w14:textId="77777777" w:rsidTr="002D0D49">
        <w:trPr>
          <w:trHeight w:val="519"/>
        </w:trPr>
        <w:tc>
          <w:tcPr>
            <w:tcW w:w="1448" w:type="dxa"/>
          </w:tcPr>
          <w:p w14:paraId="2E6B5C63" w14:textId="77777777" w:rsidR="002D0D49" w:rsidRPr="004F59D3" w:rsidRDefault="002D0D49" w:rsidP="0031595F">
            <w:pPr>
              <w:pStyle w:val="TableBody"/>
              <w:rPr>
                <w:i/>
              </w:rPr>
            </w:pPr>
            <w:r w:rsidRPr="004F59D3">
              <w:rPr>
                <w:i/>
              </w:rPr>
              <w:t>nm</w:t>
            </w:r>
          </w:p>
        </w:tc>
        <w:tc>
          <w:tcPr>
            <w:tcW w:w="1702" w:type="dxa"/>
          </w:tcPr>
          <w:p w14:paraId="67C4004E" w14:textId="77777777" w:rsidR="002D0D49" w:rsidRPr="004F59D3" w:rsidRDefault="002D0D49" w:rsidP="0031595F">
            <w:pPr>
              <w:pStyle w:val="TableBody"/>
            </w:pPr>
            <w:r w:rsidRPr="004F59D3">
              <w:t>None</w:t>
            </w:r>
          </w:p>
        </w:tc>
        <w:tc>
          <w:tcPr>
            <w:tcW w:w="6120" w:type="dxa"/>
          </w:tcPr>
          <w:p w14:paraId="654C8EF8" w14:textId="77777777" w:rsidR="002D0D49" w:rsidRPr="00484E48" w:rsidRDefault="002D0D49" w:rsidP="0031595F">
            <w:pPr>
              <w:pStyle w:val="TableBody"/>
            </w:pPr>
            <w:r w:rsidRPr="00484E48">
              <w:t>50</w:t>
            </w:r>
          </w:p>
        </w:tc>
      </w:tr>
      <w:tr w:rsidR="002D0D49" w:rsidRPr="00BE4766" w14:paraId="4BD7A6C0" w14:textId="77777777" w:rsidTr="002D0D49">
        <w:trPr>
          <w:trHeight w:val="519"/>
        </w:trPr>
        <w:tc>
          <w:tcPr>
            <w:tcW w:w="1448" w:type="dxa"/>
          </w:tcPr>
          <w:p w14:paraId="6B1DBC35" w14:textId="77777777" w:rsidR="002D0D49" w:rsidRPr="004F59D3" w:rsidRDefault="002D0D49" w:rsidP="0031595F">
            <w:pPr>
              <w:pStyle w:val="TableBody"/>
              <w:rPr>
                <w:i/>
              </w:rPr>
            </w:pPr>
            <w:r w:rsidRPr="004F59D3">
              <w:rPr>
                <w:i/>
              </w:rPr>
              <w:t>cif</w:t>
            </w:r>
          </w:p>
        </w:tc>
        <w:tc>
          <w:tcPr>
            <w:tcW w:w="1702" w:type="dxa"/>
          </w:tcPr>
          <w:p w14:paraId="6ECA2374" w14:textId="77777777" w:rsidR="002D0D49" w:rsidRPr="004F59D3" w:rsidRDefault="002D0D49" w:rsidP="0031595F">
            <w:pPr>
              <w:pStyle w:val="TableBody"/>
            </w:pPr>
            <w:r w:rsidRPr="004F59D3">
              <w:t>Percentage</w:t>
            </w:r>
          </w:p>
        </w:tc>
        <w:tc>
          <w:tcPr>
            <w:tcW w:w="6120" w:type="dxa"/>
          </w:tcPr>
          <w:p w14:paraId="5BBF100D" w14:textId="77777777" w:rsidR="002D0D49" w:rsidRPr="00484E48" w:rsidRDefault="002D0D49" w:rsidP="0031595F">
            <w:pPr>
              <w:pStyle w:val="TableBody"/>
            </w:pPr>
            <w:r w:rsidRPr="00484E48">
              <w:t>9%</w:t>
            </w:r>
          </w:p>
        </w:tc>
      </w:tr>
      <w:tr w:rsidR="002D0D49" w:rsidRPr="00BE4766" w14:paraId="2ACB7A72" w14:textId="77777777" w:rsidTr="002D0D49">
        <w:trPr>
          <w:trHeight w:val="519"/>
        </w:trPr>
        <w:tc>
          <w:tcPr>
            <w:tcW w:w="1448" w:type="dxa"/>
          </w:tcPr>
          <w:p w14:paraId="2B250066" w14:textId="77777777" w:rsidR="002D0D49" w:rsidRPr="008F4340" w:rsidRDefault="002D0D49" w:rsidP="0031595F">
            <w:pPr>
              <w:pStyle w:val="TableBody"/>
              <w:rPr>
                <w:i/>
              </w:rPr>
            </w:pPr>
            <w:r w:rsidRPr="008F4340">
              <w:rPr>
                <w:i/>
                <w:lang w:val="fr-FR"/>
              </w:rPr>
              <w:lastRenderedPageBreak/>
              <w:t>NUCADJ</w:t>
            </w:r>
          </w:p>
        </w:tc>
        <w:tc>
          <w:tcPr>
            <w:tcW w:w="1702" w:type="dxa"/>
          </w:tcPr>
          <w:p w14:paraId="458D0B11" w14:textId="77777777" w:rsidR="002D0D49" w:rsidRDefault="002D0D49" w:rsidP="0031595F">
            <w:pPr>
              <w:pStyle w:val="TableBody"/>
            </w:pPr>
            <w:r>
              <w:t>Percentage</w:t>
            </w:r>
          </w:p>
        </w:tc>
        <w:tc>
          <w:tcPr>
            <w:tcW w:w="6120" w:type="dxa"/>
          </w:tcPr>
          <w:p w14:paraId="4EEE65FD" w14:textId="77777777" w:rsidR="002D0D49" w:rsidRDefault="002D0D49" w:rsidP="0031595F">
            <w:pPr>
              <w:pStyle w:val="TableBody"/>
            </w:pPr>
            <w:r>
              <w:t>Minimum value of 20%.</w:t>
            </w:r>
          </w:p>
        </w:tc>
      </w:tr>
      <w:tr w:rsidR="002D0D49" w:rsidRPr="00BE4766" w14:paraId="5C27CF7D" w14:textId="77777777" w:rsidTr="002D0D49">
        <w:trPr>
          <w:trHeight w:val="519"/>
        </w:trPr>
        <w:tc>
          <w:tcPr>
            <w:tcW w:w="1448" w:type="dxa"/>
          </w:tcPr>
          <w:p w14:paraId="5B253197" w14:textId="77777777" w:rsidR="002D0D49" w:rsidRDefault="002D0D49" w:rsidP="0031595F">
            <w:pPr>
              <w:pStyle w:val="TableBody"/>
              <w:rPr>
                <w:i/>
              </w:rPr>
            </w:pPr>
            <w:r>
              <w:rPr>
                <w:i/>
              </w:rPr>
              <w:t>T1</w:t>
            </w:r>
          </w:p>
        </w:tc>
        <w:tc>
          <w:tcPr>
            <w:tcW w:w="1702" w:type="dxa"/>
          </w:tcPr>
          <w:p w14:paraId="3CEC6751" w14:textId="77777777" w:rsidR="002D0D49" w:rsidRDefault="002D0D49" w:rsidP="0031595F">
            <w:pPr>
              <w:pStyle w:val="TableBody"/>
            </w:pPr>
            <w:r>
              <w:t>Days</w:t>
            </w:r>
          </w:p>
        </w:tc>
        <w:tc>
          <w:tcPr>
            <w:tcW w:w="6120" w:type="dxa"/>
          </w:tcPr>
          <w:p w14:paraId="544452C2" w14:textId="77777777" w:rsidR="002D0D49" w:rsidRDefault="002D0D49" w:rsidP="0031595F">
            <w:pPr>
              <w:pStyle w:val="TableBody"/>
            </w:pPr>
            <w:r>
              <w:t>2</w:t>
            </w:r>
          </w:p>
        </w:tc>
      </w:tr>
      <w:tr w:rsidR="002D0D49" w:rsidRPr="00BE4766" w14:paraId="14D849AF" w14:textId="77777777" w:rsidTr="002D0D49">
        <w:trPr>
          <w:trHeight w:val="519"/>
        </w:trPr>
        <w:tc>
          <w:tcPr>
            <w:tcW w:w="1448" w:type="dxa"/>
          </w:tcPr>
          <w:p w14:paraId="7E4FE7A4" w14:textId="77777777" w:rsidR="002D0D49" w:rsidRDefault="002D0D49" w:rsidP="0031595F">
            <w:pPr>
              <w:pStyle w:val="TableBody"/>
              <w:rPr>
                <w:i/>
              </w:rPr>
            </w:pPr>
            <w:r>
              <w:rPr>
                <w:i/>
              </w:rPr>
              <w:t>T2</w:t>
            </w:r>
          </w:p>
        </w:tc>
        <w:tc>
          <w:tcPr>
            <w:tcW w:w="1702" w:type="dxa"/>
          </w:tcPr>
          <w:p w14:paraId="5A767ABC" w14:textId="77777777" w:rsidR="002D0D49" w:rsidRDefault="002D0D49" w:rsidP="0031595F">
            <w:pPr>
              <w:pStyle w:val="TableBody"/>
            </w:pPr>
            <w:r>
              <w:t>Days</w:t>
            </w:r>
          </w:p>
        </w:tc>
        <w:tc>
          <w:tcPr>
            <w:tcW w:w="6120" w:type="dxa"/>
          </w:tcPr>
          <w:p w14:paraId="0E4F5764" w14:textId="77777777" w:rsidR="002D0D49" w:rsidRDefault="002D0D49" w:rsidP="0031595F">
            <w:pPr>
              <w:pStyle w:val="TableBody"/>
              <w:rPr>
                <w:i/>
              </w:rPr>
            </w:pPr>
            <w:r>
              <w:t>5</w:t>
            </w:r>
          </w:p>
        </w:tc>
      </w:tr>
      <w:tr w:rsidR="002D0D49" w:rsidRPr="00BE4766" w14:paraId="5855A457" w14:textId="77777777" w:rsidTr="002D0D49">
        <w:trPr>
          <w:trHeight w:val="519"/>
        </w:trPr>
        <w:tc>
          <w:tcPr>
            <w:tcW w:w="1448" w:type="dxa"/>
          </w:tcPr>
          <w:p w14:paraId="488F7473" w14:textId="77777777" w:rsidR="002D0D49" w:rsidRDefault="002D0D49" w:rsidP="0031595F">
            <w:pPr>
              <w:pStyle w:val="TableBody"/>
              <w:rPr>
                <w:i/>
              </w:rPr>
            </w:pPr>
            <w:r>
              <w:rPr>
                <w:i/>
              </w:rPr>
              <w:t>T3</w:t>
            </w:r>
          </w:p>
        </w:tc>
        <w:tc>
          <w:tcPr>
            <w:tcW w:w="1702" w:type="dxa"/>
          </w:tcPr>
          <w:p w14:paraId="42732A42" w14:textId="77777777" w:rsidR="002D0D49" w:rsidRDefault="002D0D49" w:rsidP="0031595F">
            <w:pPr>
              <w:pStyle w:val="TableBody"/>
            </w:pPr>
            <w:r w:rsidRPr="00AD0E0C">
              <w:t>Days</w:t>
            </w:r>
          </w:p>
        </w:tc>
        <w:tc>
          <w:tcPr>
            <w:tcW w:w="6120" w:type="dxa"/>
          </w:tcPr>
          <w:p w14:paraId="5728EE95" w14:textId="77777777" w:rsidR="002D0D49" w:rsidRDefault="002D0D49" w:rsidP="0031595F">
            <w:pPr>
              <w:pStyle w:val="TableBody"/>
              <w:rPr>
                <w:i/>
              </w:rPr>
            </w:pPr>
            <w:r>
              <w:t>5</w:t>
            </w:r>
          </w:p>
        </w:tc>
      </w:tr>
      <w:tr w:rsidR="002D0D49" w:rsidRPr="00BE4766" w14:paraId="0F5C2904" w14:textId="77777777" w:rsidTr="002D0D49">
        <w:trPr>
          <w:trHeight w:val="519"/>
        </w:trPr>
        <w:tc>
          <w:tcPr>
            <w:tcW w:w="1448" w:type="dxa"/>
          </w:tcPr>
          <w:p w14:paraId="688E921E" w14:textId="77777777" w:rsidR="002D0D49" w:rsidRDefault="002D0D49" w:rsidP="0031595F">
            <w:pPr>
              <w:pStyle w:val="TableBody"/>
              <w:rPr>
                <w:i/>
              </w:rPr>
            </w:pPr>
            <w:r>
              <w:rPr>
                <w:i/>
              </w:rPr>
              <w:t>T4</w:t>
            </w:r>
          </w:p>
        </w:tc>
        <w:tc>
          <w:tcPr>
            <w:tcW w:w="1702" w:type="dxa"/>
          </w:tcPr>
          <w:p w14:paraId="4088740C" w14:textId="77777777" w:rsidR="002D0D49" w:rsidRDefault="002D0D49" w:rsidP="0031595F">
            <w:pPr>
              <w:pStyle w:val="TableBody"/>
            </w:pPr>
            <w:r w:rsidRPr="00AD0E0C">
              <w:t>Days</w:t>
            </w:r>
          </w:p>
        </w:tc>
        <w:tc>
          <w:tcPr>
            <w:tcW w:w="6120" w:type="dxa"/>
          </w:tcPr>
          <w:p w14:paraId="4DD8C075" w14:textId="77777777" w:rsidR="002D0D49" w:rsidRDefault="002D0D49" w:rsidP="0031595F">
            <w:pPr>
              <w:pStyle w:val="TableBody"/>
            </w:pPr>
            <w:r>
              <w:t>1</w:t>
            </w:r>
          </w:p>
        </w:tc>
      </w:tr>
      <w:tr w:rsidR="002D0D49" w:rsidRPr="00BE4766" w14:paraId="4148A062" w14:textId="77777777" w:rsidTr="002D0D49">
        <w:trPr>
          <w:trHeight w:val="519"/>
        </w:trPr>
        <w:tc>
          <w:tcPr>
            <w:tcW w:w="1448" w:type="dxa"/>
          </w:tcPr>
          <w:p w14:paraId="5D9E3021" w14:textId="77777777" w:rsidR="002D0D49" w:rsidRDefault="002D0D49" w:rsidP="0031595F">
            <w:pPr>
              <w:pStyle w:val="TableBody"/>
              <w:rPr>
                <w:i/>
              </w:rPr>
            </w:pPr>
            <w:r>
              <w:rPr>
                <w:i/>
              </w:rPr>
              <w:t>T5</w:t>
            </w:r>
          </w:p>
        </w:tc>
        <w:tc>
          <w:tcPr>
            <w:tcW w:w="1702" w:type="dxa"/>
          </w:tcPr>
          <w:p w14:paraId="18A94C3D" w14:textId="77777777" w:rsidR="002D0D49" w:rsidRDefault="002D0D49" w:rsidP="0031595F">
            <w:pPr>
              <w:pStyle w:val="TableBody"/>
            </w:pPr>
            <w:r w:rsidRPr="00AD0E0C">
              <w:t>Days</w:t>
            </w:r>
          </w:p>
        </w:tc>
        <w:tc>
          <w:tcPr>
            <w:tcW w:w="6120" w:type="dxa"/>
          </w:tcPr>
          <w:p w14:paraId="31DE895E" w14:textId="77777777" w:rsidR="002D0D49" w:rsidRDefault="002D0D49" w:rsidP="0031595F">
            <w:pPr>
              <w:pStyle w:val="TableBody"/>
              <w:rPr>
                <w:i/>
              </w:rPr>
            </w:pPr>
            <w:r>
              <w:t>For a Counter-Party that represents Load this value is equal to 5, otherwise this value is equal to 2.</w:t>
            </w:r>
          </w:p>
        </w:tc>
      </w:tr>
      <w:tr w:rsidR="002D0D49" w:rsidRPr="00BE4766" w14:paraId="64DA81C6" w14:textId="77777777" w:rsidTr="002D0D49">
        <w:trPr>
          <w:trHeight w:val="519"/>
        </w:trPr>
        <w:tc>
          <w:tcPr>
            <w:tcW w:w="1448" w:type="dxa"/>
          </w:tcPr>
          <w:p w14:paraId="1A3DA326" w14:textId="77777777" w:rsidR="002D0D49" w:rsidRPr="008F4340" w:rsidRDefault="002D0D49" w:rsidP="0031595F">
            <w:pPr>
              <w:pStyle w:val="TableBody"/>
              <w:rPr>
                <w:i/>
              </w:rPr>
            </w:pPr>
            <w:r w:rsidRPr="008F4340">
              <w:rPr>
                <w:i/>
              </w:rPr>
              <w:t>BTCF</w:t>
            </w:r>
          </w:p>
        </w:tc>
        <w:tc>
          <w:tcPr>
            <w:tcW w:w="1702" w:type="dxa"/>
          </w:tcPr>
          <w:p w14:paraId="49A8B096" w14:textId="77777777" w:rsidR="002D0D49" w:rsidRDefault="002D0D49" w:rsidP="0031595F">
            <w:pPr>
              <w:pStyle w:val="TableBody"/>
            </w:pPr>
            <w:r>
              <w:t>Percentage</w:t>
            </w:r>
          </w:p>
        </w:tc>
        <w:tc>
          <w:tcPr>
            <w:tcW w:w="6120" w:type="dxa"/>
          </w:tcPr>
          <w:p w14:paraId="678B44C7" w14:textId="77777777" w:rsidR="002D0D49" w:rsidRDefault="002D0D49" w:rsidP="0031595F">
            <w:pPr>
              <w:pStyle w:val="TableBody"/>
            </w:pPr>
            <w:r>
              <w:t>80%</w:t>
            </w:r>
          </w:p>
        </w:tc>
      </w:tr>
      <w:tr w:rsidR="002D0D49" w:rsidRPr="00BE4766" w14:paraId="38A43523" w14:textId="77777777" w:rsidTr="002D0D49">
        <w:trPr>
          <w:trHeight w:val="519"/>
        </w:trPr>
        <w:tc>
          <w:tcPr>
            <w:tcW w:w="1448" w:type="dxa"/>
          </w:tcPr>
          <w:p w14:paraId="2DB16FF5" w14:textId="77777777" w:rsidR="002D0D49" w:rsidRPr="008F4340" w:rsidRDefault="002D0D49" w:rsidP="0031595F">
            <w:pPr>
              <w:pStyle w:val="TableBody"/>
              <w:rPr>
                <w:i/>
              </w:rPr>
            </w:pPr>
            <w:r>
              <w:rPr>
                <w:i/>
              </w:rPr>
              <w:t>n</w:t>
            </w:r>
          </w:p>
        </w:tc>
        <w:tc>
          <w:tcPr>
            <w:tcW w:w="1702" w:type="dxa"/>
          </w:tcPr>
          <w:p w14:paraId="0B20DA7B" w14:textId="77777777" w:rsidR="002D0D49" w:rsidRDefault="002D0D49" w:rsidP="0031595F">
            <w:pPr>
              <w:pStyle w:val="TableBody"/>
            </w:pPr>
            <w:r>
              <w:t>Days</w:t>
            </w:r>
          </w:p>
        </w:tc>
        <w:tc>
          <w:tcPr>
            <w:tcW w:w="6120" w:type="dxa"/>
          </w:tcPr>
          <w:p w14:paraId="066A574F" w14:textId="77777777" w:rsidR="002D0D49" w:rsidRDefault="002D0D49" w:rsidP="0031595F">
            <w:pPr>
              <w:pStyle w:val="TableBody"/>
            </w:pPr>
            <w:r>
              <w:t>14</w:t>
            </w:r>
          </w:p>
        </w:tc>
      </w:tr>
      <w:tr w:rsidR="002D0D49" w:rsidRPr="00BE4766" w14:paraId="5C5110EA" w14:textId="77777777" w:rsidTr="002D0D49">
        <w:trPr>
          <w:trHeight w:val="519"/>
        </w:trPr>
        <w:tc>
          <w:tcPr>
            <w:tcW w:w="9270" w:type="dxa"/>
            <w:gridSpan w:val="3"/>
          </w:tcPr>
          <w:p w14:paraId="0E97457A" w14:textId="77777777" w:rsidR="002D0D49" w:rsidRDefault="002D0D49" w:rsidP="0031595F">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2D02D8AB" w14:textId="77777777" w:rsidR="00856F40" w:rsidRDefault="00856F40" w:rsidP="00E45FD4">
      <w:pPr>
        <w:pStyle w:val="BodyTextNumbered"/>
        <w:spacing w:before="240"/>
      </w:pPr>
      <w:r>
        <w:t>(3)</w:t>
      </w:r>
      <w:r>
        <w:tab/>
        <w:t>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  ERCOT shall, to the extent practical, give to the Counter-Party the information used to determine that different TPEA or TPES.  ERCOT shall provide written or electronic Notice to the Counter-Party of the basis for ERCOT’s assessment of the Counter-Party’s financial risk and the resulting creditworthiness requirements.</w:t>
      </w:r>
    </w:p>
    <w:p w14:paraId="613EF508" w14:textId="77777777" w:rsidR="00856F40" w:rsidRDefault="00856F40" w:rsidP="00C9406C">
      <w:pPr>
        <w:pStyle w:val="H4"/>
        <w:keepNext w:val="0"/>
        <w:spacing w:before="0"/>
        <w:ind w:left="720" w:hanging="720"/>
        <w:outlineLvl w:val="9"/>
        <w:rPr>
          <w:b/>
        </w:rPr>
      </w:pPr>
      <w:bookmarkStart w:id="453" w:name="_Toc344279648"/>
      <w:bookmarkStart w:id="454" w:name="_Toc344279748"/>
      <w:bookmarkStart w:id="455" w:name="_Toc349821800"/>
      <w:r w:rsidRPr="00D77FC8">
        <w:rPr>
          <w:iCs/>
        </w:rPr>
        <w:t>(4)</w:t>
      </w:r>
      <w:r w:rsidRPr="00D77FC8">
        <w:rPr>
          <w:iCs/>
        </w:rPr>
        <w:tab/>
        <w:t>ERCOT shall monitor and calculate each Counter-Party’s TPEA and TPES daily.</w:t>
      </w:r>
      <w:bookmarkEnd w:id="453"/>
      <w:bookmarkEnd w:id="454"/>
      <w:bookmarkEnd w:id="455"/>
    </w:p>
    <w:p w14:paraId="474B16BD" w14:textId="77777777" w:rsidR="00F56ABB" w:rsidRPr="00D63F95" w:rsidRDefault="00727E32" w:rsidP="00866318">
      <w:pPr>
        <w:pStyle w:val="H4"/>
        <w:keepNext w:val="0"/>
        <w:ind w:left="1267" w:hanging="1267"/>
        <w:rPr>
          <w:b/>
        </w:rPr>
      </w:pPr>
      <w:bookmarkStart w:id="456" w:name="_Toc390438967"/>
      <w:bookmarkStart w:id="457" w:name="_Toc405897664"/>
      <w:bookmarkStart w:id="458" w:name="_Toc415055768"/>
      <w:bookmarkStart w:id="459" w:name="_Toc415055894"/>
      <w:bookmarkStart w:id="460" w:name="_Toc415055993"/>
      <w:bookmarkStart w:id="461" w:name="_Toc415056094"/>
      <w:bookmarkStart w:id="462" w:name="_Toc70591635"/>
      <w:r w:rsidRPr="004F59D3">
        <w:rPr>
          <w:b/>
        </w:rPr>
        <w:t>16.11.4.2</w:t>
      </w:r>
      <w:r w:rsidRPr="00D63F95">
        <w:rPr>
          <w:b/>
        </w:rPr>
        <w:tab/>
        <w:t>Determination of Counter-Party Initial Estimated Liability</w:t>
      </w:r>
      <w:bookmarkEnd w:id="456"/>
      <w:bookmarkEnd w:id="457"/>
      <w:bookmarkEnd w:id="458"/>
      <w:bookmarkEnd w:id="459"/>
      <w:bookmarkEnd w:id="460"/>
      <w:bookmarkEnd w:id="461"/>
      <w:bookmarkEnd w:id="462"/>
    </w:p>
    <w:p w14:paraId="26B41A8B" w14:textId="77777777" w:rsidR="00FC1C5F" w:rsidRDefault="00727E32">
      <w:pPr>
        <w:pStyle w:val="List"/>
        <w:ind w:left="720"/>
      </w:pPr>
      <w:r>
        <w:t>(1)</w:t>
      </w:r>
      <w:r>
        <w:tab/>
      </w:r>
      <w:r w:rsidR="002D0D49">
        <w:t xml:space="preserve">For each Counter-Party, </w:t>
      </w:r>
      <w:r w:rsidR="002D0D49" w:rsidRPr="004F59D3">
        <w:t>except those Counter-Parties that are only CRR Account Holders,</w:t>
      </w:r>
      <w:r w:rsidR="002D0D49">
        <w:t xml:space="preserve"> ERCOT shall determine </w:t>
      </w:r>
      <w:r w:rsidR="0058051D">
        <w:t xml:space="preserve">an Initial Estimated Liability (IEL) </w:t>
      </w:r>
      <w:r w:rsidR="002D0D49">
        <w:t>for purposes of Section 16.11.3, Alternative Means of Satisfying ERCOT Creditworthiness Requirements.</w:t>
      </w:r>
    </w:p>
    <w:p w14:paraId="666AFDB7" w14:textId="77777777" w:rsidR="000370C5" w:rsidRDefault="000370C5" w:rsidP="000370C5">
      <w:pPr>
        <w:pStyle w:val="List"/>
        <w:ind w:left="720"/>
      </w:pPr>
      <w:r>
        <w:t>(2)</w:t>
      </w:r>
      <w:r>
        <w:tab/>
        <w:t xml:space="preserve">For a Counter-Party that </w:t>
      </w:r>
      <w:r w:rsidR="00023149">
        <w:t>has all its</w:t>
      </w:r>
      <w:r>
        <w:t xml:space="preserve"> QSE</w:t>
      </w:r>
      <w:r w:rsidR="00023149">
        <w:t>s</w:t>
      </w:r>
      <w:r>
        <w:t xml:space="preserve"> representing only LSEs, ERCOT shall calculate the IEL using the following formula: </w:t>
      </w:r>
    </w:p>
    <w:p w14:paraId="319450AA" w14:textId="77777777" w:rsidR="000370C5" w:rsidRDefault="000370C5" w:rsidP="000370C5">
      <w:pPr>
        <w:pStyle w:val="List"/>
        <w:rPr>
          <w:b/>
          <w:lang w:val="es-ES"/>
        </w:rPr>
      </w:pPr>
      <w:r>
        <w:rPr>
          <w:b/>
          <w:lang w:val="es-ES"/>
        </w:rPr>
        <w:t xml:space="preserve">IEL = DEL </w:t>
      </w:r>
      <w:r w:rsidRPr="00753977">
        <w:rPr>
          <w:b/>
          <w:lang w:val="es-ES"/>
        </w:rPr>
        <w:t>*</w:t>
      </w:r>
      <w:r>
        <w:rPr>
          <w:b/>
          <w:lang w:val="es-ES"/>
        </w:rPr>
        <w:t xml:space="preserve"> Max [0.2, RTEFL] </w:t>
      </w:r>
      <w:r w:rsidRPr="00753977">
        <w:rPr>
          <w:b/>
          <w:lang w:val="es-ES"/>
        </w:rPr>
        <w:t>*</w:t>
      </w:r>
      <w:r>
        <w:rPr>
          <w:b/>
          <w:lang w:val="es-ES"/>
        </w:rPr>
        <w:t xml:space="preserve"> RTAEP </w:t>
      </w:r>
      <w:r w:rsidRPr="00753977">
        <w:rPr>
          <w:b/>
          <w:lang w:val="es-ES"/>
        </w:rPr>
        <w:t>*</w:t>
      </w:r>
      <w:r>
        <w:rPr>
          <w:b/>
          <w:lang w:val="es-ES"/>
        </w:rPr>
        <w:t xml:space="preserve"> (M1 + M2)</w:t>
      </w:r>
    </w:p>
    <w:p w14:paraId="21E754EA" w14:textId="77777777" w:rsidR="000370C5" w:rsidRDefault="000370C5" w:rsidP="000370C5">
      <w:pPr>
        <w:pStyle w:val="BodyTextIndent"/>
        <w:spacing w:after="0"/>
        <w:ind w:left="0"/>
        <w:rPr>
          <w:iCs w:val="0"/>
        </w:rPr>
      </w:pPr>
      <w:r>
        <w:rPr>
          <w:iCs w:val="0"/>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39"/>
        <w:gridCol w:w="6588"/>
      </w:tblGrid>
      <w:tr w:rsidR="000370C5" w14:paraId="6BCA4948" w14:textId="77777777" w:rsidTr="000370C5">
        <w:tc>
          <w:tcPr>
            <w:tcW w:w="1574" w:type="dxa"/>
          </w:tcPr>
          <w:p w14:paraId="42B14F9A" w14:textId="77777777" w:rsidR="000370C5" w:rsidRDefault="000370C5" w:rsidP="000370C5">
            <w:pPr>
              <w:pStyle w:val="TableHead"/>
            </w:pPr>
            <w:r>
              <w:t>Variable</w:t>
            </w:r>
          </w:p>
        </w:tc>
        <w:tc>
          <w:tcPr>
            <w:tcW w:w="694" w:type="dxa"/>
          </w:tcPr>
          <w:p w14:paraId="2747A26F" w14:textId="77777777" w:rsidR="000370C5" w:rsidRDefault="000370C5" w:rsidP="000370C5">
            <w:pPr>
              <w:pStyle w:val="TableHead"/>
              <w:jc w:val="center"/>
            </w:pPr>
            <w:r>
              <w:t>Unit</w:t>
            </w:r>
          </w:p>
        </w:tc>
        <w:tc>
          <w:tcPr>
            <w:tcW w:w="6588" w:type="dxa"/>
          </w:tcPr>
          <w:p w14:paraId="022F4DDA" w14:textId="77777777" w:rsidR="000370C5" w:rsidRDefault="000370C5" w:rsidP="000370C5">
            <w:pPr>
              <w:pStyle w:val="TableHead"/>
            </w:pPr>
            <w:r>
              <w:t>Description</w:t>
            </w:r>
          </w:p>
        </w:tc>
      </w:tr>
      <w:tr w:rsidR="000370C5" w14:paraId="2961F599" w14:textId="77777777" w:rsidTr="000370C5">
        <w:tc>
          <w:tcPr>
            <w:tcW w:w="1574" w:type="dxa"/>
          </w:tcPr>
          <w:p w14:paraId="4A6A4BFD" w14:textId="77777777" w:rsidR="000370C5" w:rsidRDefault="000370C5" w:rsidP="000370C5">
            <w:pPr>
              <w:pStyle w:val="TableBody"/>
            </w:pPr>
            <w:r>
              <w:lastRenderedPageBreak/>
              <w:t>IEL</w:t>
            </w:r>
          </w:p>
        </w:tc>
        <w:tc>
          <w:tcPr>
            <w:tcW w:w="694" w:type="dxa"/>
          </w:tcPr>
          <w:p w14:paraId="6AF20AFD" w14:textId="77777777" w:rsidR="000370C5" w:rsidRDefault="000370C5" w:rsidP="000370C5">
            <w:pPr>
              <w:pStyle w:val="TableBody"/>
            </w:pPr>
            <w:r>
              <w:t>$</w:t>
            </w:r>
          </w:p>
        </w:tc>
        <w:tc>
          <w:tcPr>
            <w:tcW w:w="6588" w:type="dxa"/>
          </w:tcPr>
          <w:p w14:paraId="629C8332" w14:textId="77777777" w:rsidR="000370C5" w:rsidRDefault="000370C5" w:rsidP="000370C5">
            <w:pPr>
              <w:pStyle w:val="TableBody"/>
            </w:pPr>
            <w:r w:rsidRPr="00B67540">
              <w:rPr>
                <w:i/>
              </w:rPr>
              <w:t>Initial Estimated Liability</w:t>
            </w:r>
            <w:r w:rsidRPr="00B67540">
              <w:rPr>
                <w:color w:val="000000"/>
              </w:rPr>
              <w:sym w:font="Symbol" w:char="F0BE"/>
            </w:r>
            <w:r>
              <w:t>The Counter-Party’s</w:t>
            </w:r>
            <w:r w:rsidR="00C3054D" w:rsidRPr="00C3054D">
              <w:t xml:space="preserve"> Initial Estimated Liability</w:t>
            </w:r>
            <w:r>
              <w:t>.</w:t>
            </w:r>
          </w:p>
        </w:tc>
      </w:tr>
      <w:tr w:rsidR="000370C5" w14:paraId="105BDDFD" w14:textId="77777777" w:rsidTr="000370C5">
        <w:tc>
          <w:tcPr>
            <w:tcW w:w="1574" w:type="dxa"/>
          </w:tcPr>
          <w:p w14:paraId="2E17BFA8" w14:textId="77777777" w:rsidR="000370C5" w:rsidRDefault="000370C5" w:rsidP="000370C5">
            <w:pPr>
              <w:pStyle w:val="TableBody"/>
            </w:pPr>
            <w:smartTag w:uri="urn:schemas-microsoft-com:office:smarttags" w:element="place">
              <w:smartTag w:uri="urn:schemas-microsoft-com:office:smarttags" w:element="State">
                <w:r>
                  <w:t>DEL</w:t>
                </w:r>
              </w:smartTag>
            </w:smartTag>
          </w:p>
        </w:tc>
        <w:tc>
          <w:tcPr>
            <w:tcW w:w="694" w:type="dxa"/>
          </w:tcPr>
          <w:p w14:paraId="60205809" w14:textId="77777777" w:rsidR="000370C5" w:rsidRDefault="000370C5" w:rsidP="000370C5">
            <w:pPr>
              <w:pStyle w:val="TableBody"/>
            </w:pPr>
            <w:r>
              <w:t>MWh</w:t>
            </w:r>
          </w:p>
        </w:tc>
        <w:tc>
          <w:tcPr>
            <w:tcW w:w="6588" w:type="dxa"/>
          </w:tcPr>
          <w:p w14:paraId="53DE4076" w14:textId="77777777" w:rsidR="000370C5" w:rsidRDefault="000370C5" w:rsidP="000370C5">
            <w:pPr>
              <w:pStyle w:val="TableBody"/>
            </w:pPr>
            <w:r w:rsidRPr="00B67540">
              <w:rPr>
                <w:i/>
              </w:rPr>
              <w:t>Daily Estimated Load</w:t>
            </w:r>
            <w:r w:rsidRPr="00B67540">
              <w:rPr>
                <w:color w:val="000000"/>
              </w:rPr>
              <w:sym w:font="Symbol" w:char="F0BE"/>
            </w:r>
            <w:r>
              <w:t xml:space="preserve">The Counter-Party’s estimated average daily Load as determined by ERCOT based on information provided by the Counter-Party. </w:t>
            </w:r>
          </w:p>
        </w:tc>
      </w:tr>
      <w:tr w:rsidR="000370C5" w14:paraId="2C92EA43" w14:textId="77777777" w:rsidTr="000370C5">
        <w:tc>
          <w:tcPr>
            <w:tcW w:w="1574" w:type="dxa"/>
          </w:tcPr>
          <w:p w14:paraId="2F5FF4B3" w14:textId="77777777" w:rsidR="000370C5" w:rsidRDefault="000370C5" w:rsidP="000370C5">
            <w:pPr>
              <w:pStyle w:val="TableBody"/>
            </w:pPr>
            <w:r>
              <w:t>RTEFL</w:t>
            </w:r>
          </w:p>
        </w:tc>
        <w:tc>
          <w:tcPr>
            <w:tcW w:w="694" w:type="dxa"/>
          </w:tcPr>
          <w:p w14:paraId="0F3B3CF0" w14:textId="77777777" w:rsidR="000370C5" w:rsidRDefault="000370C5" w:rsidP="000370C5">
            <w:pPr>
              <w:pStyle w:val="TableBody"/>
            </w:pPr>
            <w:r>
              <w:t>none</w:t>
            </w:r>
          </w:p>
        </w:tc>
        <w:tc>
          <w:tcPr>
            <w:tcW w:w="6588" w:type="dxa"/>
          </w:tcPr>
          <w:p w14:paraId="6E9D88B8" w14:textId="77777777" w:rsidR="000370C5" w:rsidRDefault="000370C5" w:rsidP="00E12AFD">
            <w:pPr>
              <w:pStyle w:val="TableBody"/>
            </w:pPr>
            <w:r w:rsidRPr="00B67540">
              <w:rPr>
                <w:i/>
              </w:rPr>
              <w:t>Real-Time Energy Factor for Load</w:t>
            </w:r>
            <w:r w:rsidRPr="00B67540">
              <w:rPr>
                <w:color w:val="000000"/>
              </w:rPr>
              <w:sym w:font="Symbol" w:char="F0BE"/>
            </w:r>
            <w:r>
              <w:t>The ratio of the Counter-Party’s estimated energy pur</w:t>
            </w:r>
            <w:r w:rsidR="00E12AFD">
              <w:t xml:space="preserve">chases in the </w:t>
            </w:r>
            <w:r>
              <w:t>RTM as determined by ERCOT based on information provided by the Counter-Party, to the Counter-Party’s Daily Estimated Load.</w:t>
            </w:r>
          </w:p>
        </w:tc>
      </w:tr>
      <w:tr w:rsidR="000370C5" w14:paraId="6564F50A" w14:textId="77777777" w:rsidTr="000370C5">
        <w:tc>
          <w:tcPr>
            <w:tcW w:w="1574" w:type="dxa"/>
          </w:tcPr>
          <w:p w14:paraId="1B31EA14" w14:textId="77777777" w:rsidR="000370C5" w:rsidRPr="00B67540" w:rsidRDefault="000370C5" w:rsidP="000370C5">
            <w:pPr>
              <w:pStyle w:val="TableBody"/>
              <w:rPr>
                <w:color w:val="000000"/>
              </w:rPr>
            </w:pPr>
            <w:r w:rsidRPr="00B67540">
              <w:rPr>
                <w:color w:val="000000"/>
              </w:rPr>
              <w:t>RTAEP</w:t>
            </w:r>
          </w:p>
        </w:tc>
        <w:tc>
          <w:tcPr>
            <w:tcW w:w="694" w:type="dxa"/>
          </w:tcPr>
          <w:p w14:paraId="64EDBDA8" w14:textId="77777777" w:rsidR="000370C5" w:rsidRDefault="000370C5" w:rsidP="000370C5">
            <w:pPr>
              <w:pStyle w:val="TableBody"/>
            </w:pPr>
            <w:r>
              <w:t>$/MWh</w:t>
            </w:r>
          </w:p>
        </w:tc>
        <w:tc>
          <w:tcPr>
            <w:tcW w:w="6588" w:type="dxa"/>
          </w:tcPr>
          <w:p w14:paraId="0F91BF4F" w14:textId="77777777" w:rsidR="000370C5" w:rsidRPr="00B67540" w:rsidRDefault="000370C5" w:rsidP="000370C5">
            <w:pPr>
              <w:pStyle w:val="TableBody"/>
              <w:rPr>
                <w:color w:val="000000"/>
              </w:rPr>
            </w:pPr>
            <w:r w:rsidRPr="00B67540">
              <w:rPr>
                <w:i/>
              </w:rPr>
              <w:t>Real-Time Average Energy Price</w:t>
            </w:r>
            <w:r w:rsidRPr="00B67540">
              <w:rPr>
                <w:color w:val="000000"/>
              </w:rPr>
              <w:sym w:font="Symbol" w:char="F0BE"/>
            </w:r>
            <w:r w:rsidRPr="00B67540">
              <w:rPr>
                <w:color w:val="000000"/>
              </w:rPr>
              <w:t xml:space="preserve">Average Settlement Point Price for the “ERCOT 345” as defined in Section 3.5.2.5, ERCOT Hub Average 345 kV Hub (ERCOT 345), based upon the previous seven days’ average Real-Time Settlement Point Prices. </w:t>
            </w:r>
          </w:p>
        </w:tc>
      </w:tr>
    </w:tbl>
    <w:p w14:paraId="6D197B70" w14:textId="77777777" w:rsidR="000370C5" w:rsidRDefault="000370C5" w:rsidP="000370C5">
      <w:pPr>
        <w:pStyle w:val="List"/>
        <w:spacing w:before="240"/>
        <w:ind w:left="720"/>
      </w:pPr>
      <w:r>
        <w:t>(3)</w:t>
      </w:r>
      <w:r>
        <w:tab/>
        <w:t xml:space="preserve">For a Counter-Party that </w:t>
      </w:r>
      <w:r w:rsidR="00023149">
        <w:t>has all its</w:t>
      </w:r>
      <w:r>
        <w:t xml:space="preserve"> QSE</w:t>
      </w:r>
      <w:r w:rsidR="00023149">
        <w:t>s</w:t>
      </w:r>
      <w:r>
        <w:t xml:space="preserve"> representing only Resources, ERCOT shall calculate the IEL using the following formula: </w:t>
      </w:r>
    </w:p>
    <w:p w14:paraId="05A16CBB" w14:textId="77777777" w:rsidR="000370C5" w:rsidRDefault="000370C5" w:rsidP="000370C5">
      <w:pPr>
        <w:pStyle w:val="List"/>
        <w:rPr>
          <w:lang w:val="es-ES"/>
        </w:rPr>
      </w:pPr>
      <w:r w:rsidRPr="00753977">
        <w:rPr>
          <w:b/>
          <w:lang w:val="es-ES"/>
        </w:rPr>
        <w:t>IEL</w:t>
      </w:r>
      <w:r w:rsidRPr="00753977">
        <w:rPr>
          <w:b/>
          <w:lang w:val="es-ES"/>
        </w:rPr>
        <w:tab/>
        <w:t>=</w:t>
      </w:r>
      <w:r w:rsidRPr="00753977">
        <w:rPr>
          <w:b/>
          <w:lang w:val="es-ES"/>
        </w:rPr>
        <w:tab/>
        <w:t>DEG * Max [0.2, RTEFG] * RTAEP * (M1 + M2)</w:t>
      </w:r>
    </w:p>
    <w:p w14:paraId="1CD4EAEC" w14:textId="77777777" w:rsidR="000370C5" w:rsidRDefault="000370C5" w:rsidP="000370C5">
      <w:pPr>
        <w:pStyle w:val="BodyTextIndent"/>
        <w:spacing w:after="0"/>
        <w:ind w:left="0"/>
        <w:rPr>
          <w:iCs w:val="0"/>
        </w:rPr>
      </w:pPr>
      <w:r>
        <w:rPr>
          <w:iCs w:val="0"/>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74"/>
        <w:gridCol w:w="6408"/>
      </w:tblGrid>
      <w:tr w:rsidR="000370C5" w14:paraId="729820C2" w14:textId="77777777" w:rsidTr="000370C5">
        <w:trPr>
          <w:tblHeader/>
        </w:trPr>
        <w:tc>
          <w:tcPr>
            <w:tcW w:w="1574" w:type="dxa"/>
          </w:tcPr>
          <w:p w14:paraId="2F4520EC" w14:textId="77777777" w:rsidR="000370C5" w:rsidRPr="00B67540" w:rsidRDefault="000370C5" w:rsidP="000370C5">
            <w:pPr>
              <w:pStyle w:val="TableHead"/>
              <w:rPr>
                <w:color w:val="000000"/>
              </w:rPr>
            </w:pPr>
            <w:r w:rsidRPr="00B67540">
              <w:rPr>
                <w:color w:val="000000"/>
              </w:rPr>
              <w:t>Variable</w:t>
            </w:r>
          </w:p>
        </w:tc>
        <w:tc>
          <w:tcPr>
            <w:tcW w:w="874" w:type="dxa"/>
          </w:tcPr>
          <w:p w14:paraId="0A0CD8A0" w14:textId="77777777" w:rsidR="000370C5" w:rsidRPr="00B67540" w:rsidRDefault="000370C5" w:rsidP="000370C5">
            <w:pPr>
              <w:pStyle w:val="TableHead"/>
              <w:jc w:val="center"/>
              <w:rPr>
                <w:color w:val="000000"/>
              </w:rPr>
            </w:pPr>
            <w:r w:rsidRPr="00B67540">
              <w:rPr>
                <w:color w:val="000000"/>
              </w:rPr>
              <w:t>Unit</w:t>
            </w:r>
          </w:p>
        </w:tc>
        <w:tc>
          <w:tcPr>
            <w:tcW w:w="6408" w:type="dxa"/>
          </w:tcPr>
          <w:p w14:paraId="29DF3244" w14:textId="77777777" w:rsidR="000370C5" w:rsidRPr="00B67540" w:rsidRDefault="000370C5" w:rsidP="000370C5">
            <w:pPr>
              <w:pStyle w:val="TableHead"/>
              <w:rPr>
                <w:color w:val="000000"/>
              </w:rPr>
            </w:pPr>
            <w:r w:rsidRPr="00B67540">
              <w:rPr>
                <w:color w:val="000000"/>
              </w:rPr>
              <w:t>Description</w:t>
            </w:r>
          </w:p>
        </w:tc>
      </w:tr>
      <w:tr w:rsidR="000370C5" w14:paraId="5149DB8B" w14:textId="77777777" w:rsidTr="000370C5">
        <w:tc>
          <w:tcPr>
            <w:tcW w:w="1574" w:type="dxa"/>
          </w:tcPr>
          <w:p w14:paraId="512DAC4F" w14:textId="77777777" w:rsidR="000370C5" w:rsidRPr="00B67540" w:rsidRDefault="000370C5" w:rsidP="000370C5">
            <w:pPr>
              <w:pStyle w:val="TableBody"/>
              <w:rPr>
                <w:color w:val="000000"/>
              </w:rPr>
            </w:pPr>
            <w:r w:rsidRPr="00B67540">
              <w:rPr>
                <w:color w:val="000000"/>
              </w:rPr>
              <w:t>IEL</w:t>
            </w:r>
          </w:p>
        </w:tc>
        <w:tc>
          <w:tcPr>
            <w:tcW w:w="874" w:type="dxa"/>
          </w:tcPr>
          <w:p w14:paraId="60383A06" w14:textId="77777777" w:rsidR="000370C5" w:rsidRPr="00B67540" w:rsidRDefault="000370C5" w:rsidP="000370C5">
            <w:pPr>
              <w:pStyle w:val="TableBody"/>
              <w:rPr>
                <w:color w:val="000000"/>
              </w:rPr>
            </w:pPr>
            <w:r w:rsidRPr="00B67540">
              <w:rPr>
                <w:color w:val="000000"/>
              </w:rPr>
              <w:t>$</w:t>
            </w:r>
          </w:p>
        </w:tc>
        <w:tc>
          <w:tcPr>
            <w:tcW w:w="6408" w:type="dxa"/>
          </w:tcPr>
          <w:p w14:paraId="6816E486" w14:textId="77777777" w:rsidR="000370C5" w:rsidRPr="00B67540" w:rsidRDefault="000370C5" w:rsidP="000370C5">
            <w:pPr>
              <w:pStyle w:val="TableBody"/>
              <w:rPr>
                <w:color w:val="000000"/>
              </w:rPr>
            </w:pPr>
            <w:r w:rsidRPr="00B67540">
              <w:rPr>
                <w:i/>
                <w:color w:val="000000"/>
              </w:rPr>
              <w:t>Initial Estimated Liability</w:t>
            </w:r>
            <w:r w:rsidRPr="00B67540">
              <w:rPr>
                <w:color w:val="000000"/>
              </w:rPr>
              <w:sym w:font="Symbol" w:char="F0BE"/>
            </w:r>
            <w:r w:rsidRPr="00B67540">
              <w:rPr>
                <w:color w:val="000000"/>
              </w:rPr>
              <w:t>The Counter-Party’s Initial Estimated Liability.</w:t>
            </w:r>
          </w:p>
        </w:tc>
      </w:tr>
      <w:tr w:rsidR="000370C5" w14:paraId="5BC89D86" w14:textId="77777777" w:rsidTr="000370C5">
        <w:tc>
          <w:tcPr>
            <w:tcW w:w="1574" w:type="dxa"/>
          </w:tcPr>
          <w:p w14:paraId="19784ECC" w14:textId="77777777" w:rsidR="000370C5" w:rsidRPr="00B67540" w:rsidRDefault="000370C5" w:rsidP="000370C5">
            <w:pPr>
              <w:pStyle w:val="TableBody"/>
              <w:rPr>
                <w:color w:val="000000"/>
              </w:rPr>
            </w:pPr>
            <w:r w:rsidRPr="00B67540">
              <w:rPr>
                <w:color w:val="000000"/>
              </w:rPr>
              <w:t>DEG</w:t>
            </w:r>
          </w:p>
        </w:tc>
        <w:tc>
          <w:tcPr>
            <w:tcW w:w="874" w:type="dxa"/>
          </w:tcPr>
          <w:p w14:paraId="37739FC8" w14:textId="77777777" w:rsidR="000370C5" w:rsidRPr="00B67540" w:rsidRDefault="000370C5" w:rsidP="000370C5">
            <w:pPr>
              <w:pStyle w:val="TableBody"/>
              <w:rPr>
                <w:i/>
                <w:color w:val="000000"/>
              </w:rPr>
            </w:pPr>
            <w:r w:rsidRPr="00B67540">
              <w:rPr>
                <w:color w:val="000000"/>
              </w:rPr>
              <w:t>MWh</w:t>
            </w:r>
          </w:p>
        </w:tc>
        <w:tc>
          <w:tcPr>
            <w:tcW w:w="6408" w:type="dxa"/>
          </w:tcPr>
          <w:p w14:paraId="69C593EB" w14:textId="77777777" w:rsidR="000370C5" w:rsidRPr="00B67540" w:rsidRDefault="000370C5" w:rsidP="000370C5">
            <w:pPr>
              <w:pStyle w:val="TableBody"/>
              <w:rPr>
                <w:color w:val="000000"/>
              </w:rPr>
            </w:pPr>
            <w:r w:rsidRPr="00B67540">
              <w:rPr>
                <w:i/>
                <w:color w:val="000000"/>
              </w:rPr>
              <w:t>Daily Estimated Generation</w:t>
            </w:r>
            <w:r w:rsidRPr="00B67540">
              <w:rPr>
                <w:color w:val="000000"/>
              </w:rPr>
              <w:sym w:font="Symbol" w:char="F0BE"/>
            </w:r>
            <w:r w:rsidRPr="00B67540">
              <w:rPr>
                <w:color w:val="000000"/>
              </w:rPr>
              <w:t>The Counter-Party’s estimated average daily generation</w:t>
            </w:r>
            <w:r>
              <w:t xml:space="preserve"> as determined by ERCOT based on information provided by the Counter-Party</w:t>
            </w:r>
            <w:r w:rsidRPr="00B67540">
              <w:rPr>
                <w:color w:val="000000"/>
              </w:rPr>
              <w:t>.</w:t>
            </w:r>
          </w:p>
        </w:tc>
      </w:tr>
      <w:tr w:rsidR="000370C5" w14:paraId="4DFF228B" w14:textId="77777777" w:rsidTr="000370C5">
        <w:tc>
          <w:tcPr>
            <w:tcW w:w="1574" w:type="dxa"/>
          </w:tcPr>
          <w:p w14:paraId="3A5000E3" w14:textId="77777777" w:rsidR="000370C5" w:rsidRPr="00B67540" w:rsidRDefault="000370C5" w:rsidP="000370C5">
            <w:pPr>
              <w:pStyle w:val="TableBody"/>
              <w:rPr>
                <w:color w:val="000000"/>
              </w:rPr>
            </w:pPr>
            <w:r w:rsidRPr="00B67540">
              <w:rPr>
                <w:color w:val="000000"/>
              </w:rPr>
              <w:t>RTEFG</w:t>
            </w:r>
          </w:p>
        </w:tc>
        <w:tc>
          <w:tcPr>
            <w:tcW w:w="874" w:type="dxa"/>
          </w:tcPr>
          <w:p w14:paraId="2A3ECAD3" w14:textId="77777777" w:rsidR="000370C5" w:rsidRPr="00B67540" w:rsidRDefault="000370C5" w:rsidP="000370C5">
            <w:pPr>
              <w:pStyle w:val="TableBody"/>
              <w:rPr>
                <w:color w:val="000000"/>
              </w:rPr>
            </w:pPr>
            <w:r w:rsidRPr="00B67540">
              <w:rPr>
                <w:color w:val="000000"/>
              </w:rPr>
              <w:t>none</w:t>
            </w:r>
          </w:p>
        </w:tc>
        <w:tc>
          <w:tcPr>
            <w:tcW w:w="6408" w:type="dxa"/>
          </w:tcPr>
          <w:p w14:paraId="45F7C9A2" w14:textId="77777777" w:rsidR="000370C5" w:rsidRPr="00B67540" w:rsidRDefault="000370C5" w:rsidP="009B0BEE">
            <w:pPr>
              <w:pStyle w:val="TableBody"/>
              <w:rPr>
                <w:color w:val="000000"/>
              </w:rPr>
            </w:pPr>
            <w:r w:rsidRPr="00B67540">
              <w:rPr>
                <w:i/>
                <w:color w:val="000000"/>
              </w:rPr>
              <w:t>Real-Time Energy Factor for Generation</w:t>
            </w:r>
            <w:r w:rsidRPr="00B67540">
              <w:rPr>
                <w:color w:val="000000"/>
              </w:rPr>
              <w:sym w:font="Symbol" w:char="F0BE"/>
            </w:r>
            <w:r>
              <w:t xml:space="preserve">The ratio of the Counter-Party’s </w:t>
            </w:r>
            <w:r w:rsidR="009B0BEE">
              <w:t xml:space="preserve">QSE to QSE </w:t>
            </w:r>
            <w:r>
              <w:t>estimated energy sales as determined by ERCOT based on information provided by the Counter-Party, to the Counter-Party’s Daily Estimated Generation.</w:t>
            </w:r>
          </w:p>
        </w:tc>
      </w:tr>
      <w:tr w:rsidR="000370C5" w14:paraId="0608F5DC" w14:textId="77777777" w:rsidTr="000370C5">
        <w:tc>
          <w:tcPr>
            <w:tcW w:w="1574" w:type="dxa"/>
          </w:tcPr>
          <w:p w14:paraId="4FDD0E67" w14:textId="77777777" w:rsidR="000370C5" w:rsidRPr="00B67540" w:rsidRDefault="000370C5" w:rsidP="000370C5">
            <w:pPr>
              <w:pStyle w:val="TableBody"/>
              <w:rPr>
                <w:color w:val="000000"/>
              </w:rPr>
            </w:pPr>
            <w:r w:rsidRPr="00B67540">
              <w:rPr>
                <w:color w:val="000000"/>
              </w:rPr>
              <w:t>RTAEP</w:t>
            </w:r>
          </w:p>
        </w:tc>
        <w:tc>
          <w:tcPr>
            <w:tcW w:w="874" w:type="dxa"/>
          </w:tcPr>
          <w:p w14:paraId="6E7E7270" w14:textId="77777777" w:rsidR="000370C5" w:rsidRPr="00B67540" w:rsidRDefault="000370C5" w:rsidP="000370C5">
            <w:pPr>
              <w:pStyle w:val="TableBody"/>
              <w:rPr>
                <w:color w:val="000000"/>
              </w:rPr>
            </w:pPr>
            <w:r w:rsidRPr="00B67540">
              <w:rPr>
                <w:color w:val="000000"/>
              </w:rPr>
              <w:t>$/MWh</w:t>
            </w:r>
          </w:p>
        </w:tc>
        <w:tc>
          <w:tcPr>
            <w:tcW w:w="6408" w:type="dxa"/>
          </w:tcPr>
          <w:p w14:paraId="03F9178C" w14:textId="77777777" w:rsidR="000370C5" w:rsidRPr="00B67540" w:rsidRDefault="000370C5" w:rsidP="000370C5">
            <w:pPr>
              <w:pStyle w:val="TableBody"/>
              <w:rPr>
                <w:color w:val="000000"/>
              </w:rPr>
            </w:pPr>
            <w:r w:rsidRPr="00B67540">
              <w:rPr>
                <w:i/>
                <w:color w:val="000000"/>
              </w:rPr>
              <w:t>Real-Time Average Energy Price</w:t>
            </w:r>
            <w:r w:rsidRPr="00B67540">
              <w:rPr>
                <w:color w:val="000000"/>
              </w:rPr>
              <w:sym w:font="Symbol" w:char="F0BE"/>
            </w:r>
            <w:r w:rsidRPr="00B67540">
              <w:rPr>
                <w:color w:val="000000"/>
              </w:rPr>
              <w:t>Average Settlement Point Price for the “ERCOT 345” as defined in Section 3.5.2.5 based upon the previous seven days average Real-Time Settlement Point Prices.</w:t>
            </w:r>
          </w:p>
        </w:tc>
      </w:tr>
    </w:tbl>
    <w:p w14:paraId="20CC9B8A" w14:textId="77777777" w:rsidR="000370C5" w:rsidRDefault="000370C5" w:rsidP="000370C5">
      <w:pPr>
        <w:pStyle w:val="List"/>
        <w:spacing w:before="240"/>
        <w:ind w:left="720"/>
      </w:pPr>
      <w:r>
        <w:t>(4)</w:t>
      </w:r>
      <w:r>
        <w:tab/>
        <w:t xml:space="preserve">For a Counter-Party that </w:t>
      </w:r>
      <w:r w:rsidR="00023149">
        <w:t>has</w:t>
      </w:r>
      <w:r>
        <w:t xml:space="preserve"> QSE</w:t>
      </w:r>
      <w:r w:rsidR="00023149">
        <w:t>s</w:t>
      </w:r>
      <w:r>
        <w:t xml:space="preserve"> representing both LSE and Resources, ERCOT shall calculate the Counter-Party’s IEL using the following formula:</w:t>
      </w:r>
    </w:p>
    <w:p w14:paraId="6477D3D3" w14:textId="77777777" w:rsidR="000370C5" w:rsidRDefault="000370C5" w:rsidP="000370C5">
      <w:pPr>
        <w:pStyle w:val="BodyText"/>
        <w:tabs>
          <w:tab w:val="left" w:pos="1440"/>
        </w:tabs>
        <w:ind w:left="2160" w:hanging="1440"/>
      </w:pPr>
      <w:r w:rsidRPr="00753977">
        <w:rPr>
          <w:b/>
        </w:rPr>
        <w:t>IEL</w:t>
      </w:r>
      <w:r w:rsidRPr="00753977">
        <w:rPr>
          <w:b/>
        </w:rPr>
        <w:tab/>
        <w:t>=</w:t>
      </w:r>
      <w:r w:rsidRPr="00753977">
        <w:rPr>
          <w:b/>
        </w:rPr>
        <w:tab/>
        <w:t xml:space="preserve">DEL * Max [0.1, RTEFL] * RTAEP </w:t>
      </w:r>
      <w:r w:rsidRPr="00753977">
        <w:t>*</w:t>
      </w:r>
      <w:r w:rsidRPr="00753977">
        <w:rPr>
          <w:b/>
        </w:rPr>
        <w:t xml:space="preserve"> (M1 + M2) + DEG * Max [0.1, RTEFG] * RTAEP * (M1 + M2)</w:t>
      </w:r>
    </w:p>
    <w:p w14:paraId="6406258F" w14:textId="77777777" w:rsidR="000370C5" w:rsidRDefault="000370C5" w:rsidP="000370C5">
      <w:pPr>
        <w:pStyle w:val="BodyTextIndent"/>
        <w:spacing w:after="0"/>
        <w:ind w:left="0"/>
        <w:rPr>
          <w:iCs w:val="0"/>
        </w:rPr>
      </w:pPr>
      <w:r>
        <w:rPr>
          <w:iCs w:val="0"/>
        </w:rPr>
        <w:t xml:space="preserve">The above variables are defined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74"/>
        <w:gridCol w:w="6408"/>
      </w:tblGrid>
      <w:tr w:rsidR="000370C5" w14:paraId="57A3DB74" w14:textId="77777777" w:rsidTr="000370C5">
        <w:trPr>
          <w:cantSplit/>
          <w:tblHeader/>
        </w:trPr>
        <w:tc>
          <w:tcPr>
            <w:tcW w:w="1574" w:type="dxa"/>
          </w:tcPr>
          <w:p w14:paraId="5ADBCBF8" w14:textId="77777777" w:rsidR="000370C5" w:rsidRDefault="000370C5" w:rsidP="000370C5">
            <w:pPr>
              <w:pStyle w:val="TableHead"/>
            </w:pPr>
            <w:r>
              <w:lastRenderedPageBreak/>
              <w:t>Variable</w:t>
            </w:r>
          </w:p>
        </w:tc>
        <w:tc>
          <w:tcPr>
            <w:tcW w:w="874" w:type="dxa"/>
          </w:tcPr>
          <w:p w14:paraId="3D2CCDF3" w14:textId="77777777" w:rsidR="000370C5" w:rsidRDefault="000370C5" w:rsidP="000370C5">
            <w:pPr>
              <w:pStyle w:val="TableHead"/>
            </w:pPr>
            <w:r>
              <w:t>Unit</w:t>
            </w:r>
          </w:p>
        </w:tc>
        <w:tc>
          <w:tcPr>
            <w:tcW w:w="6408" w:type="dxa"/>
          </w:tcPr>
          <w:p w14:paraId="7AE5A97B" w14:textId="77777777" w:rsidR="000370C5" w:rsidRDefault="000370C5" w:rsidP="000370C5">
            <w:pPr>
              <w:pStyle w:val="TableHead"/>
            </w:pPr>
            <w:r>
              <w:t>Description</w:t>
            </w:r>
          </w:p>
        </w:tc>
      </w:tr>
      <w:tr w:rsidR="000370C5" w14:paraId="6AA9984A" w14:textId="77777777" w:rsidTr="000370C5">
        <w:trPr>
          <w:cantSplit/>
          <w:tblHeader/>
        </w:trPr>
        <w:tc>
          <w:tcPr>
            <w:tcW w:w="1574" w:type="dxa"/>
          </w:tcPr>
          <w:p w14:paraId="4426D013" w14:textId="77777777" w:rsidR="000370C5" w:rsidRDefault="000370C5" w:rsidP="000370C5">
            <w:pPr>
              <w:pStyle w:val="TableBody"/>
            </w:pPr>
            <w:r>
              <w:t>IEL</w:t>
            </w:r>
          </w:p>
        </w:tc>
        <w:tc>
          <w:tcPr>
            <w:tcW w:w="874" w:type="dxa"/>
          </w:tcPr>
          <w:p w14:paraId="20094810" w14:textId="77777777" w:rsidR="000370C5" w:rsidRDefault="000370C5" w:rsidP="000370C5">
            <w:pPr>
              <w:pStyle w:val="TableBody"/>
            </w:pPr>
            <w:r>
              <w:t>$</w:t>
            </w:r>
          </w:p>
        </w:tc>
        <w:tc>
          <w:tcPr>
            <w:tcW w:w="6408" w:type="dxa"/>
          </w:tcPr>
          <w:p w14:paraId="1F1E5B84" w14:textId="77777777" w:rsidR="000370C5" w:rsidRDefault="000370C5" w:rsidP="000370C5">
            <w:pPr>
              <w:pStyle w:val="TableBody"/>
            </w:pPr>
            <w:r w:rsidRPr="00B67540">
              <w:rPr>
                <w:i/>
              </w:rPr>
              <w:t>Initial Estimated Liability</w:t>
            </w:r>
            <w:r w:rsidRPr="00B67540">
              <w:sym w:font="Symbol" w:char="F0BE"/>
            </w:r>
            <w:r>
              <w:t>The Counter-Party’s Initial Estimated Liability.</w:t>
            </w:r>
          </w:p>
        </w:tc>
      </w:tr>
      <w:tr w:rsidR="000370C5" w14:paraId="0A6C37C5" w14:textId="77777777" w:rsidTr="000370C5">
        <w:trPr>
          <w:cantSplit/>
          <w:trHeight w:val="89"/>
          <w:tblHeader/>
        </w:trPr>
        <w:tc>
          <w:tcPr>
            <w:tcW w:w="1574" w:type="dxa"/>
          </w:tcPr>
          <w:p w14:paraId="074437B6" w14:textId="77777777" w:rsidR="000370C5" w:rsidRDefault="000370C5" w:rsidP="000370C5">
            <w:pPr>
              <w:pStyle w:val="TableBody"/>
            </w:pPr>
            <w:smartTag w:uri="urn:schemas-microsoft-com:office:smarttags" w:element="place">
              <w:smartTag w:uri="urn:schemas-microsoft-com:office:smarttags" w:element="State">
                <w:r>
                  <w:t>DEL</w:t>
                </w:r>
              </w:smartTag>
            </w:smartTag>
          </w:p>
        </w:tc>
        <w:tc>
          <w:tcPr>
            <w:tcW w:w="874" w:type="dxa"/>
          </w:tcPr>
          <w:p w14:paraId="5F19F903" w14:textId="77777777" w:rsidR="000370C5" w:rsidRDefault="000370C5" w:rsidP="000370C5">
            <w:pPr>
              <w:pStyle w:val="TableBody"/>
            </w:pPr>
            <w:r>
              <w:t>MWh</w:t>
            </w:r>
          </w:p>
        </w:tc>
        <w:tc>
          <w:tcPr>
            <w:tcW w:w="6408" w:type="dxa"/>
          </w:tcPr>
          <w:p w14:paraId="0272D544" w14:textId="77777777" w:rsidR="000370C5" w:rsidRDefault="000370C5" w:rsidP="000370C5">
            <w:pPr>
              <w:pStyle w:val="TableBody"/>
            </w:pPr>
            <w:r w:rsidRPr="00B67540">
              <w:rPr>
                <w:i/>
              </w:rPr>
              <w:t>Daily Estimated Load</w:t>
            </w:r>
            <w:r w:rsidRPr="00B67540">
              <w:sym w:font="Symbol" w:char="F0BE"/>
            </w:r>
            <w:r>
              <w:t>The Counter-Party’s estimated average daily Load as determined by ERCOT based on information provided by the Counter-Party.</w:t>
            </w:r>
          </w:p>
        </w:tc>
      </w:tr>
      <w:tr w:rsidR="000370C5" w14:paraId="4D81AF51" w14:textId="77777777" w:rsidTr="000370C5">
        <w:trPr>
          <w:cantSplit/>
          <w:tblHeader/>
        </w:trPr>
        <w:tc>
          <w:tcPr>
            <w:tcW w:w="1574" w:type="dxa"/>
          </w:tcPr>
          <w:p w14:paraId="74A43E88" w14:textId="77777777" w:rsidR="000370C5" w:rsidRDefault="000370C5" w:rsidP="000370C5">
            <w:pPr>
              <w:pStyle w:val="TableBody"/>
            </w:pPr>
            <w:r>
              <w:t>DEG</w:t>
            </w:r>
          </w:p>
        </w:tc>
        <w:tc>
          <w:tcPr>
            <w:tcW w:w="874" w:type="dxa"/>
          </w:tcPr>
          <w:p w14:paraId="5BFFE08E" w14:textId="77777777" w:rsidR="000370C5" w:rsidRDefault="000370C5" w:rsidP="000370C5">
            <w:pPr>
              <w:pStyle w:val="TableBody"/>
            </w:pPr>
            <w:r>
              <w:t>MWh</w:t>
            </w:r>
          </w:p>
        </w:tc>
        <w:tc>
          <w:tcPr>
            <w:tcW w:w="6408" w:type="dxa"/>
          </w:tcPr>
          <w:p w14:paraId="02568D91" w14:textId="77777777" w:rsidR="000370C5" w:rsidRDefault="000370C5" w:rsidP="000370C5">
            <w:pPr>
              <w:pStyle w:val="TableBody"/>
            </w:pPr>
            <w:r w:rsidRPr="00B67540">
              <w:rPr>
                <w:i/>
              </w:rPr>
              <w:t>Daily Estimated Generation</w:t>
            </w:r>
            <w:r w:rsidRPr="00B67540">
              <w:sym w:font="Symbol" w:char="F0BE"/>
            </w:r>
            <w:r w:rsidRPr="00B67540">
              <w:rPr>
                <w:color w:val="000000"/>
              </w:rPr>
              <w:t>The Counter-Party’s estimated average daily generation</w:t>
            </w:r>
            <w:r>
              <w:t xml:space="preserve"> as determined by ERCOT based on information provided by the Counter-Party</w:t>
            </w:r>
            <w:r w:rsidRPr="00B67540">
              <w:rPr>
                <w:color w:val="000000"/>
              </w:rPr>
              <w:t>.</w:t>
            </w:r>
          </w:p>
        </w:tc>
      </w:tr>
      <w:tr w:rsidR="000370C5" w14:paraId="42BB3D32" w14:textId="77777777" w:rsidTr="000370C5">
        <w:trPr>
          <w:cantSplit/>
          <w:tblHeader/>
        </w:trPr>
        <w:tc>
          <w:tcPr>
            <w:tcW w:w="1574" w:type="dxa"/>
          </w:tcPr>
          <w:p w14:paraId="032FA6C0" w14:textId="77777777" w:rsidR="000370C5" w:rsidRDefault="000370C5" w:rsidP="000370C5">
            <w:pPr>
              <w:pStyle w:val="TableBody"/>
            </w:pPr>
            <w:r>
              <w:t>RTEFL</w:t>
            </w:r>
          </w:p>
        </w:tc>
        <w:tc>
          <w:tcPr>
            <w:tcW w:w="874" w:type="dxa"/>
          </w:tcPr>
          <w:p w14:paraId="561CC294" w14:textId="77777777" w:rsidR="000370C5" w:rsidRDefault="000370C5" w:rsidP="000370C5">
            <w:pPr>
              <w:pStyle w:val="TableBody"/>
            </w:pPr>
            <w:r>
              <w:t>none</w:t>
            </w:r>
          </w:p>
        </w:tc>
        <w:tc>
          <w:tcPr>
            <w:tcW w:w="6408" w:type="dxa"/>
          </w:tcPr>
          <w:p w14:paraId="286195C4" w14:textId="77777777" w:rsidR="000370C5" w:rsidRDefault="000370C5" w:rsidP="000370C5">
            <w:pPr>
              <w:pStyle w:val="TableBody"/>
            </w:pPr>
            <w:r w:rsidRPr="00B67540">
              <w:rPr>
                <w:i/>
              </w:rPr>
              <w:t>Real-Time Energy Factor for Load</w:t>
            </w:r>
            <w:r w:rsidRPr="00B67540">
              <w:sym w:font="Symbol" w:char="F0BE"/>
            </w:r>
            <w:r>
              <w:t>The ratio of the Counter-Party’s estimated energy purchases in the RTM as determined by ERCOT based on information provided by the Counter-Party, to the Counter-Party’s Daily Estimated Load.</w:t>
            </w:r>
          </w:p>
        </w:tc>
      </w:tr>
      <w:tr w:rsidR="000370C5" w14:paraId="537F599D" w14:textId="77777777" w:rsidTr="000370C5">
        <w:trPr>
          <w:cantSplit/>
          <w:tblHeader/>
        </w:trPr>
        <w:tc>
          <w:tcPr>
            <w:tcW w:w="1574" w:type="dxa"/>
          </w:tcPr>
          <w:p w14:paraId="24277B76" w14:textId="77777777" w:rsidR="000370C5" w:rsidRDefault="000370C5" w:rsidP="000370C5">
            <w:pPr>
              <w:pStyle w:val="TableBody"/>
            </w:pPr>
            <w:r>
              <w:t>RTAEP</w:t>
            </w:r>
          </w:p>
        </w:tc>
        <w:tc>
          <w:tcPr>
            <w:tcW w:w="874" w:type="dxa"/>
          </w:tcPr>
          <w:p w14:paraId="19B81E9C" w14:textId="77777777" w:rsidR="000370C5" w:rsidRDefault="000370C5" w:rsidP="000370C5">
            <w:pPr>
              <w:pStyle w:val="TableBody"/>
            </w:pPr>
            <w:r>
              <w:t>$/MWh</w:t>
            </w:r>
          </w:p>
        </w:tc>
        <w:tc>
          <w:tcPr>
            <w:tcW w:w="6408" w:type="dxa"/>
          </w:tcPr>
          <w:p w14:paraId="477AF7C0" w14:textId="77777777" w:rsidR="000370C5" w:rsidRDefault="000370C5" w:rsidP="000370C5">
            <w:pPr>
              <w:pStyle w:val="TableBody"/>
            </w:pPr>
            <w:r w:rsidRPr="00B67540">
              <w:rPr>
                <w:i/>
              </w:rPr>
              <w:t>Real-Time Average Energy Price</w:t>
            </w:r>
            <w:r w:rsidRPr="00B67540">
              <w:sym w:font="Symbol" w:char="F0BE"/>
            </w:r>
            <w:r w:rsidRPr="00B67540">
              <w:rPr>
                <w:color w:val="000000"/>
              </w:rPr>
              <w:t>Average Settlement Point Price for the “ERCOT 345” as defined in Section 3.5.2.5 based upon the previous seven days’ average Real-Time Settlement Point Prices.</w:t>
            </w:r>
          </w:p>
        </w:tc>
      </w:tr>
      <w:tr w:rsidR="000370C5" w14:paraId="78F5152D" w14:textId="77777777" w:rsidTr="000370C5">
        <w:tblPrEx>
          <w:tblLook w:val="01E0" w:firstRow="1" w:lastRow="1" w:firstColumn="1" w:lastColumn="1" w:noHBand="0" w:noVBand="0"/>
        </w:tblPrEx>
        <w:trPr>
          <w:cantSplit/>
          <w:tblHeader/>
        </w:trPr>
        <w:tc>
          <w:tcPr>
            <w:tcW w:w="1574" w:type="dxa"/>
          </w:tcPr>
          <w:p w14:paraId="579DC635" w14:textId="77777777" w:rsidR="000370C5" w:rsidRDefault="000370C5" w:rsidP="000370C5">
            <w:pPr>
              <w:pStyle w:val="TableBody"/>
            </w:pPr>
            <w:r>
              <w:t>RTEFG</w:t>
            </w:r>
          </w:p>
        </w:tc>
        <w:tc>
          <w:tcPr>
            <w:tcW w:w="874" w:type="dxa"/>
          </w:tcPr>
          <w:p w14:paraId="5AC9C7DA" w14:textId="77777777" w:rsidR="000370C5" w:rsidRDefault="000370C5" w:rsidP="000370C5">
            <w:pPr>
              <w:pStyle w:val="TableBody"/>
            </w:pPr>
            <w:r>
              <w:t>none</w:t>
            </w:r>
          </w:p>
        </w:tc>
        <w:tc>
          <w:tcPr>
            <w:tcW w:w="6408" w:type="dxa"/>
          </w:tcPr>
          <w:p w14:paraId="0A04E5EB" w14:textId="77777777" w:rsidR="000370C5" w:rsidRPr="00B67540" w:rsidRDefault="000370C5" w:rsidP="009B0BEE">
            <w:pPr>
              <w:pStyle w:val="TableBody"/>
              <w:rPr>
                <w:i/>
              </w:rPr>
            </w:pPr>
            <w:r w:rsidRPr="00B67540">
              <w:rPr>
                <w:i/>
              </w:rPr>
              <w:t>Real-Time Energy Factor for Generation</w:t>
            </w:r>
            <w:r>
              <w:t xml:space="preserve">—The ratio of the Counter-Party’s </w:t>
            </w:r>
            <w:r w:rsidR="009B0BEE">
              <w:t xml:space="preserve">QSE to QSE </w:t>
            </w:r>
            <w:r>
              <w:t>estimated energy sales as determined by ERCOT, based on information provided by the Counter-Party, to the Counter-Party’s Daily Estimated Generation.</w:t>
            </w:r>
          </w:p>
        </w:tc>
      </w:tr>
    </w:tbl>
    <w:p w14:paraId="6D3A5103" w14:textId="77777777" w:rsidR="009B0BEE" w:rsidRDefault="00727E32" w:rsidP="004A233E">
      <w:pPr>
        <w:pStyle w:val="List"/>
        <w:spacing w:before="240"/>
        <w:ind w:left="720"/>
      </w:pPr>
      <w:r>
        <w:t>(5)</w:t>
      </w:r>
      <w:r>
        <w:tab/>
      </w:r>
      <w:r w:rsidR="009B0BEE">
        <w:t xml:space="preserve">For a Counter-Party that has all its QSEs representing neither Load nor generation, and that is not representing a CRR Account Holder, the IEL is equal to IMCE as defined in paragraph (2) of Section 16.11.4.1, </w:t>
      </w:r>
      <w:r w:rsidR="009B0BEE" w:rsidRPr="004526B8">
        <w:t>Determination of Total Potential Exposure for a Counter-Party</w:t>
      </w:r>
      <w:r w:rsidR="009B0BEE">
        <w:t>.</w:t>
      </w:r>
    </w:p>
    <w:p w14:paraId="7142CF0E" w14:textId="77777777" w:rsidR="00082575" w:rsidRDefault="009B0BEE" w:rsidP="009B0BEE">
      <w:pPr>
        <w:spacing w:after="240"/>
      </w:pPr>
      <w:r>
        <w:t>(6)</w:t>
      </w:r>
      <w:r>
        <w:tab/>
      </w:r>
      <w:r w:rsidR="00727E32">
        <w:t>For a Counter-Party that is only a CRR Account Holder and is not a QSE, the IEL is zero.</w:t>
      </w:r>
    </w:p>
    <w:p w14:paraId="2B0E4CBD" w14:textId="77777777" w:rsidR="00AF167A" w:rsidRPr="0002450E" w:rsidRDefault="00AF167A" w:rsidP="00AF167A">
      <w:pPr>
        <w:pStyle w:val="H4"/>
        <w:rPr>
          <w:b/>
          <w:bCs/>
        </w:rPr>
      </w:pPr>
      <w:bookmarkStart w:id="463" w:name="_Toc390438968"/>
      <w:bookmarkStart w:id="464" w:name="_Toc405897665"/>
      <w:bookmarkStart w:id="465" w:name="_Toc415055769"/>
      <w:bookmarkStart w:id="466" w:name="_Toc415055895"/>
      <w:bookmarkStart w:id="467" w:name="_Toc415055994"/>
      <w:bookmarkStart w:id="468" w:name="_Toc415056095"/>
      <w:bookmarkStart w:id="469" w:name="_Toc70591636"/>
      <w:r w:rsidRPr="0002450E">
        <w:rPr>
          <w:b/>
          <w:bCs/>
        </w:rPr>
        <w:t>16.11.4.3</w:t>
      </w:r>
      <w:r w:rsidRPr="0002450E">
        <w:rPr>
          <w:b/>
          <w:bCs/>
        </w:rPr>
        <w:tab/>
        <w:t>Determination of Counter-Party Estimated Aggregate Liability</w:t>
      </w:r>
      <w:bookmarkEnd w:id="463"/>
      <w:bookmarkEnd w:id="464"/>
      <w:bookmarkEnd w:id="465"/>
      <w:bookmarkEnd w:id="466"/>
      <w:bookmarkEnd w:id="467"/>
      <w:bookmarkEnd w:id="468"/>
      <w:bookmarkEnd w:id="469"/>
    </w:p>
    <w:p w14:paraId="5EA2C3DA" w14:textId="77777777" w:rsidR="00DF0271" w:rsidRDefault="00DF0271" w:rsidP="00DF0271">
      <w:pPr>
        <w:pStyle w:val="List"/>
        <w:ind w:left="720"/>
      </w:pPr>
      <w:r>
        <w:t>(1)</w:t>
      </w:r>
      <w:r>
        <w:tab/>
        <w:t xml:space="preserve">After a Counter-Party commences activity in ERCOT markets, ERCOT shall monitor and calculate the Counter-Party’s EAL based on the formulas below.  </w:t>
      </w:r>
    </w:p>
    <w:p w14:paraId="25407031" w14:textId="77777777" w:rsidR="00DF0271" w:rsidRPr="00183BC3" w:rsidRDefault="00DF0271" w:rsidP="00DF0271">
      <w:pPr>
        <w:pStyle w:val="BodyText"/>
        <w:tabs>
          <w:tab w:val="left" w:pos="1440"/>
        </w:tabs>
        <w:ind w:left="2160" w:hanging="1440"/>
        <w:rPr>
          <w:b/>
          <w:i/>
        </w:rPr>
      </w:pPr>
      <w:r w:rsidRPr="00753977">
        <w:rPr>
          <w:b/>
        </w:rPr>
        <w:t>EAL</w:t>
      </w:r>
      <w:r>
        <w:rPr>
          <w:b/>
        </w:rPr>
        <w:t xml:space="preserve"> </w:t>
      </w:r>
      <w:r w:rsidRPr="00D77426">
        <w:rPr>
          <w:b/>
          <w:i/>
          <w:vertAlign w:val="subscript"/>
        </w:rPr>
        <w:t>q</w:t>
      </w:r>
      <w:r w:rsidRPr="00277384">
        <w:rPr>
          <w:b/>
        </w:rPr>
        <w:t xml:space="preserve"> </w:t>
      </w:r>
      <w:r w:rsidRPr="00753977">
        <w:rPr>
          <w:b/>
        </w:rPr>
        <w:tab/>
        <w:t xml:space="preserve">= </w:t>
      </w:r>
      <w:r w:rsidRPr="00753977">
        <w:rPr>
          <w:b/>
        </w:rPr>
        <w:tab/>
      </w:r>
      <w:r w:rsidRPr="00D77426">
        <w:rPr>
          <w:b/>
        </w:rPr>
        <w:t>Max [IEL</w:t>
      </w:r>
      <w:r>
        <w:rPr>
          <w:b/>
        </w:rPr>
        <w:t xml:space="preserve"> during the first 40-day period only beginning on the date that the Counter-Party commences activity in ERCOT markets</w:t>
      </w:r>
      <w:r w:rsidRPr="00D77426">
        <w:rPr>
          <w:b/>
        </w:rPr>
        <w:t xml:space="preserve">, </w:t>
      </w:r>
      <w:r>
        <w:rPr>
          <w:b/>
        </w:rPr>
        <w:t xml:space="preserve">RFAF * </w:t>
      </w:r>
      <w:r w:rsidRPr="00D77426">
        <w:rPr>
          <w:b/>
        </w:rPr>
        <w:t xml:space="preserve">Max {RTLE during the previous </w:t>
      </w:r>
      <w:r w:rsidRPr="00934A67">
        <w:rPr>
          <w:b/>
          <w:i/>
        </w:rPr>
        <w:t>lrq</w:t>
      </w:r>
      <w:r>
        <w:rPr>
          <w:b/>
          <w:i/>
        </w:rPr>
        <w:t xml:space="preserve"> </w:t>
      </w:r>
      <w:r w:rsidRPr="00D77426">
        <w:rPr>
          <w:b/>
        </w:rPr>
        <w:t>day</w:t>
      </w:r>
      <w:r>
        <w:rPr>
          <w:b/>
        </w:rPr>
        <w:t>s</w:t>
      </w:r>
      <w:r w:rsidRPr="00D77426">
        <w:rPr>
          <w:b/>
        </w:rPr>
        <w:t>}, RTLF]</w:t>
      </w:r>
      <w:r>
        <w:rPr>
          <w:b/>
        </w:rPr>
        <w:t xml:space="preserve"> + DFAF * DALE</w:t>
      </w:r>
      <w:r w:rsidRPr="00D77426">
        <w:rPr>
          <w:b/>
        </w:rPr>
        <w:t xml:space="preserve"> + Max [RTLCNS, Max {URTA during the previous </w:t>
      </w:r>
      <w:r w:rsidRPr="00934A67">
        <w:rPr>
          <w:b/>
          <w:i/>
        </w:rPr>
        <w:t>lrq</w:t>
      </w:r>
      <w:r>
        <w:rPr>
          <w:b/>
          <w:i/>
        </w:rPr>
        <w:t xml:space="preserve"> </w:t>
      </w:r>
      <w:r w:rsidRPr="00D77426">
        <w:rPr>
          <w:b/>
        </w:rPr>
        <w:t>day</w:t>
      </w:r>
      <w:r>
        <w:rPr>
          <w:b/>
        </w:rPr>
        <w:t>s</w:t>
      </w:r>
      <w:r w:rsidRPr="00D77426">
        <w:rPr>
          <w:b/>
        </w:rPr>
        <w:t>}] + OUT</w:t>
      </w:r>
      <w:r w:rsidRPr="00277384">
        <w:rPr>
          <w:b/>
          <w:i/>
          <w:vertAlign w:val="subscript"/>
        </w:rPr>
        <w:t xml:space="preserve"> q</w:t>
      </w:r>
      <w:r w:rsidRPr="00753977">
        <w:rPr>
          <w:b/>
        </w:rPr>
        <w:t xml:space="preserve"> </w:t>
      </w:r>
      <w:r>
        <w:rPr>
          <w:b/>
        </w:rPr>
        <w:t>+ ILE</w:t>
      </w:r>
      <w:r>
        <w:rPr>
          <w:b/>
          <w:vertAlign w:val="subscript"/>
        </w:rPr>
        <w:t xml:space="preserve"> </w:t>
      </w:r>
      <w:r>
        <w:rPr>
          <w:b/>
          <w:i/>
          <w:vertAlign w:val="subscript"/>
        </w:rPr>
        <w:t>q</w:t>
      </w:r>
    </w:p>
    <w:p w14:paraId="341CD427" w14:textId="77777777" w:rsidR="00DF0271" w:rsidRDefault="00DF0271" w:rsidP="00DF0271">
      <w:pPr>
        <w:pStyle w:val="BodyText"/>
        <w:tabs>
          <w:tab w:val="left" w:pos="1440"/>
        </w:tabs>
        <w:ind w:left="2160" w:hanging="1440"/>
        <w:rPr>
          <w:b/>
        </w:rPr>
      </w:pPr>
      <w:r w:rsidRPr="004F59D3">
        <w:rPr>
          <w:b/>
        </w:rPr>
        <w:t xml:space="preserve">EAL </w:t>
      </w:r>
      <w:r w:rsidRPr="004F59D3">
        <w:rPr>
          <w:b/>
          <w:i/>
          <w:vertAlign w:val="subscript"/>
        </w:rPr>
        <w:t>t</w:t>
      </w:r>
      <w:r w:rsidRPr="004F59D3">
        <w:rPr>
          <w:b/>
        </w:rPr>
        <w:t xml:space="preserve"> = </w:t>
      </w:r>
      <w:r w:rsidRPr="004F59D3">
        <w:rPr>
          <w:b/>
        </w:rPr>
        <w:tab/>
        <w:t xml:space="preserve">Max [RFAF * Max {RTLE during the previous </w:t>
      </w:r>
      <w:r w:rsidRPr="004F59D3">
        <w:rPr>
          <w:b/>
          <w:i/>
        </w:rPr>
        <w:t>lrt</w:t>
      </w:r>
      <w:r w:rsidRPr="004F59D3">
        <w:rPr>
          <w:b/>
        </w:rPr>
        <w:t xml:space="preserve"> days}, RTLF] + DFAF * DALE + Max [RTLCNS, Max {URTA during the previous </w:t>
      </w:r>
      <w:r w:rsidRPr="004F59D3">
        <w:rPr>
          <w:b/>
          <w:i/>
        </w:rPr>
        <w:t>lrt</w:t>
      </w:r>
      <w:r w:rsidRPr="004F59D3">
        <w:rPr>
          <w:b/>
        </w:rPr>
        <w:t xml:space="preserve"> days}] + OUT</w:t>
      </w:r>
      <w:r w:rsidRPr="004F59D3">
        <w:rPr>
          <w:b/>
          <w:i/>
          <w:vertAlign w:val="subscript"/>
        </w:rPr>
        <w:t xml:space="preserve"> t</w:t>
      </w:r>
      <w:r w:rsidRPr="00753977">
        <w:rPr>
          <w:b/>
        </w:rPr>
        <w:t xml:space="preserve"> </w:t>
      </w:r>
    </w:p>
    <w:p w14:paraId="5103B987" w14:textId="77777777" w:rsidR="00DF0271" w:rsidRDefault="00DF0271" w:rsidP="00DF0271">
      <w:pPr>
        <w:pStyle w:val="BodyText"/>
        <w:tabs>
          <w:tab w:val="left" w:pos="1440"/>
        </w:tabs>
        <w:ind w:left="2160" w:hanging="1440"/>
        <w:rPr>
          <w:b/>
          <w:i/>
          <w:vertAlign w:val="subscript"/>
        </w:rPr>
      </w:pPr>
      <w:r w:rsidRPr="00D77426">
        <w:rPr>
          <w:b/>
        </w:rPr>
        <w:t>EAL</w:t>
      </w:r>
      <w:r>
        <w:rPr>
          <w:b/>
        </w:rPr>
        <w:t xml:space="preserve"> </w:t>
      </w:r>
      <w:r w:rsidRPr="00D77426">
        <w:rPr>
          <w:b/>
          <w:i/>
          <w:vertAlign w:val="subscript"/>
        </w:rPr>
        <w:t>a</w:t>
      </w:r>
      <w:r w:rsidRPr="00D77426">
        <w:rPr>
          <w:b/>
        </w:rPr>
        <w:t xml:space="preserve"> =</w:t>
      </w:r>
      <w:r>
        <w:rPr>
          <w:b/>
        </w:rPr>
        <w:tab/>
      </w:r>
      <w:r w:rsidRPr="00D77426">
        <w:rPr>
          <w:b/>
        </w:rPr>
        <w:t>OUT</w:t>
      </w:r>
      <w:r w:rsidRPr="00277384">
        <w:rPr>
          <w:b/>
          <w:i/>
          <w:vertAlign w:val="subscript"/>
        </w:rPr>
        <w:t xml:space="preserve"> a</w:t>
      </w:r>
    </w:p>
    <w:p w14:paraId="16F15653" w14:textId="77777777" w:rsidR="00DF0271" w:rsidRPr="00C42795" w:rsidRDefault="00DF0271" w:rsidP="00DF0271">
      <w:pPr>
        <w:pStyle w:val="BodyText"/>
        <w:tabs>
          <w:tab w:val="left" w:pos="1440"/>
        </w:tabs>
        <w:rPr>
          <w:b/>
          <w:bCs/>
        </w:rPr>
      </w:pPr>
      <w:r w:rsidRPr="00AE1A71">
        <w:t xml:space="preserve">ERCOT </w:t>
      </w:r>
      <w:r>
        <w:t xml:space="preserve">may </w:t>
      </w:r>
      <w:r w:rsidRPr="00AE1A71">
        <w:t xml:space="preserve">adjust the number of days used in determining the highest RTLE and/or URTA, and/or to exclude specific Operating Days to calculate </w:t>
      </w:r>
      <w:r>
        <w:t>RTLE</w:t>
      </w:r>
      <w:r w:rsidRPr="00AE1A71">
        <w:t xml:space="preserve">, URTA, </w:t>
      </w:r>
      <w:r>
        <w:t xml:space="preserve">OUT, </w:t>
      </w:r>
      <w:r w:rsidRPr="00AE1A71">
        <w:t>or DALE</w:t>
      </w:r>
      <w:r>
        <w:t>.</w:t>
      </w:r>
    </w:p>
    <w:p w14:paraId="43895F4E" w14:textId="77777777" w:rsidR="00DF0271" w:rsidRDefault="00DF0271" w:rsidP="00DF0271">
      <w:pPr>
        <w:pStyle w:val="BodyTextIndent"/>
        <w:spacing w:after="0"/>
        <w:ind w:left="0"/>
        <w:rPr>
          <w:iCs w:val="0"/>
        </w:rPr>
      </w:pPr>
      <w:r>
        <w:rPr>
          <w:iCs w:val="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DF0271" w:rsidRPr="003D0DC1" w14:paraId="58EAB5C6" w14:textId="77777777" w:rsidTr="0031595F">
        <w:trPr>
          <w:trHeight w:val="351"/>
          <w:tblHeader/>
        </w:trPr>
        <w:tc>
          <w:tcPr>
            <w:tcW w:w="1503" w:type="dxa"/>
          </w:tcPr>
          <w:p w14:paraId="081A132C" w14:textId="77777777" w:rsidR="00DF0271" w:rsidRPr="00BE4766" w:rsidRDefault="00DF0271" w:rsidP="0031595F">
            <w:pPr>
              <w:pStyle w:val="TableHead"/>
            </w:pPr>
            <w:r w:rsidRPr="00BE4766">
              <w:lastRenderedPageBreak/>
              <w:t>Variable</w:t>
            </w:r>
          </w:p>
        </w:tc>
        <w:tc>
          <w:tcPr>
            <w:tcW w:w="886" w:type="dxa"/>
          </w:tcPr>
          <w:p w14:paraId="6B5E3EAC" w14:textId="77777777" w:rsidR="00DF0271" w:rsidRPr="00BE4766" w:rsidRDefault="00DF0271" w:rsidP="0031595F">
            <w:pPr>
              <w:pStyle w:val="TableHead"/>
            </w:pPr>
            <w:r w:rsidRPr="00BE4766">
              <w:t>Unit</w:t>
            </w:r>
          </w:p>
        </w:tc>
        <w:tc>
          <w:tcPr>
            <w:tcW w:w="6701" w:type="dxa"/>
          </w:tcPr>
          <w:p w14:paraId="19973576" w14:textId="77777777" w:rsidR="00DF0271" w:rsidRPr="00BE4766" w:rsidRDefault="00DF0271" w:rsidP="0031595F">
            <w:pPr>
              <w:pStyle w:val="TableHead"/>
            </w:pPr>
            <w:r w:rsidRPr="00BE4766">
              <w:t>Description</w:t>
            </w:r>
          </w:p>
        </w:tc>
      </w:tr>
      <w:tr w:rsidR="00DF0271" w:rsidRPr="003D0DC1" w14:paraId="552B0677" w14:textId="77777777" w:rsidTr="0031595F">
        <w:trPr>
          <w:trHeight w:val="519"/>
        </w:trPr>
        <w:tc>
          <w:tcPr>
            <w:tcW w:w="1503" w:type="dxa"/>
          </w:tcPr>
          <w:p w14:paraId="3F4C58D4" w14:textId="77777777" w:rsidR="00DF0271" w:rsidRPr="00BE4766" w:rsidRDefault="00DF0271" w:rsidP="0031595F">
            <w:pPr>
              <w:pStyle w:val="TableBody"/>
            </w:pPr>
            <w:r w:rsidRPr="00BE4766">
              <w:t>EAL</w:t>
            </w:r>
            <w:r w:rsidRPr="00277384">
              <w:rPr>
                <w:b/>
                <w:i/>
                <w:vertAlign w:val="subscript"/>
              </w:rPr>
              <w:t xml:space="preserve"> </w:t>
            </w:r>
            <w:r w:rsidRPr="00D36347">
              <w:rPr>
                <w:i/>
                <w:vertAlign w:val="subscript"/>
              </w:rPr>
              <w:t>q</w:t>
            </w:r>
          </w:p>
        </w:tc>
        <w:tc>
          <w:tcPr>
            <w:tcW w:w="886" w:type="dxa"/>
          </w:tcPr>
          <w:p w14:paraId="6EF88611" w14:textId="77777777" w:rsidR="00DF0271" w:rsidRPr="00BE4766" w:rsidRDefault="00DF0271" w:rsidP="0031595F">
            <w:pPr>
              <w:pStyle w:val="TableBody"/>
            </w:pPr>
            <w:r w:rsidRPr="00BE4766">
              <w:t>$</w:t>
            </w:r>
          </w:p>
        </w:tc>
        <w:tc>
          <w:tcPr>
            <w:tcW w:w="6701" w:type="dxa"/>
          </w:tcPr>
          <w:p w14:paraId="4F3C3E33" w14:textId="77777777" w:rsidR="00DF0271" w:rsidRPr="00BE4766" w:rsidRDefault="00DF0271" w:rsidP="0031595F">
            <w:pPr>
              <w:pStyle w:val="TableBody"/>
              <w:rPr>
                <w:i/>
              </w:rPr>
            </w:pPr>
            <w:r w:rsidRPr="00BE4766">
              <w:rPr>
                <w:i/>
              </w:rPr>
              <w:t xml:space="preserve">Estimated Aggregate Liability for </w:t>
            </w:r>
            <w:r>
              <w:rPr>
                <w:i/>
              </w:rPr>
              <w:t>all the</w:t>
            </w:r>
            <w:r w:rsidRPr="00BE4766">
              <w:rPr>
                <w:i/>
              </w:rPr>
              <w:t xml:space="preserve"> QSE</w:t>
            </w:r>
            <w:r>
              <w:rPr>
                <w:i/>
              </w:rPr>
              <w:t>s</w:t>
            </w:r>
            <w:r w:rsidRPr="00BE4766">
              <w:t xml:space="preserve"> represented </w:t>
            </w:r>
            <w:r w:rsidRPr="004F59D3">
              <w:t>by a Counter-Party if at least one QSE represented by the Counter-Party represents either Load or generation.</w:t>
            </w:r>
          </w:p>
        </w:tc>
      </w:tr>
      <w:tr w:rsidR="00DF0271" w:rsidRPr="003D0DC1" w14:paraId="3B8F1FA5" w14:textId="77777777" w:rsidTr="0031595F">
        <w:trPr>
          <w:trHeight w:val="519"/>
        </w:trPr>
        <w:tc>
          <w:tcPr>
            <w:tcW w:w="1503" w:type="dxa"/>
          </w:tcPr>
          <w:p w14:paraId="6EA3D832" w14:textId="77777777" w:rsidR="00DF0271" w:rsidRPr="004F59D3" w:rsidRDefault="00DF0271" w:rsidP="0031595F">
            <w:pPr>
              <w:pStyle w:val="TableBody"/>
            </w:pPr>
            <w:r w:rsidRPr="004F59D3">
              <w:t xml:space="preserve">EAL </w:t>
            </w:r>
            <w:r w:rsidRPr="004F59D3">
              <w:rPr>
                <w:i/>
                <w:vertAlign w:val="subscript"/>
              </w:rPr>
              <w:t>t</w:t>
            </w:r>
          </w:p>
        </w:tc>
        <w:tc>
          <w:tcPr>
            <w:tcW w:w="886" w:type="dxa"/>
          </w:tcPr>
          <w:p w14:paraId="1EA9F59F" w14:textId="77777777" w:rsidR="00DF0271" w:rsidRPr="00484E48" w:rsidRDefault="00DF0271" w:rsidP="0031595F">
            <w:pPr>
              <w:pStyle w:val="TableBody"/>
            </w:pPr>
            <w:r w:rsidRPr="00484E48">
              <w:t>$</w:t>
            </w:r>
          </w:p>
        </w:tc>
        <w:tc>
          <w:tcPr>
            <w:tcW w:w="6701" w:type="dxa"/>
          </w:tcPr>
          <w:p w14:paraId="7940872F" w14:textId="77777777" w:rsidR="00DF0271" w:rsidRPr="00367720" w:rsidRDefault="00DF0271" w:rsidP="0031595F">
            <w:pPr>
              <w:pStyle w:val="TableBody"/>
              <w:rPr>
                <w:i/>
              </w:rPr>
            </w:pPr>
            <w:r w:rsidRPr="00484E48">
              <w:rPr>
                <w:i/>
              </w:rPr>
              <w:t>Estimated Aggregate Liability for all the QSEs</w:t>
            </w:r>
            <w:r w:rsidRPr="00367720">
              <w:t xml:space="preserve"> represented by a Counter-Party if none of the QSEs represented by the Counter-Party represent either Load or generation.</w:t>
            </w:r>
          </w:p>
        </w:tc>
      </w:tr>
      <w:tr w:rsidR="00DF0271" w:rsidRPr="003D0DC1" w14:paraId="230AF888" w14:textId="77777777" w:rsidTr="0031595F">
        <w:trPr>
          <w:trHeight w:val="519"/>
        </w:trPr>
        <w:tc>
          <w:tcPr>
            <w:tcW w:w="1503" w:type="dxa"/>
          </w:tcPr>
          <w:p w14:paraId="7CBDC34C" w14:textId="77777777" w:rsidR="00DF0271" w:rsidRPr="00484E48" w:rsidRDefault="00DF0271" w:rsidP="0031595F">
            <w:pPr>
              <w:pStyle w:val="TableBody"/>
            </w:pPr>
            <w:r w:rsidRPr="004F59D3">
              <w:t>EAL</w:t>
            </w:r>
            <w:r w:rsidRPr="004F59D3">
              <w:rPr>
                <w:b/>
                <w:i/>
                <w:vertAlign w:val="subscript"/>
              </w:rPr>
              <w:t xml:space="preserve"> </w:t>
            </w:r>
            <w:r w:rsidRPr="004F59D3">
              <w:rPr>
                <w:i/>
                <w:vertAlign w:val="subscript"/>
              </w:rPr>
              <w:t>a</w:t>
            </w:r>
          </w:p>
        </w:tc>
        <w:tc>
          <w:tcPr>
            <w:tcW w:w="886" w:type="dxa"/>
          </w:tcPr>
          <w:p w14:paraId="16FA29F5" w14:textId="77777777" w:rsidR="00DF0271" w:rsidRPr="00484E48" w:rsidRDefault="00DF0271" w:rsidP="0031595F">
            <w:pPr>
              <w:pStyle w:val="TableBody"/>
            </w:pPr>
            <w:r w:rsidRPr="00484E48">
              <w:t>$</w:t>
            </w:r>
          </w:p>
        </w:tc>
        <w:tc>
          <w:tcPr>
            <w:tcW w:w="6701" w:type="dxa"/>
          </w:tcPr>
          <w:p w14:paraId="16284C7C" w14:textId="77777777" w:rsidR="00DF0271" w:rsidRPr="00367720" w:rsidRDefault="00DF0271" w:rsidP="0031595F">
            <w:pPr>
              <w:pStyle w:val="TableBody"/>
              <w:rPr>
                <w:i/>
              </w:rPr>
            </w:pPr>
            <w:r w:rsidRPr="00367720">
              <w:rPr>
                <w:i/>
              </w:rPr>
              <w:t>Estimated Aggregate Liability for all the CRR Account Holders</w:t>
            </w:r>
            <w:r w:rsidRPr="00367720">
              <w:t xml:space="preserve"> represented by the Counter-Party.</w:t>
            </w:r>
          </w:p>
        </w:tc>
      </w:tr>
      <w:tr w:rsidR="00DF0271" w:rsidRPr="003D0DC1" w14:paraId="6BAB699E" w14:textId="77777777" w:rsidTr="0031595F">
        <w:trPr>
          <w:trHeight w:val="91"/>
        </w:trPr>
        <w:tc>
          <w:tcPr>
            <w:tcW w:w="1503" w:type="dxa"/>
          </w:tcPr>
          <w:p w14:paraId="76ED37D2" w14:textId="77777777" w:rsidR="00DF0271" w:rsidRPr="00BE4766" w:rsidRDefault="00DF0271" w:rsidP="0031595F">
            <w:pPr>
              <w:pStyle w:val="TableBody"/>
            </w:pPr>
            <w:r w:rsidRPr="00BE4766">
              <w:t>IEL</w:t>
            </w:r>
          </w:p>
        </w:tc>
        <w:tc>
          <w:tcPr>
            <w:tcW w:w="886" w:type="dxa"/>
          </w:tcPr>
          <w:p w14:paraId="058358E5" w14:textId="77777777" w:rsidR="00DF0271" w:rsidRPr="00BE4766" w:rsidRDefault="00DF0271" w:rsidP="0031595F">
            <w:pPr>
              <w:pStyle w:val="TableBody"/>
            </w:pPr>
            <w:r w:rsidRPr="00BE4766">
              <w:t>$</w:t>
            </w:r>
          </w:p>
        </w:tc>
        <w:tc>
          <w:tcPr>
            <w:tcW w:w="6701" w:type="dxa"/>
          </w:tcPr>
          <w:p w14:paraId="1AF6085C" w14:textId="77777777" w:rsidR="00DF0271" w:rsidRPr="00BE4766" w:rsidRDefault="00DF0271" w:rsidP="0031595F">
            <w:pPr>
              <w:pStyle w:val="TableBody"/>
            </w:pPr>
            <w:r w:rsidRPr="00BE4766">
              <w:rPr>
                <w:i/>
              </w:rPr>
              <w:t xml:space="preserve">Initial Estimated Liability for </w:t>
            </w:r>
            <w:r>
              <w:rPr>
                <w:i/>
              </w:rPr>
              <w:t xml:space="preserve">all </w:t>
            </w:r>
            <w:r w:rsidRPr="00BE4766">
              <w:rPr>
                <w:i/>
              </w:rPr>
              <w:t>the QSE</w:t>
            </w:r>
            <w:r>
              <w:rPr>
                <w:i/>
              </w:rPr>
              <w:t>s</w:t>
            </w:r>
            <w:r w:rsidRPr="00BE4766">
              <w:t xml:space="preserve"> represented by the Counter-Party</w:t>
            </w:r>
            <w:r w:rsidRPr="00C44724">
              <w:t xml:space="preserve"> if at least one QSE represented by the Counter-Party represents either Load or generation as defined in paragraphs (1), (2), (3) and (4) of Section 16.11.</w:t>
            </w:r>
            <w:r>
              <w:t>4.</w:t>
            </w:r>
            <w:r w:rsidRPr="00C44724">
              <w:t>2, Determination of Counter-Party Initial Estimated Liability</w:t>
            </w:r>
            <w:r w:rsidRPr="00BE4766">
              <w:t>.</w:t>
            </w:r>
          </w:p>
        </w:tc>
      </w:tr>
      <w:tr w:rsidR="00DF0271" w:rsidRPr="003D0DC1" w14:paraId="2C75A29C" w14:textId="77777777" w:rsidTr="0031595F">
        <w:trPr>
          <w:trHeight w:val="91"/>
        </w:trPr>
        <w:tc>
          <w:tcPr>
            <w:tcW w:w="1503" w:type="dxa"/>
          </w:tcPr>
          <w:p w14:paraId="29FFB515" w14:textId="77777777" w:rsidR="00DF0271" w:rsidRPr="00BE4766" w:rsidRDefault="00DF0271" w:rsidP="0031595F">
            <w:pPr>
              <w:pStyle w:val="TableBody"/>
              <w:rPr>
                <w:i/>
              </w:rPr>
            </w:pPr>
            <w:r>
              <w:rPr>
                <w:i/>
              </w:rPr>
              <w:t>q</w:t>
            </w:r>
          </w:p>
        </w:tc>
        <w:tc>
          <w:tcPr>
            <w:tcW w:w="886" w:type="dxa"/>
          </w:tcPr>
          <w:p w14:paraId="51D2A2A5" w14:textId="77777777" w:rsidR="00DF0271" w:rsidRPr="00BE4766" w:rsidRDefault="00DF0271" w:rsidP="0031595F">
            <w:pPr>
              <w:pStyle w:val="TableBody"/>
            </w:pPr>
          </w:p>
        </w:tc>
        <w:tc>
          <w:tcPr>
            <w:tcW w:w="6701" w:type="dxa"/>
          </w:tcPr>
          <w:p w14:paraId="18B680BD" w14:textId="77777777" w:rsidR="00DF0271" w:rsidRPr="00BE4766" w:rsidRDefault="00DF0271" w:rsidP="0031595F">
            <w:pPr>
              <w:pStyle w:val="TableBody"/>
            </w:pPr>
            <w:r w:rsidRPr="00BE4766">
              <w:t>QSE</w:t>
            </w:r>
            <w:r>
              <w:t>s</w:t>
            </w:r>
            <w:r w:rsidRPr="00BE4766">
              <w:t xml:space="preserve"> represented by Counter-Party.</w:t>
            </w:r>
          </w:p>
        </w:tc>
      </w:tr>
      <w:tr w:rsidR="00DF0271" w:rsidRPr="003D0DC1" w14:paraId="29DE967E" w14:textId="77777777" w:rsidTr="0031595F">
        <w:trPr>
          <w:trHeight w:val="91"/>
        </w:trPr>
        <w:tc>
          <w:tcPr>
            <w:tcW w:w="1503" w:type="dxa"/>
          </w:tcPr>
          <w:p w14:paraId="37EC0D3E" w14:textId="77777777" w:rsidR="00DF0271" w:rsidRDefault="00DF0271" w:rsidP="0031595F">
            <w:pPr>
              <w:pStyle w:val="TableBody"/>
              <w:rPr>
                <w:i/>
              </w:rPr>
            </w:pPr>
            <w:r>
              <w:rPr>
                <w:i/>
              </w:rPr>
              <w:t>t</w:t>
            </w:r>
          </w:p>
        </w:tc>
        <w:tc>
          <w:tcPr>
            <w:tcW w:w="886" w:type="dxa"/>
          </w:tcPr>
          <w:p w14:paraId="75C4E3CE" w14:textId="77777777" w:rsidR="00DF0271" w:rsidRPr="00BE4766" w:rsidRDefault="00DF0271" w:rsidP="0031595F">
            <w:pPr>
              <w:pStyle w:val="TableBody"/>
            </w:pPr>
          </w:p>
        </w:tc>
        <w:tc>
          <w:tcPr>
            <w:tcW w:w="6701" w:type="dxa"/>
          </w:tcPr>
          <w:p w14:paraId="1D643F56" w14:textId="77777777" w:rsidR="00DF0271" w:rsidRPr="00BE4766" w:rsidRDefault="00DF0271" w:rsidP="0031595F">
            <w:pPr>
              <w:pStyle w:val="TableBody"/>
            </w:pPr>
            <w:r w:rsidRPr="00545E0B">
              <w:t>QSEs represented by a Counter-Party if none of the QSEs represented by the Counter-Party represent either Load or generation</w:t>
            </w:r>
          </w:p>
        </w:tc>
      </w:tr>
      <w:tr w:rsidR="00DF0271" w:rsidRPr="003D0DC1" w14:paraId="1631C39D" w14:textId="77777777" w:rsidTr="0031595F">
        <w:trPr>
          <w:trHeight w:val="91"/>
        </w:trPr>
        <w:tc>
          <w:tcPr>
            <w:tcW w:w="1503" w:type="dxa"/>
          </w:tcPr>
          <w:p w14:paraId="5B4027DA" w14:textId="77777777" w:rsidR="00DF0271" w:rsidRPr="00BE4766" w:rsidRDefault="00DF0271" w:rsidP="0031595F">
            <w:pPr>
              <w:pStyle w:val="TableBody"/>
              <w:rPr>
                <w:i/>
              </w:rPr>
            </w:pPr>
            <w:r>
              <w:rPr>
                <w:i/>
              </w:rPr>
              <w:t>a</w:t>
            </w:r>
          </w:p>
        </w:tc>
        <w:tc>
          <w:tcPr>
            <w:tcW w:w="886" w:type="dxa"/>
          </w:tcPr>
          <w:p w14:paraId="4745CC5B" w14:textId="77777777" w:rsidR="00DF0271" w:rsidRPr="00BE4766" w:rsidRDefault="00DF0271" w:rsidP="0031595F">
            <w:pPr>
              <w:pStyle w:val="TableBody"/>
            </w:pPr>
          </w:p>
        </w:tc>
        <w:tc>
          <w:tcPr>
            <w:tcW w:w="6701" w:type="dxa"/>
          </w:tcPr>
          <w:p w14:paraId="5BBDAA0E" w14:textId="77777777" w:rsidR="00DF0271" w:rsidRPr="00BE4766" w:rsidRDefault="00DF0271" w:rsidP="0031595F">
            <w:pPr>
              <w:pStyle w:val="TableBody"/>
            </w:pPr>
            <w:r w:rsidRPr="00BE4766">
              <w:t>CRR Account Holder</w:t>
            </w:r>
            <w:r>
              <w:t>s</w:t>
            </w:r>
            <w:r w:rsidRPr="00BE4766">
              <w:t xml:space="preserve"> represented by Counter-Party.</w:t>
            </w:r>
          </w:p>
        </w:tc>
      </w:tr>
      <w:tr w:rsidR="00DF0271" w:rsidRPr="003D0DC1" w14:paraId="1DF94383" w14:textId="77777777" w:rsidTr="0031595F">
        <w:trPr>
          <w:trHeight w:val="593"/>
        </w:trPr>
        <w:tc>
          <w:tcPr>
            <w:tcW w:w="1503" w:type="dxa"/>
          </w:tcPr>
          <w:p w14:paraId="0E2A206D" w14:textId="77777777" w:rsidR="00DF0271" w:rsidRPr="00BE4766" w:rsidRDefault="00DF0271" w:rsidP="0031595F">
            <w:pPr>
              <w:pStyle w:val="TableBody"/>
            </w:pPr>
            <w:r w:rsidRPr="00BE4766">
              <w:t>RTLE</w:t>
            </w:r>
          </w:p>
        </w:tc>
        <w:tc>
          <w:tcPr>
            <w:tcW w:w="886" w:type="dxa"/>
          </w:tcPr>
          <w:p w14:paraId="012AA688" w14:textId="77777777" w:rsidR="00DF0271" w:rsidRPr="00BE4766" w:rsidRDefault="00DF0271" w:rsidP="0031595F">
            <w:pPr>
              <w:pStyle w:val="TableBody"/>
            </w:pPr>
            <w:r w:rsidRPr="00BE4766">
              <w:t>$</w:t>
            </w:r>
          </w:p>
        </w:tc>
        <w:tc>
          <w:tcPr>
            <w:tcW w:w="6701" w:type="dxa"/>
          </w:tcPr>
          <w:p w14:paraId="5C4353F8" w14:textId="77777777" w:rsidR="00DF0271" w:rsidRPr="00BE4766" w:rsidRDefault="00DF0271" w:rsidP="0031595F">
            <w:pPr>
              <w:pStyle w:val="TableBody"/>
            </w:pPr>
            <w:r w:rsidRPr="00BE4766">
              <w:rPr>
                <w:i/>
              </w:rPr>
              <w:t>Real Time Liability Extrapolated</w:t>
            </w:r>
            <w:r>
              <w:rPr>
                <w:i/>
              </w:rPr>
              <w:t xml:space="preserve"> for a QSE that represents either Load or generation</w:t>
            </w:r>
            <w:r w:rsidRPr="00BE4766">
              <w:t xml:space="preserve"> —M1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w:t>
            </w:r>
            <w:r>
              <w:t>RTM</w:t>
            </w:r>
            <w:r w:rsidRPr="00BE4766">
              <w:t xml:space="preserve"> Initial Statements </w:t>
            </w:r>
            <w:r>
              <w:t xml:space="preserve">are produced for Counter-Parties according to the ERCOT Settlement Calendar </w:t>
            </w:r>
            <w:r w:rsidRPr="00BE4766">
              <w:t>divided by 14.</w:t>
            </w:r>
          </w:p>
        </w:tc>
      </w:tr>
      <w:tr w:rsidR="00DF0271" w:rsidRPr="003D0DC1" w14:paraId="0D1C249E" w14:textId="77777777" w:rsidTr="0031595F">
        <w:trPr>
          <w:trHeight w:val="350"/>
        </w:trPr>
        <w:tc>
          <w:tcPr>
            <w:tcW w:w="1503" w:type="dxa"/>
          </w:tcPr>
          <w:p w14:paraId="7E9FC58A" w14:textId="77777777" w:rsidR="00DF0271" w:rsidRPr="00BE4766" w:rsidRDefault="00DF0271" w:rsidP="0031595F">
            <w:pPr>
              <w:pStyle w:val="TableBody"/>
            </w:pPr>
            <w:r w:rsidRPr="00BE4766">
              <w:t>URTA</w:t>
            </w:r>
          </w:p>
        </w:tc>
        <w:tc>
          <w:tcPr>
            <w:tcW w:w="886" w:type="dxa"/>
          </w:tcPr>
          <w:p w14:paraId="526A2DE0" w14:textId="77777777" w:rsidR="00DF0271" w:rsidRPr="00BE4766" w:rsidRDefault="00DF0271" w:rsidP="0031595F">
            <w:pPr>
              <w:pStyle w:val="TableBody"/>
            </w:pPr>
            <w:r w:rsidRPr="00BE4766">
              <w:t>$</w:t>
            </w:r>
          </w:p>
        </w:tc>
        <w:tc>
          <w:tcPr>
            <w:tcW w:w="6701" w:type="dxa"/>
          </w:tcPr>
          <w:p w14:paraId="4E6ED632" w14:textId="77777777" w:rsidR="00DF0271" w:rsidRPr="00BE4766" w:rsidRDefault="00DF0271" w:rsidP="0031595F">
            <w:pPr>
              <w:pStyle w:val="TableBody"/>
              <w:rPr>
                <w:i/>
              </w:rPr>
            </w:pPr>
            <w:r w:rsidRPr="00BE4766">
              <w:rPr>
                <w:i/>
              </w:rPr>
              <w:t>Unbilled Real</w:t>
            </w:r>
            <w:r>
              <w:rPr>
                <w:i/>
              </w:rPr>
              <w:t>-</w:t>
            </w:r>
            <w:r w:rsidRPr="00BE4766">
              <w:rPr>
                <w:i/>
              </w:rPr>
              <w:t>Time Amount</w:t>
            </w:r>
            <w:r w:rsidRPr="00BE4766">
              <w:t>—M2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RTM Initial Statements </w:t>
            </w:r>
            <w:r>
              <w:t>are produced for Counter-Parties according to the ERCOT Settlement Calendar</w:t>
            </w:r>
            <w:r w:rsidRPr="00BE4766">
              <w:t xml:space="preserve"> divided by 14.</w:t>
            </w:r>
          </w:p>
        </w:tc>
      </w:tr>
      <w:tr w:rsidR="00DF0271" w:rsidRPr="003D0DC1" w14:paraId="0640B979" w14:textId="77777777" w:rsidTr="0031595F">
        <w:trPr>
          <w:trHeight w:val="350"/>
        </w:trPr>
        <w:tc>
          <w:tcPr>
            <w:tcW w:w="1503" w:type="dxa"/>
          </w:tcPr>
          <w:p w14:paraId="0BB57CD2" w14:textId="77777777" w:rsidR="00DF0271" w:rsidRPr="00BE4766" w:rsidRDefault="00DF0271" w:rsidP="0031595F">
            <w:pPr>
              <w:pStyle w:val="TableBody"/>
            </w:pPr>
            <w:r w:rsidRPr="00BE4766">
              <w:t>RTL</w:t>
            </w:r>
          </w:p>
        </w:tc>
        <w:tc>
          <w:tcPr>
            <w:tcW w:w="886" w:type="dxa"/>
          </w:tcPr>
          <w:p w14:paraId="4C823956" w14:textId="77777777" w:rsidR="00DF0271" w:rsidRPr="00BE4766" w:rsidRDefault="00DF0271" w:rsidP="0031595F">
            <w:pPr>
              <w:pStyle w:val="TableBody"/>
            </w:pPr>
            <w:r w:rsidRPr="00BE4766">
              <w:t>$</w:t>
            </w:r>
          </w:p>
        </w:tc>
        <w:tc>
          <w:tcPr>
            <w:tcW w:w="6701" w:type="dxa"/>
          </w:tcPr>
          <w:p w14:paraId="3ADE8929" w14:textId="77777777" w:rsidR="00DF0271" w:rsidRPr="00BE4766" w:rsidRDefault="00DF0271" w:rsidP="0031595F">
            <w:pPr>
              <w:pStyle w:val="TableBody"/>
              <w:rPr>
                <w:i/>
              </w:rPr>
            </w:pPr>
            <w:r w:rsidRPr="00BE4766">
              <w:rPr>
                <w:i/>
                <w:iCs w:val="0"/>
              </w:rPr>
              <w:t>Real-Time Liability</w:t>
            </w:r>
            <w:r w:rsidRPr="00BE4766">
              <w:rPr>
                <w:iCs w:val="0"/>
              </w:rPr>
              <w:t>—The estimated or settled amounts due to</w:t>
            </w:r>
            <w:r>
              <w:rPr>
                <w:iCs w:val="0"/>
              </w:rPr>
              <w:t xml:space="preserve"> or from</w:t>
            </w:r>
            <w:r w:rsidRPr="00BE4766">
              <w:rPr>
                <w:iCs w:val="0"/>
              </w:rPr>
              <w:t xml:space="preserve"> ERCOT due to activities in the R</w:t>
            </w:r>
            <w:r w:rsidRPr="005548A2">
              <w:rPr>
                <w:iCs w:val="0"/>
              </w:rPr>
              <w:t>TM for an Operating Day, as defined in Section 16.11.4.3.2, Real-Time Liability Estimate</w:t>
            </w:r>
            <w:r w:rsidRPr="00BE4766">
              <w:rPr>
                <w:iCs w:val="0"/>
              </w:rPr>
              <w:t>.</w:t>
            </w:r>
          </w:p>
        </w:tc>
      </w:tr>
      <w:tr w:rsidR="00DF0271" w:rsidRPr="003D0DC1" w14:paraId="6D710D5D" w14:textId="77777777" w:rsidTr="0031595F">
        <w:trPr>
          <w:trHeight w:val="350"/>
        </w:trPr>
        <w:tc>
          <w:tcPr>
            <w:tcW w:w="1503" w:type="dxa"/>
          </w:tcPr>
          <w:p w14:paraId="7C1806AF" w14:textId="77777777" w:rsidR="00DF0271" w:rsidRPr="00BE4766" w:rsidRDefault="00DF0271" w:rsidP="0031595F">
            <w:pPr>
              <w:pStyle w:val="TableBody"/>
            </w:pPr>
            <w:r w:rsidRPr="00BE4766">
              <w:t>RTLCNS</w:t>
            </w:r>
          </w:p>
        </w:tc>
        <w:tc>
          <w:tcPr>
            <w:tcW w:w="886" w:type="dxa"/>
          </w:tcPr>
          <w:p w14:paraId="40C55C76" w14:textId="77777777" w:rsidR="00DF0271" w:rsidRPr="00BE4766" w:rsidRDefault="00DF0271" w:rsidP="0031595F">
            <w:pPr>
              <w:pStyle w:val="TableBody"/>
            </w:pPr>
            <w:r w:rsidRPr="00BE4766">
              <w:t>$</w:t>
            </w:r>
          </w:p>
        </w:tc>
        <w:tc>
          <w:tcPr>
            <w:tcW w:w="6701" w:type="dxa"/>
          </w:tcPr>
          <w:p w14:paraId="6E79027E" w14:textId="77777777" w:rsidR="00DF0271" w:rsidRPr="005548A2" w:rsidRDefault="00DF0271" w:rsidP="0031595F">
            <w:pPr>
              <w:pStyle w:val="TableBody"/>
              <w:rPr>
                <w:i/>
              </w:rPr>
            </w:pPr>
            <w:r w:rsidRPr="005548A2">
              <w:rPr>
                <w:i/>
              </w:rPr>
              <w:t>Real Time Liability Completed and Not Settled</w:t>
            </w:r>
            <w:r w:rsidRPr="005548A2">
              <w:t xml:space="preserve">—For each Operating Day that is completed but not settled, ERCOT shall calculate RTL adjusted up by </w:t>
            </w:r>
            <w:r w:rsidRPr="005548A2">
              <w:rPr>
                <w:i/>
              </w:rPr>
              <w:t xml:space="preserve">rtlcu% </w:t>
            </w:r>
            <w:r w:rsidRPr="005548A2">
              <w:t xml:space="preserve">if there is a net amount due to ERCOT or adjusted down by </w:t>
            </w:r>
            <w:r w:rsidRPr="005548A2">
              <w:rPr>
                <w:i/>
              </w:rPr>
              <w:t>rtlcd%</w:t>
            </w:r>
            <w:r w:rsidRPr="005548A2">
              <w:t xml:space="preserve"> if there is a net amount due to the QSE. </w:t>
            </w:r>
          </w:p>
          <w:p w14:paraId="33617DA2" w14:textId="77777777" w:rsidR="00DF0271" w:rsidRPr="005548A2" w:rsidRDefault="00DF0271" w:rsidP="0031595F">
            <w:pPr>
              <w:rPr>
                <w:sz w:val="20"/>
              </w:rPr>
            </w:pPr>
          </w:p>
          <w:p w14:paraId="3E1D6C05" w14:textId="77777777" w:rsidR="00DF0271" w:rsidRDefault="00DF0271" w:rsidP="0031595F">
            <w:pPr>
              <w:ind w:left="720"/>
              <w:rPr>
                <w:sz w:val="20"/>
              </w:rPr>
            </w:pPr>
            <w:r w:rsidRPr="005548A2">
              <w:rPr>
                <w:sz w:val="20"/>
              </w:rPr>
              <w:t>RTLCNS = Sum of Max RTL(</w:t>
            </w:r>
            <w:r w:rsidRPr="005548A2">
              <w:rPr>
                <w:i/>
                <w:iCs/>
                <w:sz w:val="20"/>
              </w:rPr>
              <w:t>rtlcu%</w:t>
            </w:r>
            <w:r w:rsidRPr="005548A2">
              <w:rPr>
                <w:sz w:val="20"/>
              </w:rPr>
              <w:t xml:space="preserve"> * RTL, </w:t>
            </w:r>
            <w:r w:rsidRPr="005548A2">
              <w:rPr>
                <w:i/>
                <w:sz w:val="20"/>
              </w:rPr>
              <w:t>rtlcd%</w:t>
            </w:r>
            <w:r w:rsidRPr="005548A2">
              <w:rPr>
                <w:sz w:val="20"/>
              </w:rPr>
              <w:t xml:space="preserve"> * RTL) for all completed and not settled Operating Days</w:t>
            </w:r>
          </w:p>
          <w:p w14:paraId="09C5D030" w14:textId="77777777" w:rsidR="00DF0271" w:rsidRPr="005548A2" w:rsidRDefault="00DF0271" w:rsidP="0031595F">
            <w:pPr>
              <w:ind w:left="720"/>
              <w:rPr>
                <w:sz w:val="20"/>
              </w:rPr>
            </w:pPr>
          </w:p>
          <w:p w14:paraId="04D08926" w14:textId="77777777" w:rsidR="00DF0271" w:rsidRPr="005548A2" w:rsidRDefault="00DF0271" w:rsidP="0031595F">
            <w:pPr>
              <w:tabs>
                <w:tab w:val="right" w:pos="9360"/>
              </w:tabs>
              <w:spacing w:after="60"/>
              <w:rPr>
                <w:iCs/>
                <w:sz w:val="20"/>
              </w:rPr>
            </w:pPr>
            <w:r w:rsidRPr="005548A2">
              <w:rPr>
                <w:iCs/>
                <w:sz w:val="20"/>
              </w:rPr>
              <w:t>Where:</w:t>
            </w:r>
          </w:p>
          <w:p w14:paraId="4F2A23C3" w14:textId="77777777" w:rsidR="00DF0271" w:rsidRPr="005548A2" w:rsidRDefault="00DF0271" w:rsidP="0031595F">
            <w:pPr>
              <w:tabs>
                <w:tab w:val="right" w:pos="9360"/>
              </w:tabs>
              <w:rPr>
                <w:iCs/>
                <w:sz w:val="20"/>
              </w:rPr>
            </w:pPr>
          </w:p>
          <w:p w14:paraId="1EAAC915" w14:textId="77777777" w:rsidR="00DF0271" w:rsidRPr="005548A2" w:rsidRDefault="00DF0271" w:rsidP="0031595F">
            <w:pPr>
              <w:ind w:left="1913" w:hanging="1440"/>
              <w:rPr>
                <w:i/>
                <w:sz w:val="20"/>
              </w:rPr>
            </w:pPr>
            <w:r w:rsidRPr="005548A2">
              <w:rPr>
                <w:i/>
                <w:sz w:val="20"/>
              </w:rPr>
              <w:t>rtlcu</w:t>
            </w:r>
            <w:r w:rsidRPr="005548A2">
              <w:rPr>
                <w:sz w:val="20"/>
              </w:rPr>
              <w:t xml:space="preserve"> =</w:t>
            </w:r>
            <w:r w:rsidRPr="005548A2">
              <w:rPr>
                <w:sz w:val="20"/>
              </w:rPr>
              <w:tab/>
              <w:t>Real-Time Liability Markup</w:t>
            </w:r>
          </w:p>
          <w:p w14:paraId="18F0EAEC" w14:textId="77777777" w:rsidR="00DF0271" w:rsidRPr="005548A2" w:rsidRDefault="00DF0271" w:rsidP="0031595F">
            <w:pPr>
              <w:ind w:left="1913" w:hanging="1440"/>
              <w:rPr>
                <w:i/>
                <w:sz w:val="20"/>
              </w:rPr>
            </w:pPr>
            <w:r w:rsidRPr="005548A2">
              <w:rPr>
                <w:i/>
                <w:sz w:val="20"/>
              </w:rPr>
              <w:t xml:space="preserve">rtlcd </w:t>
            </w:r>
            <w:r w:rsidRPr="005548A2">
              <w:rPr>
                <w:sz w:val="20"/>
              </w:rPr>
              <w:t>=</w:t>
            </w:r>
            <w:r w:rsidRPr="005548A2">
              <w:rPr>
                <w:sz w:val="20"/>
              </w:rPr>
              <w:tab/>
              <w:t>Real-Time Li</w:t>
            </w:r>
            <w:r>
              <w:rPr>
                <w:sz w:val="20"/>
              </w:rPr>
              <w:t>a</w:t>
            </w:r>
            <w:r w:rsidRPr="005548A2">
              <w:rPr>
                <w:sz w:val="20"/>
              </w:rPr>
              <w:t>bility Markdown</w:t>
            </w:r>
          </w:p>
        </w:tc>
      </w:tr>
      <w:tr w:rsidR="00DF0271" w:rsidRPr="003D0DC1" w14:paraId="04DCE2DB" w14:textId="77777777" w:rsidTr="0031595F">
        <w:trPr>
          <w:trHeight w:val="350"/>
        </w:trPr>
        <w:tc>
          <w:tcPr>
            <w:tcW w:w="1503" w:type="dxa"/>
          </w:tcPr>
          <w:p w14:paraId="251A9A61" w14:textId="77777777" w:rsidR="00DF0271" w:rsidRPr="00BE4766" w:rsidRDefault="00DF0271" w:rsidP="0031595F">
            <w:pPr>
              <w:pStyle w:val="TableBody"/>
              <w:tabs>
                <w:tab w:val="right" w:pos="9360"/>
              </w:tabs>
              <w:rPr>
                <w:noProof/>
              </w:rPr>
            </w:pPr>
            <w:r w:rsidRPr="00BE4766">
              <w:t>RTLF</w:t>
            </w:r>
          </w:p>
        </w:tc>
        <w:tc>
          <w:tcPr>
            <w:tcW w:w="886" w:type="dxa"/>
          </w:tcPr>
          <w:p w14:paraId="08A13CCE" w14:textId="77777777" w:rsidR="00DF0271" w:rsidRPr="00BE4766" w:rsidRDefault="00DF0271" w:rsidP="0031595F">
            <w:pPr>
              <w:pStyle w:val="TableBody"/>
              <w:tabs>
                <w:tab w:val="right" w:pos="9360"/>
              </w:tabs>
              <w:rPr>
                <w:noProof/>
              </w:rPr>
            </w:pPr>
            <w:r w:rsidRPr="00BE4766">
              <w:t>$</w:t>
            </w:r>
          </w:p>
        </w:tc>
        <w:tc>
          <w:tcPr>
            <w:tcW w:w="6701" w:type="dxa"/>
          </w:tcPr>
          <w:p w14:paraId="2CA65BD7" w14:textId="77777777" w:rsidR="00DF0271" w:rsidRPr="005548A2" w:rsidRDefault="00DF0271" w:rsidP="0031595F">
            <w:pPr>
              <w:rPr>
                <w:sz w:val="20"/>
              </w:rPr>
            </w:pPr>
            <w:r w:rsidRPr="005548A2">
              <w:rPr>
                <w:i/>
                <w:sz w:val="20"/>
              </w:rPr>
              <w:t>Real-Time Liability Forward</w:t>
            </w:r>
            <w:r w:rsidRPr="005548A2">
              <w:rPr>
                <w:sz w:val="20"/>
              </w:rPr>
              <w:t xml:space="preserve">— rtlfp% of the sum of estimated RTL from the most recent seven Operating Days.   </w:t>
            </w:r>
          </w:p>
          <w:p w14:paraId="051E1902" w14:textId="77777777" w:rsidR="00DF0271" w:rsidRPr="005548A2" w:rsidRDefault="00DF0271" w:rsidP="0031595F">
            <w:pPr>
              <w:jc w:val="both"/>
              <w:rPr>
                <w:sz w:val="20"/>
              </w:rPr>
            </w:pPr>
          </w:p>
          <w:p w14:paraId="6EB2034B" w14:textId="77777777" w:rsidR="00DF0271" w:rsidRPr="005548A2" w:rsidRDefault="00DF0271" w:rsidP="0031595F">
            <w:pPr>
              <w:ind w:left="720"/>
              <w:jc w:val="both"/>
              <w:rPr>
                <w:sz w:val="20"/>
              </w:rPr>
            </w:pPr>
            <w:r w:rsidRPr="005548A2">
              <w:rPr>
                <w:sz w:val="20"/>
              </w:rPr>
              <w:t xml:space="preserve">RTLF = </w:t>
            </w:r>
            <w:r w:rsidRPr="005548A2">
              <w:rPr>
                <w:i/>
                <w:iCs/>
                <w:sz w:val="20"/>
              </w:rPr>
              <w:t>rtlf%</w:t>
            </w:r>
            <w:r w:rsidRPr="005548A2">
              <w:rPr>
                <w:sz w:val="20"/>
              </w:rPr>
              <w:t xml:space="preserve"> of the Sum of Max RTL(</w:t>
            </w:r>
            <w:r w:rsidRPr="005548A2">
              <w:rPr>
                <w:i/>
                <w:iCs/>
                <w:sz w:val="20"/>
              </w:rPr>
              <w:t>rtlcu%</w:t>
            </w:r>
            <w:r w:rsidRPr="005548A2">
              <w:rPr>
                <w:sz w:val="20"/>
              </w:rPr>
              <w:t xml:space="preserve"> * RTL</w:t>
            </w:r>
            <w:r w:rsidRPr="005548A2">
              <w:rPr>
                <w:i/>
                <w:iCs/>
                <w:sz w:val="20"/>
              </w:rPr>
              <w:t>, rtlcd%</w:t>
            </w:r>
            <w:r w:rsidRPr="005548A2">
              <w:rPr>
                <w:sz w:val="20"/>
              </w:rPr>
              <w:t xml:space="preserve"> * RTL) for the most recent seven Operating Days</w:t>
            </w:r>
          </w:p>
          <w:p w14:paraId="3E353C79" w14:textId="77777777" w:rsidR="00DF0271" w:rsidRPr="005548A2" w:rsidRDefault="00DF0271" w:rsidP="0031595F">
            <w:pPr>
              <w:tabs>
                <w:tab w:val="right" w:pos="9360"/>
              </w:tabs>
              <w:spacing w:after="60"/>
              <w:rPr>
                <w:iCs/>
                <w:sz w:val="20"/>
              </w:rPr>
            </w:pPr>
            <w:r w:rsidRPr="005548A2">
              <w:rPr>
                <w:iCs/>
                <w:sz w:val="20"/>
              </w:rPr>
              <w:t>Where:</w:t>
            </w:r>
          </w:p>
          <w:p w14:paraId="1B5DBAE9" w14:textId="77777777" w:rsidR="00DF0271" w:rsidRPr="005548A2" w:rsidRDefault="00DF0271" w:rsidP="0031595F">
            <w:pPr>
              <w:tabs>
                <w:tab w:val="right" w:pos="9360"/>
              </w:tabs>
              <w:rPr>
                <w:iCs/>
                <w:sz w:val="20"/>
              </w:rPr>
            </w:pPr>
          </w:p>
          <w:p w14:paraId="75D84506" w14:textId="77777777" w:rsidR="00DF0271" w:rsidRPr="005548A2" w:rsidRDefault="00DF0271" w:rsidP="0031595F">
            <w:pPr>
              <w:ind w:left="1913" w:hanging="1440"/>
              <w:rPr>
                <w:i/>
                <w:sz w:val="20"/>
              </w:rPr>
            </w:pPr>
            <w:r w:rsidRPr="005548A2">
              <w:rPr>
                <w:i/>
                <w:sz w:val="20"/>
              </w:rPr>
              <w:t>rtlfp =</w:t>
            </w:r>
            <w:r w:rsidRPr="005548A2">
              <w:rPr>
                <w:i/>
                <w:sz w:val="20"/>
              </w:rPr>
              <w:tab/>
            </w:r>
            <w:r w:rsidRPr="005548A2">
              <w:rPr>
                <w:sz w:val="20"/>
              </w:rPr>
              <w:t>Real-Time Liability Forward</w:t>
            </w:r>
          </w:p>
        </w:tc>
      </w:tr>
      <w:tr w:rsidR="00DF0271" w:rsidRPr="003D0DC1" w14:paraId="14F896A3" w14:textId="77777777" w:rsidTr="0031595F">
        <w:trPr>
          <w:trHeight w:val="350"/>
        </w:trPr>
        <w:tc>
          <w:tcPr>
            <w:tcW w:w="1503" w:type="dxa"/>
          </w:tcPr>
          <w:p w14:paraId="28F79FC9" w14:textId="77777777" w:rsidR="00DF0271" w:rsidRPr="00BE4766" w:rsidRDefault="00DF0271" w:rsidP="0031595F">
            <w:pPr>
              <w:pStyle w:val="TableBody"/>
              <w:tabs>
                <w:tab w:val="right" w:pos="9360"/>
              </w:tabs>
              <w:rPr>
                <w:noProof/>
              </w:rPr>
            </w:pPr>
            <w:r w:rsidRPr="00BE4766">
              <w:lastRenderedPageBreak/>
              <w:t>OUT</w:t>
            </w:r>
            <w:r>
              <w:t xml:space="preserve"> </w:t>
            </w:r>
            <w:r w:rsidRPr="00C13C33">
              <w:rPr>
                <w:vertAlign w:val="subscript"/>
              </w:rPr>
              <w:t>q</w:t>
            </w:r>
          </w:p>
        </w:tc>
        <w:tc>
          <w:tcPr>
            <w:tcW w:w="886" w:type="dxa"/>
          </w:tcPr>
          <w:p w14:paraId="3EB9ACA6" w14:textId="77777777" w:rsidR="00DF0271" w:rsidRPr="00BE4766" w:rsidRDefault="00DF0271" w:rsidP="0031595F">
            <w:pPr>
              <w:pStyle w:val="TableBody"/>
              <w:tabs>
                <w:tab w:val="right" w:pos="9360"/>
              </w:tabs>
              <w:rPr>
                <w:noProof/>
              </w:rPr>
            </w:pPr>
            <w:r w:rsidRPr="00BE4766">
              <w:t>$</w:t>
            </w:r>
          </w:p>
        </w:tc>
        <w:tc>
          <w:tcPr>
            <w:tcW w:w="6701" w:type="dxa"/>
          </w:tcPr>
          <w:p w14:paraId="742132D8" w14:textId="77777777" w:rsidR="00DF0271" w:rsidRPr="00853D39" w:rsidRDefault="00DF0271" w:rsidP="0031595F">
            <w:pPr>
              <w:pStyle w:val="BodyText"/>
              <w:rPr>
                <w:sz w:val="20"/>
              </w:rPr>
            </w:pPr>
            <w:r w:rsidRPr="00853D39">
              <w:rPr>
                <w:i/>
                <w:sz w:val="20"/>
              </w:rPr>
              <w:t>Outstanding Unpaid Transactions</w:t>
            </w:r>
            <w:r w:rsidRPr="00853D39">
              <w:rPr>
                <w:sz w:val="20"/>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38A880CE" w14:textId="77777777" w:rsidR="00DF0271" w:rsidRPr="00C21ED2" w:rsidRDefault="00DF0271" w:rsidP="0031595F">
            <w:pPr>
              <w:pStyle w:val="TableBody"/>
              <w:tabs>
                <w:tab w:val="right" w:pos="9360"/>
              </w:tabs>
              <w:ind w:left="522"/>
            </w:pPr>
            <w:r w:rsidRPr="00C21ED2">
              <w:t>OUT</w:t>
            </w:r>
            <w:r>
              <w:t xml:space="preserve"> </w:t>
            </w:r>
            <w:r w:rsidRPr="00545E0B">
              <w:rPr>
                <w:i/>
                <w:vertAlign w:val="subscript"/>
              </w:rPr>
              <w:t>q</w:t>
            </w:r>
            <w:r w:rsidRPr="00C21ED2">
              <w:t xml:space="preserve"> = OIA</w:t>
            </w:r>
            <w:r>
              <w:t xml:space="preserve"> </w:t>
            </w:r>
            <w:r w:rsidRPr="00545E0B">
              <w:rPr>
                <w:i/>
                <w:vertAlign w:val="subscript"/>
              </w:rPr>
              <w:t>q</w:t>
            </w:r>
            <w:r w:rsidRPr="00C21ED2">
              <w:t xml:space="preserve"> + UDAA</w:t>
            </w:r>
            <w:r>
              <w:t xml:space="preserve"> </w:t>
            </w:r>
            <w:r w:rsidRPr="00545E0B">
              <w:rPr>
                <w:i/>
                <w:vertAlign w:val="subscript"/>
              </w:rPr>
              <w:t>q</w:t>
            </w:r>
            <w:r w:rsidRPr="00C21ED2">
              <w:t xml:space="preserve"> + UFA</w:t>
            </w:r>
            <w:r>
              <w:t xml:space="preserve"> </w:t>
            </w:r>
            <w:r w:rsidRPr="00545E0B">
              <w:rPr>
                <w:i/>
                <w:vertAlign w:val="subscript"/>
              </w:rPr>
              <w:t>q</w:t>
            </w:r>
            <w:r w:rsidRPr="00C21ED2">
              <w:t xml:space="preserve"> + UTA</w:t>
            </w:r>
            <w:r>
              <w:t xml:space="preserve"> </w:t>
            </w:r>
            <w:r w:rsidRPr="00545E0B">
              <w:rPr>
                <w:i/>
                <w:vertAlign w:val="subscript"/>
              </w:rPr>
              <w:t>q</w:t>
            </w:r>
            <w:r w:rsidRPr="00C21ED2">
              <w:t xml:space="preserve"> + CARD</w:t>
            </w:r>
          </w:p>
          <w:p w14:paraId="33622DE3" w14:textId="77777777" w:rsidR="00DF0271" w:rsidRDefault="00DF0271" w:rsidP="0031595F">
            <w:pPr>
              <w:pStyle w:val="TableBody"/>
              <w:tabs>
                <w:tab w:val="right" w:pos="9360"/>
              </w:tabs>
            </w:pPr>
          </w:p>
          <w:p w14:paraId="58872924" w14:textId="77777777" w:rsidR="00DF0271" w:rsidRDefault="00DF0271" w:rsidP="0031595F">
            <w:pPr>
              <w:pStyle w:val="TableBody"/>
              <w:tabs>
                <w:tab w:val="right" w:pos="9360"/>
              </w:tabs>
            </w:pPr>
            <w:r>
              <w:t>Where:</w:t>
            </w:r>
          </w:p>
          <w:p w14:paraId="54423573" w14:textId="77777777" w:rsidR="00DF0271" w:rsidRPr="00C21ED2" w:rsidRDefault="00DF0271" w:rsidP="0031595F">
            <w:pPr>
              <w:pStyle w:val="TableBody"/>
              <w:tabs>
                <w:tab w:val="right" w:pos="9360"/>
              </w:tabs>
              <w:spacing w:after="0"/>
            </w:pPr>
          </w:p>
          <w:p w14:paraId="0B0961C9" w14:textId="77777777" w:rsidR="00DF0271" w:rsidRPr="00300257" w:rsidRDefault="00DF0271" w:rsidP="0031595F">
            <w:pPr>
              <w:spacing w:after="60"/>
              <w:ind w:left="1958" w:hanging="1440"/>
              <w:rPr>
                <w:sz w:val="20"/>
              </w:rPr>
            </w:pPr>
            <w:r w:rsidRPr="00300257">
              <w:rPr>
                <w:sz w:val="20"/>
              </w:rPr>
              <w:t>OIA</w:t>
            </w:r>
            <w:r>
              <w:t xml:space="preserve"> </w:t>
            </w:r>
            <w:r w:rsidRPr="00545E0B">
              <w:rPr>
                <w:i/>
                <w:vertAlign w:val="subscript"/>
              </w:rPr>
              <w:t>q</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w:t>
            </w:r>
            <w:r>
              <w:rPr>
                <w:sz w:val="20"/>
              </w:rPr>
              <w:t xml:space="preserve"> </w:t>
            </w:r>
            <w:r w:rsidRPr="00300257">
              <w:rPr>
                <w:sz w:val="20"/>
              </w:rPr>
              <w:t>– Sum of any outstanding Real-Time and Day-Ahead unpaid invoices issued to the Counter-Party</w:t>
            </w:r>
            <w:r>
              <w:rPr>
                <w:sz w:val="20"/>
              </w:rPr>
              <w:t xml:space="preserve">, </w:t>
            </w:r>
            <w:r w:rsidRPr="00300257">
              <w:rPr>
                <w:sz w:val="20"/>
              </w:rPr>
              <w:t xml:space="preserve"> including but not limited to CRR Auction Revenue Distribution</w:t>
            </w:r>
            <w:r>
              <w:rPr>
                <w:sz w:val="20"/>
              </w:rPr>
              <w:t xml:space="preserve"> (CARD)</w:t>
            </w:r>
            <w:r w:rsidRPr="00300257">
              <w:rPr>
                <w:sz w:val="20"/>
              </w:rPr>
              <w:t xml:space="preserve"> </w:t>
            </w:r>
            <w:r>
              <w:rPr>
                <w:sz w:val="20"/>
              </w:rPr>
              <w:t>I</w:t>
            </w:r>
            <w:r w:rsidRPr="00300257">
              <w:rPr>
                <w:sz w:val="20"/>
              </w:rPr>
              <w:t xml:space="preserve">nvoices,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01F909CE" w14:textId="77777777" w:rsidR="00DF0271" w:rsidRPr="005078C5" w:rsidRDefault="00DF0271" w:rsidP="0031595F">
            <w:pPr>
              <w:pStyle w:val="TableBody"/>
              <w:tabs>
                <w:tab w:val="right" w:pos="9360"/>
              </w:tabs>
              <w:ind w:left="1962" w:hanging="1440"/>
            </w:pPr>
            <w:r w:rsidRPr="00D43459">
              <w:t>UDAA</w:t>
            </w:r>
            <w:r>
              <w:t xml:space="preserve"> </w:t>
            </w:r>
            <w:r w:rsidRPr="00545E0B">
              <w:rPr>
                <w:i/>
                <w:vertAlign w:val="subscript"/>
              </w:rPr>
              <w:t>q</w:t>
            </w:r>
            <w:r w:rsidRPr="00D43459">
              <w:t xml:space="preserve"> </w:t>
            </w:r>
            <w:r>
              <w:t>=</w:t>
            </w:r>
            <w:r>
              <w:tab/>
            </w:r>
            <w:r w:rsidRPr="00D43459">
              <w:rPr>
                <w:i/>
              </w:rPr>
              <w:t>Unbilled Day-Ahead Amounts</w:t>
            </w:r>
            <w:r>
              <w:rPr>
                <w:i/>
              </w:rPr>
              <w:t xml:space="preserve"> for all the QSEs represented by the Counter-Party </w:t>
            </w:r>
            <w:r w:rsidRPr="00D43459">
              <w:t xml:space="preserve"> – </w:t>
            </w:r>
            <w:r w:rsidRPr="00AE7F00">
              <w:t>Sum of DAL</w:t>
            </w:r>
            <w:r>
              <w:t xml:space="preserve"> for all the QSEs represented by the Counter-Party </w:t>
            </w:r>
            <w:r w:rsidRPr="00AE7F00">
              <w:t xml:space="preserve"> for all Operating Days for which </w:t>
            </w:r>
            <w:r>
              <w:t xml:space="preserve">a </w:t>
            </w:r>
            <w:r w:rsidRPr="00AE7F00">
              <w:t xml:space="preserve">DAM Statement is not </w:t>
            </w:r>
            <w:r w:rsidRPr="00D43459">
              <w:t>generated.</w:t>
            </w:r>
          </w:p>
          <w:p w14:paraId="49F9D6A3" w14:textId="77777777" w:rsidR="00DF0271" w:rsidRDefault="00DF0271" w:rsidP="0031595F">
            <w:pPr>
              <w:pStyle w:val="TableBody"/>
              <w:tabs>
                <w:tab w:val="right" w:pos="9360"/>
              </w:tabs>
              <w:ind w:left="1962" w:hanging="1440"/>
            </w:pPr>
            <w:r w:rsidRPr="005078C5">
              <w:t>UFA</w:t>
            </w:r>
            <w:r>
              <w:t xml:space="preserve"> </w:t>
            </w:r>
            <w:r w:rsidRPr="00545E0B">
              <w:rPr>
                <w:i/>
                <w:vertAlign w:val="subscript"/>
              </w:rPr>
              <w:t>q</w:t>
            </w:r>
            <w:r w:rsidRPr="005078C5">
              <w:t xml:space="preserve"> </w:t>
            </w:r>
            <w:r>
              <w:t>=</w:t>
            </w:r>
            <w:r>
              <w:tab/>
            </w:r>
            <w:r w:rsidRPr="00300257">
              <w:rPr>
                <w:i/>
              </w:rPr>
              <w:t>Unbilled Final Amounts</w:t>
            </w:r>
            <w:r>
              <w:rPr>
                <w:i/>
              </w:rPr>
              <w:t xml:space="preserve"> for all the QSEs represented by the Counter-Party</w:t>
            </w:r>
            <w:r w:rsidRPr="00F37A27">
              <w:t xml:space="preserve"> – </w:t>
            </w:r>
            <w:r>
              <w:t>U</w:t>
            </w:r>
            <w:r w:rsidRPr="00C7221C">
              <w:t>nbilled final ex</w:t>
            </w:r>
            <w:r>
              <w:t>t</w:t>
            </w:r>
            <w:r w:rsidRPr="00C7221C">
              <w:t>rapolated days (</w:t>
            </w:r>
            <w:r w:rsidRPr="00C7221C">
              <w:rPr>
                <w:i/>
              </w:rPr>
              <w:t>ufd)</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10AC0AE7" w14:textId="77777777" w:rsidR="00DF0271" w:rsidRPr="005548A2" w:rsidRDefault="00DF0271" w:rsidP="0031595F">
            <w:pPr>
              <w:pStyle w:val="TableBody"/>
              <w:tabs>
                <w:tab w:val="right" w:pos="9360"/>
              </w:tabs>
              <w:ind w:left="1962" w:hanging="1440"/>
            </w:pPr>
            <w:r w:rsidRPr="005548A2">
              <w:t xml:space="preserve">UTA </w:t>
            </w:r>
            <w:r w:rsidRPr="005548A2">
              <w:rPr>
                <w:i/>
                <w:vertAlign w:val="subscript"/>
              </w:rPr>
              <w:t>q</w:t>
            </w:r>
            <w:r w:rsidRPr="005548A2">
              <w:t xml:space="preserve"> =</w:t>
            </w:r>
            <w:r w:rsidRPr="005548A2">
              <w:tab/>
            </w:r>
            <w:r w:rsidRPr="005548A2">
              <w:rPr>
                <w:i/>
              </w:rPr>
              <w:t>Unbilled True-Up Amounts for all the QSEs represented by the Counter-Party</w:t>
            </w:r>
            <w:r w:rsidRPr="005548A2">
              <w:t xml:space="preserve"> –– Unbilled true-up extrapolated days  (</w:t>
            </w:r>
            <w:r w:rsidRPr="005548A2">
              <w:rPr>
                <w:i/>
              </w:rPr>
              <w:t>utd)</w:t>
            </w:r>
            <w:r w:rsidRPr="005548A2">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p w14:paraId="332B08AD" w14:textId="77777777" w:rsidR="00DF0271" w:rsidRPr="00BE4766" w:rsidRDefault="00DF0271" w:rsidP="0058051D">
            <w:pPr>
              <w:spacing w:after="120"/>
              <w:ind w:left="1962" w:hanging="1440"/>
              <w:rPr>
                <w:noProof/>
              </w:rPr>
            </w:pPr>
            <w:r w:rsidRPr="005548A2">
              <w:rPr>
                <w:sz w:val="20"/>
              </w:rPr>
              <w:t>CARD =</w:t>
            </w:r>
            <w:r w:rsidRPr="005548A2">
              <w:rPr>
                <w:sz w:val="20"/>
              </w:rPr>
              <w:tab/>
            </w:r>
            <w:r w:rsidRPr="005548A2">
              <w:rPr>
                <w:i/>
                <w:sz w:val="20"/>
              </w:rPr>
              <w:t>CRR Auction Revenue Distribution for all the QSEs represented by the Counter-Party</w:t>
            </w:r>
            <w:r w:rsidRPr="005548A2">
              <w:rPr>
                <w:sz w:val="20"/>
              </w:rPr>
              <w:t xml:space="preserve"> –Estimate of the </w:t>
            </w:r>
            <w:r w:rsidRPr="005548A2">
              <w:rPr>
                <w:sz w:val="20"/>
              </w:rPr>
              <w:lastRenderedPageBreak/>
              <w:t>Counter-Party’s unpaid allocation of CRR Auction revenues that have already been collected but have not been paid out to all QSEs represented by the Counter-Party. CRR Auction revenues that have been earned but not billed are distributed based on the following Load Ratio Shares (LRS</w:t>
            </w:r>
            <w:r w:rsidR="0058051D">
              <w:rPr>
                <w:sz w:val="20"/>
              </w:rPr>
              <w:t>s</w:t>
            </w:r>
            <w:r w:rsidRPr="005548A2">
              <w:rPr>
                <w:sz w:val="20"/>
              </w:rPr>
              <w:t>):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DF0271" w:rsidRPr="003D0DC1" w14:paraId="2BF5AEF0" w14:textId="77777777" w:rsidTr="0031595F">
        <w:trPr>
          <w:trHeight w:val="350"/>
        </w:trPr>
        <w:tc>
          <w:tcPr>
            <w:tcW w:w="1503" w:type="dxa"/>
          </w:tcPr>
          <w:p w14:paraId="1FB7B120" w14:textId="77777777" w:rsidR="00DF0271" w:rsidRPr="00BE4766" w:rsidRDefault="00DF0271" w:rsidP="0031595F">
            <w:pPr>
              <w:pStyle w:val="TableBody"/>
              <w:tabs>
                <w:tab w:val="right" w:pos="9360"/>
              </w:tabs>
            </w:pPr>
            <w:r w:rsidRPr="00545E0B">
              <w:lastRenderedPageBreak/>
              <w:t>DAL</w:t>
            </w:r>
          </w:p>
        </w:tc>
        <w:tc>
          <w:tcPr>
            <w:tcW w:w="886" w:type="dxa"/>
          </w:tcPr>
          <w:p w14:paraId="6512DE28" w14:textId="77777777" w:rsidR="00DF0271" w:rsidRPr="00BE4766" w:rsidRDefault="00DF0271" w:rsidP="0031595F">
            <w:pPr>
              <w:pStyle w:val="TableBody"/>
              <w:tabs>
                <w:tab w:val="right" w:pos="9360"/>
              </w:tabs>
            </w:pPr>
            <w:r w:rsidRPr="00545E0B">
              <w:t>$</w:t>
            </w:r>
          </w:p>
        </w:tc>
        <w:tc>
          <w:tcPr>
            <w:tcW w:w="6701" w:type="dxa"/>
          </w:tcPr>
          <w:p w14:paraId="1FE193F4" w14:textId="77777777" w:rsidR="00DF0271" w:rsidRPr="004F71C8" w:rsidRDefault="00DF0271" w:rsidP="0031595F">
            <w:pPr>
              <w:pStyle w:val="H8"/>
              <w:keepNext w:val="0"/>
              <w:tabs>
                <w:tab w:val="clear" w:pos="2160"/>
                <w:tab w:val="right" w:pos="9360"/>
              </w:tabs>
              <w:spacing w:before="0" w:after="60"/>
              <w:ind w:left="0" w:firstLine="0"/>
              <w:rPr>
                <w:b w:val="0"/>
                <w:i/>
                <w:sz w:val="20"/>
                <w:szCs w:val="20"/>
              </w:rPr>
            </w:pPr>
            <w:r w:rsidRPr="00545E0B">
              <w:rPr>
                <w:b w:val="0"/>
                <w:i/>
                <w:iCs w:val="0"/>
                <w:sz w:val="20"/>
                <w:szCs w:val="20"/>
              </w:rPr>
              <w:t>Day-Ahead Liability</w:t>
            </w:r>
            <w:r w:rsidRPr="00545E0B">
              <w:rPr>
                <w:b w:val="0"/>
                <w:iCs w:val="0"/>
                <w:sz w:val="20"/>
                <w:szCs w:val="20"/>
              </w:rPr>
              <w:t xml:space="preserve">—The estimated or settled amounts due </w:t>
            </w:r>
            <w:r>
              <w:rPr>
                <w:b w:val="0"/>
                <w:iCs w:val="0"/>
                <w:sz w:val="20"/>
                <w:szCs w:val="20"/>
              </w:rPr>
              <w:t>to or from</w:t>
            </w:r>
            <w:r w:rsidRPr="00545E0B">
              <w:rPr>
                <w:b w:val="0"/>
                <w:iCs w:val="0"/>
                <w:sz w:val="20"/>
                <w:szCs w:val="20"/>
              </w:rPr>
              <w:t xml:space="preserve"> ERCOT due to activities in the DAM for an Operating Day, as defined in </w:t>
            </w:r>
            <w:r>
              <w:rPr>
                <w:b w:val="0"/>
                <w:iCs w:val="0"/>
                <w:sz w:val="20"/>
                <w:szCs w:val="20"/>
              </w:rPr>
              <w:t>S</w:t>
            </w:r>
            <w:r w:rsidRPr="00545E0B">
              <w:rPr>
                <w:b w:val="0"/>
                <w:iCs w:val="0"/>
                <w:sz w:val="20"/>
                <w:szCs w:val="20"/>
              </w:rPr>
              <w:t>ection 16.11.4.3.1</w:t>
            </w:r>
            <w:r>
              <w:rPr>
                <w:b w:val="0"/>
                <w:iCs w:val="0"/>
                <w:sz w:val="20"/>
                <w:szCs w:val="20"/>
              </w:rPr>
              <w:t xml:space="preserve">, </w:t>
            </w:r>
            <w:r w:rsidRPr="000619D0">
              <w:rPr>
                <w:b w:val="0"/>
                <w:iCs w:val="0"/>
                <w:sz w:val="20"/>
                <w:szCs w:val="20"/>
              </w:rPr>
              <w:t>Day-Ahead Liability Estimate</w:t>
            </w:r>
            <w:r w:rsidRPr="00DB2C96">
              <w:rPr>
                <w:b w:val="0"/>
                <w:iCs w:val="0"/>
                <w:sz w:val="20"/>
                <w:szCs w:val="20"/>
              </w:rPr>
              <w:t xml:space="preserve">. </w:t>
            </w:r>
          </w:p>
        </w:tc>
      </w:tr>
      <w:tr w:rsidR="00DF0271" w:rsidRPr="003D0DC1" w14:paraId="55806A34" w14:textId="77777777" w:rsidTr="0031595F">
        <w:trPr>
          <w:trHeight w:val="350"/>
        </w:trPr>
        <w:tc>
          <w:tcPr>
            <w:tcW w:w="1503" w:type="dxa"/>
          </w:tcPr>
          <w:p w14:paraId="0B4508FA" w14:textId="77777777" w:rsidR="00DF0271" w:rsidRPr="0012579B" w:rsidRDefault="00DF0271" w:rsidP="0031595F">
            <w:pPr>
              <w:pStyle w:val="TableBody"/>
              <w:tabs>
                <w:tab w:val="right" w:pos="9360"/>
              </w:tabs>
            </w:pPr>
            <w:r w:rsidRPr="00BE4766">
              <w:t>OUT</w:t>
            </w:r>
            <w:r>
              <w:t xml:space="preserve"> </w:t>
            </w:r>
            <w:r>
              <w:rPr>
                <w:i/>
                <w:vertAlign w:val="subscript"/>
              </w:rPr>
              <w:t>t</w:t>
            </w:r>
          </w:p>
        </w:tc>
        <w:tc>
          <w:tcPr>
            <w:tcW w:w="886" w:type="dxa"/>
          </w:tcPr>
          <w:p w14:paraId="727625D9" w14:textId="77777777" w:rsidR="00DF0271" w:rsidRPr="0012579B" w:rsidRDefault="00DF0271" w:rsidP="0031595F">
            <w:pPr>
              <w:pStyle w:val="TableBody"/>
              <w:tabs>
                <w:tab w:val="right" w:pos="9360"/>
              </w:tabs>
            </w:pPr>
            <w:r w:rsidRPr="00BE4766">
              <w:t>$</w:t>
            </w:r>
          </w:p>
        </w:tc>
        <w:tc>
          <w:tcPr>
            <w:tcW w:w="6701" w:type="dxa"/>
          </w:tcPr>
          <w:p w14:paraId="3996FD87" w14:textId="77777777" w:rsidR="00DF0271" w:rsidRPr="0085021C" w:rsidRDefault="00DF0271" w:rsidP="0031595F">
            <w:pPr>
              <w:pStyle w:val="H8"/>
              <w:keepNext w:val="0"/>
              <w:tabs>
                <w:tab w:val="clear" w:pos="2160"/>
                <w:tab w:val="right" w:pos="9360"/>
              </w:tabs>
              <w:spacing w:before="0" w:after="60"/>
              <w:ind w:left="0" w:firstLine="0"/>
              <w:rPr>
                <w:b w:val="0"/>
                <w:sz w:val="20"/>
                <w:szCs w:val="20"/>
              </w:rPr>
            </w:pPr>
            <w:r w:rsidRPr="0085021C">
              <w:rPr>
                <w:b w:val="0"/>
                <w:i/>
                <w:sz w:val="20"/>
                <w:szCs w:val="20"/>
              </w:rPr>
              <w:t>Outstanding Unpaid Transactions</w:t>
            </w:r>
            <w:r w:rsidRPr="0085021C">
              <w:rPr>
                <w:b w:val="0"/>
                <w:sz w:val="20"/>
                <w:szCs w:val="20"/>
              </w:rPr>
              <w:t>—Outstanding unpaid transactions for all QSEs represented by the Counter-Party</w:t>
            </w:r>
            <w:r w:rsidRPr="00DB2C96">
              <w:rPr>
                <w:b w:val="0"/>
                <w:sz w:val="20"/>
                <w:szCs w:val="20"/>
              </w:rPr>
              <w:t xml:space="preserve"> if none of the QSEs represented by the Counter-Party represent either Load or generation</w:t>
            </w:r>
            <w:r w:rsidRPr="0085021C">
              <w:rPr>
                <w:b w:val="0"/>
                <w:sz w:val="20"/>
                <w:szCs w:val="20"/>
              </w:rPr>
              <w:t>, which include (a) outstanding Invoices to the Counter-Party; (b) estimated unbilled items to the Counter-Party, to the extent not adequately accommodated in the RTLE calculation (including resettlemen</w:t>
            </w:r>
            <w:r>
              <w:rPr>
                <w:b w:val="0"/>
                <w:sz w:val="20"/>
                <w:szCs w:val="20"/>
              </w:rPr>
              <w:t>ts and other known liabilities)</w:t>
            </w:r>
            <w:r w:rsidRPr="0085021C">
              <w:rPr>
                <w:b w:val="0"/>
                <w:sz w:val="20"/>
                <w:szCs w:val="20"/>
              </w:rPr>
              <w:t>.</w:t>
            </w:r>
          </w:p>
          <w:p w14:paraId="7088FC15" w14:textId="77777777" w:rsidR="00DF0271" w:rsidRDefault="00DF0271" w:rsidP="0031595F">
            <w:pPr>
              <w:pStyle w:val="TableBody"/>
              <w:tabs>
                <w:tab w:val="right" w:pos="9360"/>
              </w:tabs>
            </w:pPr>
          </w:p>
          <w:p w14:paraId="523B9BE0" w14:textId="77777777" w:rsidR="00DF0271" w:rsidRPr="00142152" w:rsidRDefault="00DF0271" w:rsidP="0031595F">
            <w:pPr>
              <w:pStyle w:val="TableBody"/>
              <w:tabs>
                <w:tab w:val="right" w:pos="9360"/>
              </w:tabs>
              <w:ind w:left="522"/>
            </w:pPr>
            <w:r w:rsidRPr="00142152">
              <w:t xml:space="preserve">OUT </w:t>
            </w:r>
            <w:r w:rsidRPr="00142152">
              <w:rPr>
                <w:i/>
                <w:vertAlign w:val="subscript"/>
              </w:rPr>
              <w:t>t</w:t>
            </w:r>
            <w:r w:rsidRPr="00142152">
              <w:t xml:space="preserve"> = OIA </w:t>
            </w:r>
            <w:r w:rsidRPr="00142152">
              <w:rPr>
                <w:i/>
                <w:vertAlign w:val="subscript"/>
              </w:rPr>
              <w:t>t</w:t>
            </w:r>
            <w:r w:rsidRPr="00142152">
              <w:t xml:space="preserve"> + UDAA </w:t>
            </w:r>
            <w:r w:rsidRPr="00142152">
              <w:rPr>
                <w:i/>
                <w:vertAlign w:val="subscript"/>
              </w:rPr>
              <w:t>t</w:t>
            </w:r>
            <w:r w:rsidRPr="00142152">
              <w:t xml:space="preserve"> + UFA </w:t>
            </w:r>
            <w:r w:rsidRPr="00142152">
              <w:rPr>
                <w:i/>
                <w:vertAlign w:val="subscript"/>
              </w:rPr>
              <w:t>t</w:t>
            </w:r>
            <w:r w:rsidRPr="00142152">
              <w:t xml:space="preserve"> + UTA </w:t>
            </w:r>
            <w:r w:rsidRPr="00142152">
              <w:rPr>
                <w:i/>
                <w:vertAlign w:val="subscript"/>
              </w:rPr>
              <w:t>t</w:t>
            </w:r>
          </w:p>
          <w:p w14:paraId="53D7D018" w14:textId="77777777" w:rsidR="00DF0271" w:rsidRPr="00142152" w:rsidRDefault="00DF0271" w:rsidP="0031595F">
            <w:pPr>
              <w:pStyle w:val="TableBody"/>
              <w:tabs>
                <w:tab w:val="right" w:pos="9360"/>
              </w:tabs>
            </w:pPr>
          </w:p>
          <w:p w14:paraId="1956FBE4" w14:textId="77777777" w:rsidR="00DF0271" w:rsidRDefault="00DF0271" w:rsidP="0031595F">
            <w:pPr>
              <w:pStyle w:val="TableBody"/>
              <w:tabs>
                <w:tab w:val="right" w:pos="9360"/>
              </w:tabs>
            </w:pPr>
            <w:r>
              <w:t>Where:</w:t>
            </w:r>
          </w:p>
          <w:p w14:paraId="390A2522" w14:textId="77777777" w:rsidR="00DF0271" w:rsidRPr="00C21ED2" w:rsidRDefault="00DF0271" w:rsidP="0031595F">
            <w:pPr>
              <w:pStyle w:val="TableBody"/>
              <w:tabs>
                <w:tab w:val="right" w:pos="9360"/>
              </w:tabs>
              <w:spacing w:after="0"/>
            </w:pPr>
          </w:p>
          <w:p w14:paraId="553F51E2" w14:textId="77777777" w:rsidR="00DF0271" w:rsidRPr="00300257" w:rsidRDefault="00DF0271" w:rsidP="0031595F">
            <w:pPr>
              <w:spacing w:after="60"/>
              <w:ind w:left="1958" w:hanging="1440"/>
              <w:rPr>
                <w:sz w:val="20"/>
              </w:rPr>
            </w:pPr>
            <w:r w:rsidRPr="00300257">
              <w:rPr>
                <w:sz w:val="20"/>
              </w:rPr>
              <w:t>OIA</w:t>
            </w:r>
            <w:r>
              <w:t xml:space="preserve"> </w:t>
            </w:r>
            <w:r>
              <w:rPr>
                <w:i/>
                <w:vertAlign w:val="subscript"/>
              </w:rPr>
              <w:t>t</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 </w:t>
            </w:r>
            <w:r w:rsidRPr="00545E0B">
              <w:rPr>
                <w:i/>
                <w:sz w:val="20"/>
              </w:rPr>
              <w:t>if none of the QSEs represented by the Counter-Party represent either Load or generation</w:t>
            </w:r>
            <w:r>
              <w:rPr>
                <w:sz w:val="20"/>
              </w:rPr>
              <w:t xml:space="preserve"> </w:t>
            </w:r>
            <w:r w:rsidRPr="00300257">
              <w:rPr>
                <w:sz w:val="20"/>
              </w:rPr>
              <w:t xml:space="preserve">– Sum of any outstanding Real-Time and Day-Ahead unpaid </w:t>
            </w:r>
            <w:r>
              <w:rPr>
                <w:sz w:val="20"/>
              </w:rPr>
              <w:t>I</w:t>
            </w:r>
            <w:r w:rsidRPr="00300257">
              <w:rPr>
                <w:sz w:val="20"/>
              </w:rPr>
              <w:t>nvoices issued to the Counter-Party</w:t>
            </w:r>
            <w:r>
              <w:rPr>
                <w:sz w:val="20"/>
              </w:rPr>
              <w:t xml:space="preserve">, </w:t>
            </w:r>
            <w:r w:rsidRPr="00300257">
              <w:rPr>
                <w:sz w:val="20"/>
              </w:rPr>
              <w:t xml:space="preserve">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invoices due to the Counter-Party that have been short-paid as a result of a Default or non-payment of invoices due to ERCOT by another Counter-Party.</w:t>
            </w:r>
          </w:p>
          <w:p w14:paraId="79351E58" w14:textId="77777777" w:rsidR="00DF0271" w:rsidRPr="005078C5" w:rsidRDefault="00DF0271" w:rsidP="0031595F">
            <w:pPr>
              <w:pStyle w:val="TableBody"/>
              <w:tabs>
                <w:tab w:val="right" w:pos="9360"/>
              </w:tabs>
              <w:ind w:left="1962" w:hanging="1440"/>
            </w:pPr>
            <w:r w:rsidRPr="00D43459">
              <w:t>UDAA</w:t>
            </w:r>
            <w:r>
              <w:t xml:space="preserve"> </w:t>
            </w:r>
            <w:r>
              <w:rPr>
                <w:i/>
                <w:vertAlign w:val="subscript"/>
              </w:rPr>
              <w:t>t</w:t>
            </w:r>
            <w:r w:rsidRPr="00D43459">
              <w:t xml:space="preserve"> </w:t>
            </w:r>
            <w:r>
              <w:t>=</w:t>
            </w:r>
            <w:r>
              <w:tab/>
            </w:r>
            <w:r w:rsidRPr="00D43459">
              <w:rPr>
                <w:i/>
              </w:rPr>
              <w:t>Unbilled Day-Ahead Amounts</w:t>
            </w:r>
            <w:r>
              <w:rPr>
                <w:i/>
              </w:rPr>
              <w:t xml:space="preserve"> for all the QSEs represented by the Counter-Party </w:t>
            </w:r>
            <w:r w:rsidRPr="0085021C">
              <w:rPr>
                <w:i/>
              </w:rPr>
              <w:t>if none of the QSEs represented by the Counter-Party represent either Load or generation</w:t>
            </w:r>
            <w:r>
              <w:rPr>
                <w:i/>
              </w:rPr>
              <w:t xml:space="preserve"> </w:t>
            </w:r>
            <w:r w:rsidRPr="00D43459">
              <w:t xml:space="preserve">– </w:t>
            </w:r>
            <w:r w:rsidRPr="00AE7F00">
              <w:t>Sum of DAL</w:t>
            </w:r>
            <w:r>
              <w:t xml:space="preserve"> for all the QSEs represented by the Counter-Party </w:t>
            </w:r>
            <w:r w:rsidRPr="00AE7F00">
              <w:t xml:space="preserve"> for all Operating Days for which DAM Statement is not </w:t>
            </w:r>
            <w:r w:rsidRPr="00D43459">
              <w:t>generated.</w:t>
            </w:r>
          </w:p>
          <w:p w14:paraId="05DA0E9B" w14:textId="77777777" w:rsidR="00DF0271" w:rsidRDefault="00DF0271" w:rsidP="0031595F">
            <w:pPr>
              <w:pStyle w:val="TableBody"/>
              <w:tabs>
                <w:tab w:val="right" w:pos="9360"/>
              </w:tabs>
              <w:ind w:left="1962" w:hanging="1440"/>
            </w:pPr>
            <w:r w:rsidRPr="005078C5">
              <w:t>UFA</w:t>
            </w:r>
            <w:r>
              <w:t xml:space="preserve"> </w:t>
            </w:r>
            <w:r>
              <w:rPr>
                <w:i/>
                <w:vertAlign w:val="subscript"/>
              </w:rPr>
              <w:t>t</w:t>
            </w:r>
            <w:r w:rsidRPr="005078C5">
              <w:t xml:space="preserve"> </w:t>
            </w:r>
            <w:r>
              <w:t>=</w:t>
            </w:r>
            <w:r>
              <w:tab/>
            </w:r>
            <w:r w:rsidRPr="00300257">
              <w:rPr>
                <w:i/>
              </w:rPr>
              <w:t>Unbilled Final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r w:rsidRPr="00300257">
              <w:rPr>
                <w:i/>
              </w:rPr>
              <w:t>ufd</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w:t>
            </w:r>
            <w:r w:rsidRPr="00BE4766">
              <w:lastRenderedPageBreak/>
              <w:t>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196F14DF" w14:textId="77777777" w:rsidR="00DF0271" w:rsidRPr="0012579B" w:rsidRDefault="00DF0271" w:rsidP="0031595F">
            <w:pPr>
              <w:pStyle w:val="TableBody"/>
              <w:tabs>
                <w:tab w:val="right" w:pos="9360"/>
              </w:tabs>
              <w:ind w:left="1962" w:hanging="1440"/>
              <w:rPr>
                <w:i/>
                <w:iCs w:val="0"/>
              </w:rPr>
            </w:pPr>
            <w:r w:rsidRPr="00F37A27">
              <w:t>UTA</w:t>
            </w:r>
            <w:r>
              <w:t xml:space="preserve"> </w:t>
            </w:r>
            <w:r>
              <w:rPr>
                <w:i/>
                <w:vertAlign w:val="subscript"/>
              </w:rPr>
              <w:t>t</w:t>
            </w:r>
            <w:r w:rsidRPr="00F37A27">
              <w:t xml:space="preserve"> </w:t>
            </w:r>
            <w:r>
              <w:t>=</w:t>
            </w:r>
            <w:r>
              <w:tab/>
            </w:r>
            <w:r w:rsidRPr="00300257">
              <w:rPr>
                <w:i/>
              </w:rPr>
              <w:t>Unbilled True-Up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r w:rsidRPr="00300257">
              <w:rPr>
                <w:i/>
              </w:rPr>
              <w:t>u</w:t>
            </w:r>
            <w:r>
              <w:rPr>
                <w:i/>
              </w:rPr>
              <w:t>t</w:t>
            </w:r>
            <w:r w:rsidRPr="00300257">
              <w:rPr>
                <w:i/>
              </w:rPr>
              <w:t>d</w:t>
            </w:r>
            <w:r w:rsidRPr="00BE4766">
              <w:t xml:space="preserve"> multiplied by the sum of the net amount due </w:t>
            </w:r>
            <w:r>
              <w:t xml:space="preserve">to or </w:t>
            </w:r>
            <w:r w:rsidRPr="00BE4766">
              <w:t>from</w:t>
            </w:r>
            <w:r>
              <w:t xml:space="preserve"> </w:t>
            </w:r>
            <w:r w:rsidRPr="00BE4766">
              <w:t xml:space="preserve">ERCOT by the Counter-Party </w:t>
            </w:r>
            <w:r w:rsidRPr="009648F5">
              <w:t>for all the QSEs represented by the Counter-Party</w:t>
            </w:r>
            <w:r>
              <w:t xml:space="preserve"> for Operating Days for which</w:t>
            </w:r>
            <w:r w:rsidRPr="00BE4766">
              <w:t xml:space="preserve"> </w:t>
            </w:r>
            <w:r>
              <w:t>RTM</w:t>
            </w:r>
            <w:r w:rsidRPr="00BE4766">
              <w:t xml:space="preserve"> </w:t>
            </w:r>
            <w:r>
              <w:t>True-up</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True-up</w:t>
            </w:r>
            <w:r w:rsidRPr="00BE4766">
              <w:t xml:space="preserve"> Settlement Statements </w:t>
            </w:r>
            <w:r>
              <w:t xml:space="preserve">were </w:t>
            </w:r>
            <w:r w:rsidRPr="00BE4766">
              <w:t xml:space="preserve">generated for the Counter-Party in the </w:t>
            </w:r>
            <w:r>
              <w:t>21</w:t>
            </w:r>
            <w:r w:rsidRPr="00BE4766">
              <w:t xml:space="preserve"> most recent c</w:t>
            </w:r>
            <w:r>
              <w:t>alendar days</w:t>
            </w:r>
            <w:r w:rsidRPr="00F37A27">
              <w:t xml:space="preserve">.  </w:t>
            </w:r>
          </w:p>
        </w:tc>
      </w:tr>
      <w:tr w:rsidR="00DF0271" w:rsidRPr="003D0DC1" w14:paraId="5ECCD1E0" w14:textId="77777777" w:rsidTr="0031595F">
        <w:trPr>
          <w:trHeight w:val="350"/>
        </w:trPr>
        <w:tc>
          <w:tcPr>
            <w:tcW w:w="1503" w:type="dxa"/>
          </w:tcPr>
          <w:p w14:paraId="3A7739C3" w14:textId="77777777" w:rsidR="00DF0271" w:rsidRPr="004F71C8" w:rsidRDefault="00DF0271" w:rsidP="0031595F">
            <w:pPr>
              <w:pStyle w:val="TableBody"/>
              <w:tabs>
                <w:tab w:val="right" w:pos="9360"/>
              </w:tabs>
            </w:pPr>
            <w:r w:rsidRPr="00BE4766">
              <w:lastRenderedPageBreak/>
              <w:t>OUT</w:t>
            </w:r>
            <w:r>
              <w:t xml:space="preserve"> </w:t>
            </w:r>
            <w:r w:rsidRPr="00545E0B">
              <w:rPr>
                <w:i/>
                <w:vertAlign w:val="subscript"/>
              </w:rPr>
              <w:t>a</w:t>
            </w:r>
          </w:p>
        </w:tc>
        <w:tc>
          <w:tcPr>
            <w:tcW w:w="886" w:type="dxa"/>
          </w:tcPr>
          <w:p w14:paraId="0AEFC4C3" w14:textId="77777777" w:rsidR="00DF0271" w:rsidRPr="004F71C8" w:rsidRDefault="00DF0271" w:rsidP="0031595F">
            <w:pPr>
              <w:pStyle w:val="TableBody"/>
              <w:tabs>
                <w:tab w:val="right" w:pos="9360"/>
              </w:tabs>
            </w:pPr>
            <w:r w:rsidRPr="00BE4766">
              <w:t>$</w:t>
            </w:r>
          </w:p>
        </w:tc>
        <w:tc>
          <w:tcPr>
            <w:tcW w:w="6701" w:type="dxa"/>
          </w:tcPr>
          <w:p w14:paraId="2B5C14EE" w14:textId="77777777" w:rsidR="00DF0271" w:rsidRDefault="00DF0271" w:rsidP="0031595F">
            <w:pPr>
              <w:pStyle w:val="TableBody"/>
              <w:tabs>
                <w:tab w:val="right" w:pos="9360"/>
              </w:tabs>
            </w:pPr>
            <w:r w:rsidRPr="00BE4766">
              <w:rPr>
                <w:i/>
              </w:rPr>
              <w:t>Outstanding Unpaid Transactions</w:t>
            </w:r>
            <w:r>
              <w:rPr>
                <w:i/>
              </w:rPr>
              <w:t xml:space="preserve"> for all CRR Account Holders represented by the Counter-Party</w:t>
            </w:r>
            <w:r w:rsidRPr="00BE4766">
              <w:t xml:space="preserve">—Outstanding, unpaid transactions of </w:t>
            </w:r>
            <w:r>
              <w:t xml:space="preserve">all the CRR Account Holders represented by </w:t>
            </w:r>
            <w:r w:rsidRPr="00BE4766">
              <w:t>the Counter-Party, which include outstanding Invoices to the Counter-Party</w:t>
            </w:r>
            <w:r>
              <w:t>.</w:t>
            </w:r>
            <w:r w:rsidRPr="00BE4766">
              <w:t xml:space="preserve"> </w:t>
            </w:r>
            <w:r>
              <w:t xml:space="preserve"> </w:t>
            </w:r>
            <w:r w:rsidRPr="00BE4766">
              <w:t>Invoices will not be considered outstanding for purposes of this calculation the Business Day after that Invoice payment is received.</w:t>
            </w:r>
            <w:r w:rsidRPr="00C21ED2">
              <w:t xml:space="preserve"> </w:t>
            </w:r>
          </w:p>
          <w:p w14:paraId="069BA8C2" w14:textId="77777777" w:rsidR="00DF0271" w:rsidRDefault="00DF0271" w:rsidP="0031595F">
            <w:pPr>
              <w:pStyle w:val="TableBody"/>
              <w:tabs>
                <w:tab w:val="right" w:pos="9360"/>
              </w:tabs>
            </w:pPr>
          </w:p>
          <w:p w14:paraId="1CA5DA18" w14:textId="77777777" w:rsidR="00DF0271" w:rsidRPr="00C21ED2" w:rsidRDefault="00DF0271" w:rsidP="0031595F">
            <w:pPr>
              <w:pStyle w:val="TableBody"/>
              <w:tabs>
                <w:tab w:val="right" w:pos="9360"/>
              </w:tabs>
              <w:ind w:left="522"/>
            </w:pPr>
            <w:r w:rsidRPr="00C21ED2">
              <w:t>OUT</w:t>
            </w:r>
            <w:r>
              <w:t xml:space="preserve"> </w:t>
            </w:r>
            <w:r w:rsidRPr="00545E0B">
              <w:rPr>
                <w:i/>
                <w:vertAlign w:val="subscript"/>
              </w:rPr>
              <w:t>a</w:t>
            </w:r>
            <w:r w:rsidRPr="00C21ED2">
              <w:t xml:space="preserve"> = OIA</w:t>
            </w:r>
            <w:r>
              <w:t xml:space="preserve"> </w:t>
            </w:r>
            <w:r w:rsidRPr="00545E0B">
              <w:rPr>
                <w:i/>
                <w:vertAlign w:val="subscript"/>
              </w:rPr>
              <w:t>a</w:t>
            </w:r>
            <w:r w:rsidRPr="00C21ED2">
              <w:t xml:space="preserve"> + UDAA</w:t>
            </w:r>
            <w:r>
              <w:t xml:space="preserve"> </w:t>
            </w:r>
            <w:r w:rsidRPr="00545E0B">
              <w:rPr>
                <w:i/>
                <w:vertAlign w:val="subscript"/>
              </w:rPr>
              <w:t>a</w:t>
            </w:r>
            <w:r w:rsidRPr="00C21ED2">
              <w:t xml:space="preserve"> </w:t>
            </w:r>
          </w:p>
          <w:p w14:paraId="21AC865D" w14:textId="77777777" w:rsidR="00DF0271" w:rsidRDefault="00DF0271" w:rsidP="0031595F">
            <w:pPr>
              <w:pStyle w:val="TableBody"/>
              <w:tabs>
                <w:tab w:val="right" w:pos="9360"/>
              </w:tabs>
            </w:pPr>
          </w:p>
          <w:p w14:paraId="72AB67BD" w14:textId="77777777" w:rsidR="00DF0271" w:rsidRPr="00C21ED2" w:rsidRDefault="00DF0271" w:rsidP="0031595F">
            <w:pPr>
              <w:pStyle w:val="TableBody"/>
              <w:tabs>
                <w:tab w:val="right" w:pos="9360"/>
              </w:tabs>
            </w:pPr>
            <w:r>
              <w:t>Where:</w:t>
            </w:r>
          </w:p>
          <w:p w14:paraId="34B7A237" w14:textId="77777777" w:rsidR="00DF0271" w:rsidRDefault="00DF0271" w:rsidP="0031595F">
            <w:pPr>
              <w:rPr>
                <w:sz w:val="20"/>
              </w:rPr>
            </w:pPr>
          </w:p>
          <w:p w14:paraId="03D6E8D5" w14:textId="77777777" w:rsidR="00DF0271" w:rsidRPr="00300257" w:rsidRDefault="00DF0271" w:rsidP="0031595F">
            <w:pPr>
              <w:spacing w:after="60"/>
              <w:ind w:left="1958" w:hanging="1526"/>
              <w:rPr>
                <w:sz w:val="20"/>
              </w:rPr>
            </w:pPr>
            <w:r w:rsidRPr="00300257">
              <w:rPr>
                <w:sz w:val="20"/>
              </w:rPr>
              <w:t>OIA</w:t>
            </w:r>
            <w:r>
              <w:t xml:space="preserve"> </w:t>
            </w:r>
            <w:r w:rsidRPr="00545E0B">
              <w:rPr>
                <w:i/>
                <w:vertAlign w:val="subscript"/>
              </w:rPr>
              <w:t>a</w:t>
            </w:r>
            <w:r w:rsidRPr="00300257">
              <w:rPr>
                <w:sz w:val="20"/>
              </w:rPr>
              <w:t xml:space="preserve"> </w:t>
            </w:r>
            <w:r>
              <w:rPr>
                <w:sz w:val="20"/>
              </w:rPr>
              <w:t>=</w:t>
            </w:r>
            <w:r>
              <w:rPr>
                <w:sz w:val="20"/>
              </w:rPr>
              <w:tab/>
            </w:r>
            <w:r w:rsidRPr="00300257">
              <w:rPr>
                <w:i/>
                <w:sz w:val="20"/>
              </w:rPr>
              <w:t>Outstanding Invoice Amounts</w:t>
            </w:r>
            <w:r>
              <w:rPr>
                <w:i/>
                <w:sz w:val="20"/>
              </w:rPr>
              <w:t xml:space="preserve"> for all the CRR Account Holders represented by the Counter-Party</w:t>
            </w:r>
            <w:r>
              <w:rPr>
                <w:sz w:val="20"/>
              </w:rPr>
              <w:t xml:space="preserve"> </w:t>
            </w:r>
            <w:r w:rsidRPr="00300257">
              <w:rPr>
                <w:sz w:val="20"/>
              </w:rPr>
              <w:t xml:space="preserve">– Sum of any outstanding Real-Time and Day-Ahead unpaid </w:t>
            </w:r>
            <w:r>
              <w:rPr>
                <w:sz w:val="20"/>
              </w:rPr>
              <w:t>I</w:t>
            </w:r>
            <w:r w:rsidRPr="00300257">
              <w:rPr>
                <w:sz w:val="20"/>
              </w:rPr>
              <w:t xml:space="preserve">nvoices issued to the Counter-Party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w:t>
            </w:r>
            <w:r>
              <w:rPr>
                <w:sz w:val="20"/>
              </w:rPr>
              <w:t xml:space="preserve">  Also included are the amounts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66AEE67A" w14:textId="77777777" w:rsidR="00DF0271" w:rsidRPr="004F71C8" w:rsidRDefault="00DF0271" w:rsidP="0031595F">
            <w:pPr>
              <w:pStyle w:val="TableBody"/>
              <w:tabs>
                <w:tab w:val="right" w:pos="9360"/>
              </w:tabs>
              <w:ind w:left="1962" w:hanging="1530"/>
              <w:rPr>
                <w:i/>
                <w:iCs w:val="0"/>
              </w:rPr>
            </w:pPr>
            <w:r w:rsidRPr="00D43459">
              <w:t>UDAA</w:t>
            </w:r>
            <w:r>
              <w:t xml:space="preserve"> </w:t>
            </w:r>
            <w:r w:rsidRPr="00545E0B">
              <w:rPr>
                <w:i/>
                <w:vertAlign w:val="subscript"/>
              </w:rPr>
              <w:t>a</w:t>
            </w:r>
            <w:r w:rsidRPr="00D43459">
              <w:t xml:space="preserve"> </w:t>
            </w:r>
            <w:r>
              <w:t>=</w:t>
            </w:r>
            <w:r>
              <w:tab/>
            </w:r>
            <w:r w:rsidRPr="00D43459">
              <w:rPr>
                <w:i/>
              </w:rPr>
              <w:t>Unbilled Day-Ahead Amounts</w:t>
            </w:r>
            <w:r>
              <w:rPr>
                <w:i/>
              </w:rPr>
              <w:t xml:space="preserve"> for all the CRR Account Holders represented by the Counter-Party </w:t>
            </w:r>
            <w:r w:rsidRPr="00D43459">
              <w:t xml:space="preserve"> – </w:t>
            </w:r>
            <w:r w:rsidRPr="005B1A72">
              <w:t>Sum of DAL</w:t>
            </w:r>
            <w:r>
              <w:t xml:space="preserve"> of all the CRR Account Holders represented by the Counter-Party </w:t>
            </w:r>
            <w:r w:rsidRPr="005B1A72">
              <w:t xml:space="preserve"> for all Operating Days for which DAM Statement is not </w:t>
            </w:r>
            <w:r w:rsidRPr="00D43459">
              <w:t>generated.</w:t>
            </w:r>
          </w:p>
        </w:tc>
      </w:tr>
      <w:tr w:rsidR="00DF0271" w:rsidRPr="007F29AF" w14:paraId="78AE1329" w14:textId="77777777" w:rsidTr="0031595F">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29C6C5E" w14:textId="77777777" w:rsidR="00DF0271" w:rsidRPr="00BE4766" w:rsidRDefault="00DF0271" w:rsidP="0031595F">
            <w:pPr>
              <w:pStyle w:val="TableBody"/>
              <w:tabs>
                <w:tab w:val="right" w:pos="9360"/>
              </w:tabs>
            </w:pPr>
            <w:r>
              <w:t>ILE</w:t>
            </w:r>
            <w:r w:rsidRPr="00B3490C">
              <w:rPr>
                <w:b/>
                <w:vertAlign w:val="subscript"/>
              </w:rPr>
              <w:t xml:space="preserve"> </w:t>
            </w:r>
            <w:r w:rsidRPr="00D36347">
              <w:rPr>
                <w:b/>
                <w:i/>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75F644DC" w14:textId="77777777" w:rsidR="00DF0271" w:rsidRPr="00BE4766" w:rsidRDefault="00DF0271" w:rsidP="0031595F">
            <w:pPr>
              <w:pStyle w:val="TableBody"/>
              <w:tabs>
                <w:tab w:val="right" w:pos="9360"/>
              </w:tabs>
            </w:pPr>
            <w:r>
              <w:t>$</w:t>
            </w:r>
          </w:p>
        </w:tc>
        <w:tc>
          <w:tcPr>
            <w:tcW w:w="6701" w:type="dxa"/>
            <w:tcBorders>
              <w:top w:val="single" w:sz="4" w:space="0" w:color="auto"/>
              <w:left w:val="single" w:sz="4" w:space="0" w:color="auto"/>
              <w:bottom w:val="single" w:sz="4" w:space="0" w:color="auto"/>
              <w:right w:val="single" w:sz="4" w:space="0" w:color="auto"/>
            </w:tcBorders>
          </w:tcPr>
          <w:p w14:paraId="03BCAFBA" w14:textId="77777777" w:rsidR="00DF0271" w:rsidRPr="00BE4766" w:rsidRDefault="00DF0271" w:rsidP="0031595F">
            <w:pPr>
              <w:pStyle w:val="TableBody"/>
              <w:rPr>
                <w:i/>
              </w:rPr>
            </w:pPr>
            <w:r>
              <w:rPr>
                <w:i/>
              </w:rPr>
              <w:t>Incremental Load Exposure –</w:t>
            </w:r>
            <w: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Pr>
                <w:i/>
              </w:rPr>
              <w:t>pro rata</w:t>
            </w:r>
            <w: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w:t>
            </w:r>
            <w:r>
              <w:lastRenderedPageBreak/>
              <w:t xml:space="preserve">the defaulting Counter-Party, after which time the incremental exposure will be fully reflected in the Counter-Party’s unadjusted TPE.  </w:t>
            </w:r>
          </w:p>
        </w:tc>
      </w:tr>
      <w:tr w:rsidR="00DF0271" w:rsidRPr="007F29AF" w14:paraId="75890549" w14:textId="77777777" w:rsidTr="0031595F">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9220C9F" w14:textId="77777777" w:rsidR="00DF0271" w:rsidRPr="00BE4766" w:rsidRDefault="00DF0271" w:rsidP="0031595F">
            <w:pPr>
              <w:pStyle w:val="TableBody"/>
              <w:tabs>
                <w:tab w:val="right" w:pos="9360"/>
              </w:tabs>
              <w:rPr>
                <w:noProof/>
              </w:rPr>
            </w:pPr>
            <w:r w:rsidRPr="00BE4766">
              <w:lastRenderedPageBreak/>
              <w:t>DALE</w:t>
            </w:r>
          </w:p>
        </w:tc>
        <w:tc>
          <w:tcPr>
            <w:tcW w:w="886" w:type="dxa"/>
            <w:tcBorders>
              <w:top w:val="single" w:sz="4" w:space="0" w:color="auto"/>
              <w:left w:val="single" w:sz="4" w:space="0" w:color="auto"/>
              <w:bottom w:val="single" w:sz="4" w:space="0" w:color="auto"/>
              <w:right w:val="single" w:sz="4" w:space="0" w:color="auto"/>
            </w:tcBorders>
          </w:tcPr>
          <w:p w14:paraId="3A4B0C00" w14:textId="77777777" w:rsidR="00DF0271" w:rsidRPr="00BE4766" w:rsidRDefault="00DF0271" w:rsidP="0031595F">
            <w:pPr>
              <w:pStyle w:val="TableBody"/>
              <w:tabs>
                <w:tab w:val="right" w:pos="9360"/>
              </w:tabs>
              <w:rPr>
                <w:noProof/>
              </w:rPr>
            </w:pPr>
            <w:r w:rsidRPr="00BE4766">
              <w:t>$</w:t>
            </w:r>
          </w:p>
        </w:tc>
        <w:tc>
          <w:tcPr>
            <w:tcW w:w="6701" w:type="dxa"/>
            <w:tcBorders>
              <w:top w:val="single" w:sz="4" w:space="0" w:color="auto"/>
              <w:left w:val="single" w:sz="4" w:space="0" w:color="auto"/>
              <w:bottom w:val="single" w:sz="4" w:space="0" w:color="auto"/>
              <w:right w:val="single" w:sz="4" w:space="0" w:color="auto"/>
            </w:tcBorders>
          </w:tcPr>
          <w:p w14:paraId="6C18267A" w14:textId="77777777" w:rsidR="00DF0271" w:rsidRPr="00C42795" w:rsidRDefault="00DF0271" w:rsidP="0031595F">
            <w:pPr>
              <w:pStyle w:val="TableBody"/>
            </w:pPr>
            <w:r w:rsidRPr="00BE4766">
              <w:rPr>
                <w:i/>
              </w:rPr>
              <w:t>Average Daily Day</w:t>
            </w:r>
            <w:r>
              <w:rPr>
                <w:i/>
              </w:rPr>
              <w:t>-</w:t>
            </w:r>
            <w:r w:rsidRPr="00BE4766">
              <w:rPr>
                <w:i/>
              </w:rPr>
              <w:t>Ahead Liability Extrapolated</w:t>
            </w:r>
            <w:r w:rsidRPr="00BE4766">
              <w:t>—M1</w:t>
            </w:r>
            <w:r>
              <w:t xml:space="preserve"> </w:t>
            </w:r>
            <w:r w:rsidRPr="00BE4766">
              <w:t>multiplied by the sum of the net amount</w:t>
            </w:r>
            <w:r>
              <w:t>,</w:t>
            </w:r>
            <w:r w:rsidRPr="00BE4766">
              <w:t xml:space="preserve"> </w:t>
            </w:r>
            <w:r>
              <w:t>with zero substituted for missing values,</w:t>
            </w:r>
            <w:r w:rsidRPr="00BE4766">
              <w:t xml:space="preserve"> due to or from ERCOT by the Counter-Party </w:t>
            </w:r>
            <w:r>
              <w:t>in the seven most recent Operating Days for which</w:t>
            </w:r>
            <w:r w:rsidRPr="00BE4766">
              <w:t xml:space="preserve"> DAM Settlement Statements</w:t>
            </w:r>
            <w:r>
              <w:t xml:space="preserve"> are produced for Counter-Parties according to the ERCOT Settlement Calendar</w:t>
            </w:r>
            <w:r w:rsidRPr="00BE4766">
              <w:t xml:space="preserve"> divided by seven.</w:t>
            </w:r>
          </w:p>
        </w:tc>
      </w:tr>
      <w:tr w:rsidR="00DF0271" w:rsidRPr="007F29AF" w14:paraId="07A1E107" w14:textId="77777777" w:rsidTr="0031595F">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49CC22C" w14:textId="77777777" w:rsidR="00DF0271" w:rsidRPr="00BE4766" w:rsidRDefault="00DF0271" w:rsidP="0031595F">
            <w:pPr>
              <w:pStyle w:val="TableBody"/>
              <w:tabs>
                <w:tab w:val="right" w:pos="9360"/>
              </w:tabs>
            </w:pPr>
            <w:r>
              <w:t>M1</w:t>
            </w:r>
          </w:p>
        </w:tc>
        <w:tc>
          <w:tcPr>
            <w:tcW w:w="886" w:type="dxa"/>
            <w:tcBorders>
              <w:top w:val="single" w:sz="4" w:space="0" w:color="auto"/>
              <w:left w:val="single" w:sz="4" w:space="0" w:color="auto"/>
              <w:bottom w:val="single" w:sz="4" w:space="0" w:color="auto"/>
              <w:right w:val="single" w:sz="4" w:space="0" w:color="auto"/>
            </w:tcBorders>
          </w:tcPr>
          <w:p w14:paraId="2CD1E72E" w14:textId="77777777" w:rsidR="00DF0271" w:rsidRPr="00BE4766" w:rsidRDefault="00DF0271" w:rsidP="0031595F">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0B9E9759" w14:textId="77777777" w:rsidR="00DF0271" w:rsidRDefault="00DF0271" w:rsidP="0031595F">
            <w:pPr>
              <w:pStyle w:val="TableBody"/>
              <w:ind w:left="23"/>
            </w:pPr>
            <w:r>
              <w:t xml:space="preserve">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w:t>
            </w:r>
            <w:r w:rsidRPr="00A0266F">
              <w:t>representing any QSE associated with a L</w:t>
            </w:r>
            <w:r w:rsidRPr="004F253C">
              <w:t>SE</w:t>
            </w:r>
            <w:r w:rsidRPr="00A0266F">
              <w:t>.</w:t>
            </w:r>
          </w:p>
          <w:p w14:paraId="5E20D752" w14:textId="77777777" w:rsidR="00DF0271" w:rsidRDefault="00DF0271" w:rsidP="0031595F">
            <w:pPr>
              <w:pStyle w:val="TableBody"/>
              <w:ind w:left="1823" w:hanging="1440"/>
            </w:pPr>
          </w:p>
          <w:p w14:paraId="75D25B96" w14:textId="0E9D2CA8" w:rsidR="008E39D6" w:rsidRDefault="00DF0271" w:rsidP="00902283">
            <w:pPr>
              <w:pStyle w:val="TableBody"/>
              <w:ind w:left="1823" w:hanging="1440"/>
            </w:pPr>
            <w:r>
              <w:t xml:space="preserve">M1a </w:t>
            </w:r>
            <w:r w:rsidRPr="000769A3">
              <w:t>=</w:t>
            </w:r>
            <w:r>
              <w:t xml:space="preserve">    </w:t>
            </w:r>
            <w:r>
              <w:tab/>
            </w:r>
            <w:r w:rsidR="008E39D6">
              <w:t>Time period required for any termination from an Operating Day</w:t>
            </w:r>
            <w:r w:rsidR="008E39D6" w:rsidRPr="00DD32A5">
              <w:t>.</w:t>
            </w:r>
            <w:r w:rsidR="008E39D6">
              <w:t xml:space="preserve">  </w:t>
            </w:r>
          </w:p>
          <w:p w14:paraId="2CF14227" w14:textId="71D23326" w:rsidR="00DF0271" w:rsidRDefault="008E39D6" w:rsidP="008E39D6">
            <w:pPr>
              <w:pStyle w:val="TableBody"/>
              <w:ind w:left="1823" w:hanging="1440"/>
            </w:pPr>
            <w:r>
              <w:tab/>
              <w:t>M1a is comprised of a fixed value (</w:t>
            </w:r>
            <w:r w:rsidRPr="005F054B">
              <w:rPr>
                <w:i/>
              </w:rPr>
              <w:t>M1d</w:t>
            </w:r>
            <w: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5F054B">
              <w:rPr>
                <w:i/>
              </w:rPr>
              <w:t>M1d</w:t>
            </w:r>
            <w:r>
              <w:t xml:space="preserve"> Bank Business Days forward, and adding any ERCOT holidays that are also Bank Business Days.</w:t>
            </w:r>
          </w:p>
          <w:p w14:paraId="5FE574CE" w14:textId="77777777" w:rsidR="00DF0271" w:rsidRDefault="00DF0271" w:rsidP="00504E97">
            <w:pPr>
              <w:pStyle w:val="TableBody"/>
              <w:spacing w:before="120"/>
              <w:ind w:left="1823" w:hanging="1440"/>
            </w:pPr>
            <w:r>
              <w:t>M1b =</w:t>
            </w:r>
            <w:r>
              <w:tab/>
              <w:t>Weighted average transition days = Min(B</w:t>
            </w:r>
            <w:r w:rsidRPr="00ED17A2">
              <w:t>,</w:t>
            </w:r>
            <w:r w:rsidRPr="0045269D">
              <w:t xml:space="preserve"> (2 + Max(1, (u+1)/2))*(</w:t>
            </w:r>
            <w:r>
              <w:t xml:space="preserve">1-DF)), </w:t>
            </w:r>
            <w:r w:rsidRPr="00A0266F">
              <w:t>rounded up to whole days</w:t>
            </w:r>
            <w:r>
              <w:t xml:space="preserve"> </w:t>
            </w:r>
          </w:p>
          <w:p w14:paraId="00BEFCF9" w14:textId="77777777" w:rsidR="00DF0271" w:rsidRDefault="00DF0271" w:rsidP="0031595F">
            <w:pPr>
              <w:pStyle w:val="TableBody"/>
              <w:ind w:left="1823" w:hanging="1440"/>
            </w:pPr>
            <w:r>
              <w:t xml:space="preserve">Where: </w:t>
            </w:r>
            <w:r>
              <w:tab/>
            </w:r>
          </w:p>
          <w:p w14:paraId="39FB92C8" w14:textId="77777777" w:rsidR="00DF0271" w:rsidRDefault="00DF0271" w:rsidP="0031595F">
            <w:pPr>
              <w:pStyle w:val="TableBody"/>
              <w:ind w:left="1823" w:hanging="1440"/>
            </w:pPr>
            <w:r>
              <w:t xml:space="preserve">u = </w:t>
            </w:r>
            <w:r>
              <w:tab/>
              <w:t xml:space="preserve">(ESIn/r) Unscaled number of days to transition.  </w:t>
            </w:r>
          </w:p>
          <w:p w14:paraId="033AD096" w14:textId="77777777" w:rsidR="00DF0271" w:rsidRDefault="00DF0271" w:rsidP="0031595F">
            <w:pPr>
              <w:pStyle w:val="TableBody"/>
              <w:ind w:left="1823" w:hanging="1440"/>
            </w:pPr>
            <w:r>
              <w:t>B =</w:t>
            </w:r>
            <w:r>
              <w:tab/>
            </w:r>
            <w:r w:rsidRPr="009648F5">
              <w:t>Benchmark value</w:t>
            </w:r>
            <w:r w:rsidRPr="00275EFD">
              <w:t>.</w:t>
            </w:r>
            <w:r>
              <w:t xml:space="preserve">  Used to establish a maximum M1 value</w:t>
            </w:r>
            <w:r w:rsidRPr="00DD32A5">
              <w:t>.</w:t>
            </w:r>
          </w:p>
          <w:p w14:paraId="0260C5D7" w14:textId="77777777" w:rsidR="00DF0271" w:rsidRDefault="00DF0271" w:rsidP="0031595F">
            <w:pPr>
              <w:pStyle w:val="TableBody"/>
              <w:ind w:left="1823" w:hanging="1440"/>
            </w:pPr>
            <w:r>
              <w:t>ESIn =</w:t>
            </w:r>
            <w:r>
              <w:tab/>
              <w:t>Number of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55927730" w14:textId="77777777" w:rsidR="00DF0271" w:rsidRDefault="00DF0271" w:rsidP="0031595F">
            <w:pPr>
              <w:pStyle w:val="TableBody"/>
              <w:ind w:left="1823" w:hanging="1440"/>
            </w:pPr>
            <w:r>
              <w:t>r =</w:t>
            </w:r>
            <w:r>
              <w:tab/>
              <w:t>Assumed ESI ID daily transition rate.</w:t>
            </w:r>
          </w:p>
          <w:p w14:paraId="6EF3521C" w14:textId="77777777" w:rsidR="00DF0271" w:rsidRPr="00BE4766" w:rsidRDefault="00DF0271" w:rsidP="0031595F">
            <w:pPr>
              <w:pStyle w:val="TableBody"/>
              <w:ind w:left="1829" w:hanging="1440"/>
              <w:rPr>
                <w:i/>
              </w:rPr>
            </w:pPr>
            <w:r w:rsidRPr="00EA568A">
              <w:t>DF =</w:t>
            </w:r>
            <w:r>
              <w:tab/>
              <w:t>Di</w:t>
            </w:r>
            <w:r w:rsidRPr="00EA568A">
              <w:t>scount Factor</w:t>
            </w:r>
            <w:r w:rsidRPr="00F822CB">
              <w:t xml:space="preserve"> applied to M1b if the </w:t>
            </w:r>
            <w:r w:rsidRPr="00AB77FB">
              <w:t xml:space="preserve"> Counter-Party </w:t>
            </w:r>
            <w:r w:rsidRPr="00F822CB">
              <w:t xml:space="preserve">is eligible for unsecured credit under </w:t>
            </w:r>
            <w:r>
              <w:t>Section 16.11.2, Requirements for Setting a Counter-Party’s Unsecured Credit Limit, or meets other creditworthiness standards that may be developed and approved by TAC and the ERCOT Board.</w:t>
            </w:r>
          </w:p>
        </w:tc>
      </w:tr>
      <w:tr w:rsidR="00DF0271" w:rsidRPr="007F29AF" w14:paraId="576387CB" w14:textId="77777777" w:rsidTr="0031595F">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68428FE6" w14:textId="77777777" w:rsidR="00DF0271" w:rsidRPr="00BE4766" w:rsidRDefault="00DF0271" w:rsidP="0031595F">
            <w:pPr>
              <w:pStyle w:val="TableBody"/>
              <w:tabs>
                <w:tab w:val="right" w:pos="9360"/>
              </w:tabs>
            </w:pPr>
            <w:r>
              <w:t>M2</w:t>
            </w:r>
          </w:p>
        </w:tc>
        <w:tc>
          <w:tcPr>
            <w:tcW w:w="886" w:type="dxa"/>
            <w:tcBorders>
              <w:top w:val="single" w:sz="4" w:space="0" w:color="auto"/>
              <w:left w:val="single" w:sz="4" w:space="0" w:color="auto"/>
              <w:bottom w:val="single" w:sz="4" w:space="0" w:color="auto"/>
              <w:right w:val="single" w:sz="4" w:space="0" w:color="auto"/>
            </w:tcBorders>
          </w:tcPr>
          <w:p w14:paraId="5C9759E6" w14:textId="77777777" w:rsidR="00DF0271" w:rsidRPr="00BE4766" w:rsidRDefault="00DF0271" w:rsidP="0031595F">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3560A33F" w14:textId="77777777" w:rsidR="00DF0271" w:rsidRPr="00BE4766" w:rsidRDefault="00DF0271" w:rsidP="0031595F">
            <w:pPr>
              <w:pStyle w:val="TableBody"/>
              <w:rPr>
                <w:i/>
              </w:rPr>
            </w:pPr>
            <w:r w:rsidRPr="00BE4766">
              <w:t>Multiplier for URTA.</w:t>
            </w:r>
          </w:p>
        </w:tc>
      </w:tr>
      <w:tr w:rsidR="00DF0271" w:rsidRPr="007F29AF" w14:paraId="1EE73271" w14:textId="77777777" w:rsidTr="0031595F">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05D63C5" w14:textId="77777777" w:rsidR="00DF0271" w:rsidRDefault="00DF0271" w:rsidP="0031595F">
            <w:pPr>
              <w:pStyle w:val="TableBody"/>
              <w:tabs>
                <w:tab w:val="right" w:pos="9360"/>
              </w:tabs>
            </w:pPr>
            <w:r>
              <w:t>RFAF</w:t>
            </w:r>
          </w:p>
        </w:tc>
        <w:tc>
          <w:tcPr>
            <w:tcW w:w="886" w:type="dxa"/>
            <w:tcBorders>
              <w:top w:val="single" w:sz="4" w:space="0" w:color="auto"/>
              <w:left w:val="single" w:sz="4" w:space="0" w:color="auto"/>
              <w:bottom w:val="single" w:sz="4" w:space="0" w:color="auto"/>
              <w:right w:val="single" w:sz="4" w:space="0" w:color="auto"/>
            </w:tcBorders>
          </w:tcPr>
          <w:p w14:paraId="39C93B0F" w14:textId="77777777" w:rsidR="00DF0271" w:rsidRPr="00BE4766" w:rsidRDefault="00DF0271" w:rsidP="0031595F">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77EB74A7" w14:textId="77777777" w:rsidR="00DF0271" w:rsidRPr="00BE4766" w:rsidRDefault="00DF0271" w:rsidP="0031595F">
            <w:pPr>
              <w:pStyle w:val="TableBody"/>
            </w:pPr>
            <w:r>
              <w:rPr>
                <w:i/>
              </w:rPr>
              <w:t>Real-Time Forward Adjustment Factor</w:t>
            </w:r>
            <w:r w:rsidRPr="00A549C5">
              <w:t>—</w:t>
            </w:r>
            <w:r w:rsidRPr="00CE545D">
              <w:t xml:space="preserve">The </w:t>
            </w:r>
            <w:r>
              <w:t xml:space="preserve">adjustment factor for RTM-related forward exposure as </w:t>
            </w:r>
            <w:r w:rsidRPr="00CE545D">
              <w:t xml:space="preserve">defined in </w:t>
            </w:r>
            <w:r w:rsidRPr="00967C28">
              <w:t xml:space="preserve">Section </w:t>
            </w:r>
            <w:r w:rsidRPr="00934A67">
              <w:t>16.11.4.3.3, Forward Adjustment Factors</w:t>
            </w:r>
            <w:r w:rsidRPr="00967C28">
              <w:t>.</w:t>
            </w:r>
          </w:p>
        </w:tc>
      </w:tr>
      <w:tr w:rsidR="00DF0271" w:rsidRPr="007F29AF" w14:paraId="2E230007" w14:textId="77777777" w:rsidTr="0031595F">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686D1A0" w14:textId="77777777" w:rsidR="00DF0271" w:rsidRDefault="00DF0271" w:rsidP="0031595F">
            <w:pPr>
              <w:pStyle w:val="TableBody"/>
              <w:tabs>
                <w:tab w:val="right" w:pos="9360"/>
              </w:tabs>
            </w:pPr>
            <w:r>
              <w:lastRenderedPageBreak/>
              <w:t>DFAF</w:t>
            </w:r>
          </w:p>
        </w:tc>
        <w:tc>
          <w:tcPr>
            <w:tcW w:w="886" w:type="dxa"/>
            <w:tcBorders>
              <w:top w:val="single" w:sz="4" w:space="0" w:color="auto"/>
              <w:left w:val="single" w:sz="4" w:space="0" w:color="auto"/>
              <w:bottom w:val="single" w:sz="4" w:space="0" w:color="auto"/>
              <w:right w:val="single" w:sz="4" w:space="0" w:color="auto"/>
            </w:tcBorders>
          </w:tcPr>
          <w:p w14:paraId="1D249FEC" w14:textId="77777777" w:rsidR="00DF0271" w:rsidRPr="00BE4766" w:rsidRDefault="00DF0271" w:rsidP="0031595F">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2117EE70" w14:textId="77777777" w:rsidR="00DF0271" w:rsidRPr="00BE4766" w:rsidRDefault="00DF0271" w:rsidP="0031595F">
            <w:pPr>
              <w:pStyle w:val="TableBody"/>
            </w:pPr>
            <w:r>
              <w:rPr>
                <w:i/>
              </w:rPr>
              <w:t>Day-Ahead Forward Adjustment Factor</w:t>
            </w:r>
            <w:r w:rsidRPr="00A549C5">
              <w:t>—</w:t>
            </w:r>
            <w:r w:rsidRPr="00CE545D">
              <w:t xml:space="preserve">The </w:t>
            </w:r>
            <w:r>
              <w:t xml:space="preserve">adjustment factor for DAM-related forward exposure as </w:t>
            </w:r>
            <w:r w:rsidRPr="00CE545D">
              <w:t xml:space="preserve">defined in Section </w:t>
            </w:r>
            <w:r w:rsidRPr="006E7FC0">
              <w:t>16.11.4.3.3</w:t>
            </w:r>
            <w:r w:rsidRPr="00CE545D">
              <w:t>.</w:t>
            </w:r>
          </w:p>
        </w:tc>
      </w:tr>
      <w:tr w:rsidR="00DF0271" w:rsidRPr="007F29AF" w14:paraId="6EC68C40" w14:textId="77777777" w:rsidTr="0031595F">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FC4CF02" w14:textId="77777777" w:rsidR="00DF0271" w:rsidRDefault="00DF0271" w:rsidP="0031595F">
            <w:pPr>
              <w:pStyle w:val="TableBody"/>
              <w:tabs>
                <w:tab w:val="right" w:pos="9360"/>
              </w:tabs>
            </w:pPr>
            <w:r w:rsidRPr="00934A67">
              <w:rPr>
                <w:i/>
              </w:rPr>
              <w:t>lrq</w:t>
            </w:r>
          </w:p>
        </w:tc>
        <w:tc>
          <w:tcPr>
            <w:tcW w:w="886" w:type="dxa"/>
            <w:tcBorders>
              <w:top w:val="single" w:sz="4" w:space="0" w:color="auto"/>
              <w:left w:val="single" w:sz="4" w:space="0" w:color="auto"/>
              <w:bottom w:val="single" w:sz="4" w:space="0" w:color="auto"/>
              <w:right w:val="single" w:sz="4" w:space="0" w:color="auto"/>
            </w:tcBorders>
          </w:tcPr>
          <w:p w14:paraId="0C4637A0" w14:textId="77777777" w:rsidR="00DF0271" w:rsidRPr="00BE4766" w:rsidRDefault="00DF0271" w:rsidP="0031595F">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7CD0BBEE" w14:textId="77777777" w:rsidR="00DF0271" w:rsidRPr="00BE4766" w:rsidRDefault="00DF0271" w:rsidP="0031595F">
            <w:pPr>
              <w:pStyle w:val="TableBody"/>
            </w:pPr>
            <w:r w:rsidRPr="00DF6B12">
              <w:t>Look-back period for R</w:t>
            </w:r>
            <w:r>
              <w:t>TM</w:t>
            </w:r>
            <w:r w:rsidRPr="00DF6B12">
              <w:t xml:space="preserve"> </w:t>
            </w:r>
            <w:r>
              <w:t>to find the maximum of RTLE or URTA</w:t>
            </w:r>
            <w:r w:rsidRPr="00DF6B12">
              <w:t xml:space="preserve"> for </w:t>
            </w:r>
            <w:r w:rsidRPr="00934A67">
              <w:t xml:space="preserve">all QSEs represented by the Counter-Party if </w:t>
            </w:r>
            <w:r>
              <w:t>any</w:t>
            </w:r>
            <w:r w:rsidRPr="00934A67">
              <w:t xml:space="preserve"> of the QSEs represented by the Counter-Party represent either Load or generation</w:t>
            </w:r>
            <w:r w:rsidRPr="008A7DE2">
              <w:t>.</w:t>
            </w:r>
          </w:p>
        </w:tc>
      </w:tr>
      <w:tr w:rsidR="00DF0271" w:rsidRPr="007F29AF" w14:paraId="3E5AFB54" w14:textId="77777777" w:rsidTr="0031595F">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1FF5794" w14:textId="77777777" w:rsidR="00DF0271" w:rsidRDefault="00DF0271" w:rsidP="0031595F">
            <w:pPr>
              <w:pStyle w:val="TableBody"/>
              <w:tabs>
                <w:tab w:val="right" w:pos="9360"/>
              </w:tabs>
            </w:pPr>
            <w:r w:rsidRPr="00934A67">
              <w:rPr>
                <w:i/>
              </w:rPr>
              <w:t>lrt</w:t>
            </w:r>
          </w:p>
        </w:tc>
        <w:tc>
          <w:tcPr>
            <w:tcW w:w="886" w:type="dxa"/>
            <w:tcBorders>
              <w:top w:val="single" w:sz="4" w:space="0" w:color="auto"/>
              <w:left w:val="single" w:sz="4" w:space="0" w:color="auto"/>
              <w:bottom w:val="single" w:sz="4" w:space="0" w:color="auto"/>
              <w:right w:val="single" w:sz="4" w:space="0" w:color="auto"/>
            </w:tcBorders>
          </w:tcPr>
          <w:p w14:paraId="4BCFAAFF" w14:textId="77777777" w:rsidR="00DF0271" w:rsidRPr="00BE4766" w:rsidRDefault="00DF0271" w:rsidP="0031595F">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78DFD77E" w14:textId="77777777" w:rsidR="00DF0271" w:rsidRPr="00BE4766" w:rsidRDefault="00DF0271" w:rsidP="0031595F">
            <w:pPr>
              <w:pStyle w:val="TableBody"/>
            </w:pPr>
            <w:r w:rsidRPr="00DF6B12">
              <w:t>Look-back period for R</w:t>
            </w:r>
            <w:r>
              <w:t>TM</w:t>
            </w:r>
            <w:r w:rsidRPr="00DF6B12">
              <w:t xml:space="preserve"> </w:t>
            </w:r>
            <w:r>
              <w:t>to find the maximum of RTLE or URTA</w:t>
            </w:r>
            <w:r w:rsidRPr="00DF6B12">
              <w:t xml:space="preserve"> for all QSEs represented by the Counter-Party if none of the QSEs represented by the Counter-Party represent either Load or generation</w:t>
            </w:r>
            <w:r w:rsidRPr="00A549C5">
              <w:t>.</w:t>
            </w:r>
          </w:p>
        </w:tc>
      </w:tr>
    </w:tbl>
    <w:p w14:paraId="4368976A" w14:textId="77777777" w:rsidR="00DF0271" w:rsidRDefault="00DF0271" w:rsidP="00DF0271">
      <w:pPr>
        <w:pStyle w:val="Instructions"/>
        <w:spacing w:after="0"/>
        <w:rPr>
          <w:b w:val="0"/>
          <w:i w:val="0"/>
          <w:iCs/>
        </w:rPr>
      </w:pPr>
    </w:p>
    <w:p w14:paraId="1E858571" w14:textId="77777777" w:rsidR="00DF0271" w:rsidRDefault="00DF0271" w:rsidP="00DF0271">
      <w:pPr>
        <w:pStyle w:val="Instructions"/>
        <w:spacing w:after="0"/>
        <w:rPr>
          <w:b w:val="0"/>
          <w:i w:val="0"/>
          <w:iCs/>
        </w:rPr>
      </w:pPr>
      <w:r>
        <w:rPr>
          <w:b w:val="0"/>
          <w:i w:val="0"/>
          <w:iC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DF0271" w:rsidRPr="00BE4766" w14:paraId="0AC09C2C" w14:textId="77777777" w:rsidTr="00504E97">
        <w:trPr>
          <w:trHeight w:val="351"/>
          <w:tblHeader/>
        </w:trPr>
        <w:tc>
          <w:tcPr>
            <w:tcW w:w="2153" w:type="dxa"/>
          </w:tcPr>
          <w:p w14:paraId="035D01EB" w14:textId="77777777" w:rsidR="00DF0271" w:rsidRPr="00BE4766" w:rsidRDefault="00DF0271" w:rsidP="0031595F">
            <w:pPr>
              <w:pStyle w:val="TableHead"/>
            </w:pPr>
            <w:r>
              <w:t>Parameter</w:t>
            </w:r>
          </w:p>
        </w:tc>
        <w:tc>
          <w:tcPr>
            <w:tcW w:w="2300" w:type="dxa"/>
          </w:tcPr>
          <w:p w14:paraId="221F3AE3" w14:textId="77777777" w:rsidR="00DF0271" w:rsidRPr="00BE4766" w:rsidRDefault="00DF0271" w:rsidP="0031595F">
            <w:pPr>
              <w:pStyle w:val="TableHead"/>
            </w:pPr>
            <w:r w:rsidRPr="00BE4766">
              <w:t>Unit</w:t>
            </w:r>
          </w:p>
        </w:tc>
        <w:tc>
          <w:tcPr>
            <w:tcW w:w="4637" w:type="dxa"/>
          </w:tcPr>
          <w:p w14:paraId="2322D7E1" w14:textId="77777777" w:rsidR="00DF0271" w:rsidRPr="00BE4766" w:rsidRDefault="00DF0271" w:rsidP="0031595F">
            <w:pPr>
              <w:pStyle w:val="TableHead"/>
            </w:pPr>
            <w:r>
              <w:t>Current Value*</w:t>
            </w:r>
          </w:p>
        </w:tc>
      </w:tr>
      <w:tr w:rsidR="00DF0271" w:rsidRPr="00BE4766" w14:paraId="7DF881B6" w14:textId="77777777" w:rsidTr="00504E97">
        <w:trPr>
          <w:trHeight w:val="519"/>
        </w:trPr>
        <w:tc>
          <w:tcPr>
            <w:tcW w:w="2153" w:type="dxa"/>
          </w:tcPr>
          <w:p w14:paraId="1A33F7C3" w14:textId="77777777" w:rsidR="00DF0271" w:rsidRDefault="00DF0271" w:rsidP="0031595F">
            <w:pPr>
              <w:pStyle w:val="TableBody"/>
              <w:rPr>
                <w:i/>
              </w:rPr>
            </w:pPr>
            <w:r>
              <w:rPr>
                <w:i/>
              </w:rPr>
              <w:t>rtlcu</w:t>
            </w:r>
          </w:p>
        </w:tc>
        <w:tc>
          <w:tcPr>
            <w:tcW w:w="2300" w:type="dxa"/>
          </w:tcPr>
          <w:p w14:paraId="56B4BB05" w14:textId="77777777" w:rsidR="00DF0271" w:rsidRDefault="00DF0271" w:rsidP="0031595F">
            <w:pPr>
              <w:pStyle w:val="TableBody"/>
            </w:pPr>
            <w:r>
              <w:t>Percentage</w:t>
            </w:r>
          </w:p>
        </w:tc>
        <w:tc>
          <w:tcPr>
            <w:tcW w:w="4637" w:type="dxa"/>
          </w:tcPr>
          <w:p w14:paraId="6E779E15" w14:textId="77777777" w:rsidR="00DF0271" w:rsidRPr="00083512" w:rsidRDefault="00DF0271" w:rsidP="0031595F">
            <w:pPr>
              <w:pStyle w:val="TableBody"/>
            </w:pPr>
            <w:r w:rsidRPr="00083512">
              <w:t>110%</w:t>
            </w:r>
          </w:p>
        </w:tc>
      </w:tr>
      <w:tr w:rsidR="00DF0271" w:rsidRPr="00BE4766" w14:paraId="451601AB" w14:textId="77777777" w:rsidTr="00504E97">
        <w:trPr>
          <w:trHeight w:val="519"/>
        </w:trPr>
        <w:tc>
          <w:tcPr>
            <w:tcW w:w="2153" w:type="dxa"/>
          </w:tcPr>
          <w:p w14:paraId="41952D83" w14:textId="77777777" w:rsidR="00DF0271" w:rsidRDefault="00DF0271" w:rsidP="0031595F">
            <w:pPr>
              <w:pStyle w:val="TableBody"/>
              <w:rPr>
                <w:i/>
              </w:rPr>
            </w:pPr>
            <w:r>
              <w:rPr>
                <w:i/>
              </w:rPr>
              <w:t>rtlcd</w:t>
            </w:r>
          </w:p>
        </w:tc>
        <w:tc>
          <w:tcPr>
            <w:tcW w:w="2300" w:type="dxa"/>
          </w:tcPr>
          <w:p w14:paraId="12FFC0F3" w14:textId="77777777" w:rsidR="00DF0271" w:rsidRDefault="00DF0271" w:rsidP="0031595F">
            <w:pPr>
              <w:pStyle w:val="TableBody"/>
            </w:pPr>
            <w:r>
              <w:t>Percentage</w:t>
            </w:r>
          </w:p>
        </w:tc>
        <w:tc>
          <w:tcPr>
            <w:tcW w:w="4637" w:type="dxa"/>
          </w:tcPr>
          <w:p w14:paraId="7899F341" w14:textId="77777777" w:rsidR="00DF0271" w:rsidRPr="00083512" w:rsidRDefault="00DF0271" w:rsidP="0031595F">
            <w:pPr>
              <w:pStyle w:val="TableBody"/>
            </w:pPr>
            <w:r w:rsidRPr="00083512">
              <w:t xml:space="preserve">90% </w:t>
            </w:r>
          </w:p>
        </w:tc>
      </w:tr>
      <w:tr w:rsidR="00DF0271" w:rsidRPr="00BE4766" w14:paraId="6AC74F1B" w14:textId="77777777" w:rsidTr="00504E97">
        <w:trPr>
          <w:trHeight w:val="519"/>
        </w:trPr>
        <w:tc>
          <w:tcPr>
            <w:tcW w:w="2153" w:type="dxa"/>
          </w:tcPr>
          <w:p w14:paraId="784ADD1A" w14:textId="77777777" w:rsidR="00DF0271" w:rsidRDefault="00DF0271" w:rsidP="0031595F">
            <w:pPr>
              <w:pStyle w:val="TableBody"/>
              <w:rPr>
                <w:i/>
              </w:rPr>
            </w:pPr>
            <w:r>
              <w:rPr>
                <w:i/>
              </w:rPr>
              <w:t>rtlfp</w:t>
            </w:r>
          </w:p>
        </w:tc>
        <w:tc>
          <w:tcPr>
            <w:tcW w:w="2300" w:type="dxa"/>
          </w:tcPr>
          <w:p w14:paraId="6B11226F" w14:textId="77777777" w:rsidR="00DF0271" w:rsidRDefault="00DF0271" w:rsidP="0031595F">
            <w:pPr>
              <w:pStyle w:val="TableBody"/>
            </w:pPr>
            <w:r>
              <w:t>Percentage</w:t>
            </w:r>
          </w:p>
        </w:tc>
        <w:tc>
          <w:tcPr>
            <w:tcW w:w="4637" w:type="dxa"/>
          </w:tcPr>
          <w:p w14:paraId="0B62DD0F" w14:textId="77777777" w:rsidR="00DF0271" w:rsidRPr="00083512" w:rsidRDefault="00DF0271" w:rsidP="0031595F">
            <w:pPr>
              <w:pStyle w:val="TableBody"/>
            </w:pPr>
            <w:r w:rsidRPr="00083512">
              <w:t>150%</w:t>
            </w:r>
            <w:r>
              <w:t xml:space="preserve"> </w:t>
            </w:r>
          </w:p>
        </w:tc>
      </w:tr>
      <w:tr w:rsidR="00DF0271" w:rsidRPr="00BE4766" w14:paraId="1F9FA84E" w14:textId="77777777" w:rsidTr="00504E97">
        <w:trPr>
          <w:trHeight w:val="519"/>
        </w:trPr>
        <w:tc>
          <w:tcPr>
            <w:tcW w:w="2153" w:type="dxa"/>
          </w:tcPr>
          <w:p w14:paraId="7B32A3A9" w14:textId="77777777" w:rsidR="00DF0271" w:rsidRPr="00F45C95" w:rsidRDefault="00DF0271" w:rsidP="0031595F">
            <w:pPr>
              <w:pStyle w:val="TableBody"/>
              <w:rPr>
                <w:i/>
              </w:rPr>
            </w:pPr>
            <w:r>
              <w:rPr>
                <w:i/>
              </w:rPr>
              <w:t>ufd</w:t>
            </w:r>
          </w:p>
        </w:tc>
        <w:tc>
          <w:tcPr>
            <w:tcW w:w="2300" w:type="dxa"/>
          </w:tcPr>
          <w:p w14:paraId="60BD771D" w14:textId="77777777" w:rsidR="00DF0271" w:rsidRDefault="00DF0271" w:rsidP="0031595F">
            <w:pPr>
              <w:pStyle w:val="TableBody"/>
            </w:pPr>
            <w:r>
              <w:t>Days</w:t>
            </w:r>
          </w:p>
        </w:tc>
        <w:tc>
          <w:tcPr>
            <w:tcW w:w="4637" w:type="dxa"/>
          </w:tcPr>
          <w:p w14:paraId="5F8F82F4" w14:textId="77777777" w:rsidR="00DF0271" w:rsidRDefault="00DF0271" w:rsidP="0031595F">
            <w:pPr>
              <w:pStyle w:val="TableBody"/>
            </w:pPr>
            <w:r>
              <w:t>55</w:t>
            </w:r>
          </w:p>
        </w:tc>
      </w:tr>
      <w:tr w:rsidR="00DF0271" w:rsidRPr="00BE4766" w14:paraId="53C1FBEF" w14:textId="77777777" w:rsidTr="00504E97">
        <w:trPr>
          <w:trHeight w:val="519"/>
        </w:trPr>
        <w:tc>
          <w:tcPr>
            <w:tcW w:w="2153" w:type="dxa"/>
          </w:tcPr>
          <w:p w14:paraId="4B086DC2" w14:textId="77777777" w:rsidR="00DF0271" w:rsidRPr="00F45C95" w:rsidRDefault="00DF0271" w:rsidP="0031595F">
            <w:pPr>
              <w:pStyle w:val="TableBody"/>
              <w:rPr>
                <w:i/>
              </w:rPr>
            </w:pPr>
            <w:r>
              <w:rPr>
                <w:i/>
              </w:rPr>
              <w:t>utd</w:t>
            </w:r>
          </w:p>
        </w:tc>
        <w:tc>
          <w:tcPr>
            <w:tcW w:w="2300" w:type="dxa"/>
          </w:tcPr>
          <w:p w14:paraId="1D6798E0" w14:textId="77777777" w:rsidR="00DF0271" w:rsidRDefault="00DF0271" w:rsidP="0031595F">
            <w:pPr>
              <w:pStyle w:val="TableBody"/>
            </w:pPr>
            <w:r>
              <w:t>Days</w:t>
            </w:r>
          </w:p>
        </w:tc>
        <w:tc>
          <w:tcPr>
            <w:tcW w:w="4637" w:type="dxa"/>
          </w:tcPr>
          <w:p w14:paraId="2A608458" w14:textId="77777777" w:rsidR="00DF0271" w:rsidRPr="005C0927" w:rsidRDefault="00DF0271" w:rsidP="0031595F">
            <w:pPr>
              <w:pStyle w:val="TableBody"/>
            </w:pPr>
            <w:r>
              <w:t>180</w:t>
            </w:r>
          </w:p>
        </w:tc>
      </w:tr>
      <w:tr w:rsidR="00DF0271" w:rsidRPr="00BE4766" w14:paraId="727DC58B" w14:textId="77777777" w:rsidTr="00504E97">
        <w:trPr>
          <w:trHeight w:val="519"/>
        </w:trPr>
        <w:tc>
          <w:tcPr>
            <w:tcW w:w="2153" w:type="dxa"/>
          </w:tcPr>
          <w:p w14:paraId="53EAE31A" w14:textId="76680EA3" w:rsidR="00DF0271" w:rsidRPr="00E41A69" w:rsidRDefault="00DF0271" w:rsidP="0031595F">
            <w:pPr>
              <w:pStyle w:val="TableBody"/>
              <w:rPr>
                <w:i/>
              </w:rPr>
            </w:pPr>
            <w:r w:rsidRPr="00E41A69">
              <w:rPr>
                <w:i/>
              </w:rPr>
              <w:t>M1</w:t>
            </w:r>
            <w:r w:rsidR="00575DA9">
              <w:rPr>
                <w:i/>
              </w:rPr>
              <w:t>d</w:t>
            </w:r>
          </w:p>
        </w:tc>
        <w:tc>
          <w:tcPr>
            <w:tcW w:w="2300" w:type="dxa"/>
          </w:tcPr>
          <w:p w14:paraId="75175022" w14:textId="77777777" w:rsidR="00DF0271" w:rsidRDefault="00DF0271" w:rsidP="0031595F">
            <w:pPr>
              <w:pStyle w:val="TableBody"/>
            </w:pPr>
            <w:r>
              <w:t>Days</w:t>
            </w:r>
          </w:p>
        </w:tc>
        <w:tc>
          <w:tcPr>
            <w:tcW w:w="4637" w:type="dxa"/>
          </w:tcPr>
          <w:p w14:paraId="1A6A1394" w14:textId="3EC6E101" w:rsidR="00DF0271" w:rsidRDefault="008E39D6" w:rsidP="0031595F">
            <w:pPr>
              <w:pStyle w:val="TableBody"/>
            </w:pPr>
            <w:r>
              <w:t>8</w:t>
            </w:r>
          </w:p>
        </w:tc>
      </w:tr>
      <w:tr w:rsidR="00DF0271" w:rsidRPr="00BE4766" w14:paraId="4B63D1F6" w14:textId="77777777" w:rsidTr="00504E97">
        <w:trPr>
          <w:trHeight w:val="519"/>
        </w:trPr>
        <w:tc>
          <w:tcPr>
            <w:tcW w:w="2153" w:type="dxa"/>
          </w:tcPr>
          <w:p w14:paraId="1EEADDD9" w14:textId="77777777" w:rsidR="00DF0271" w:rsidRDefault="00DF0271" w:rsidP="0031595F">
            <w:pPr>
              <w:pStyle w:val="TableBody"/>
              <w:rPr>
                <w:i/>
              </w:rPr>
            </w:pPr>
            <w:r>
              <w:rPr>
                <w:i/>
              </w:rPr>
              <w:t>B</w:t>
            </w:r>
          </w:p>
        </w:tc>
        <w:tc>
          <w:tcPr>
            <w:tcW w:w="2300" w:type="dxa"/>
          </w:tcPr>
          <w:p w14:paraId="334D7F36" w14:textId="77777777" w:rsidR="00DF0271" w:rsidRDefault="00DF0271" w:rsidP="0031595F">
            <w:pPr>
              <w:pStyle w:val="TableBody"/>
            </w:pPr>
            <w:r>
              <w:t>Days</w:t>
            </w:r>
          </w:p>
        </w:tc>
        <w:tc>
          <w:tcPr>
            <w:tcW w:w="4637" w:type="dxa"/>
          </w:tcPr>
          <w:p w14:paraId="3F1608FE" w14:textId="77777777" w:rsidR="00DF0271" w:rsidRPr="00D11FB5" w:rsidRDefault="00DF0271" w:rsidP="0031595F">
            <w:pPr>
              <w:pStyle w:val="TableBody"/>
            </w:pPr>
            <w:r w:rsidRPr="00D11FB5">
              <w:t>8</w:t>
            </w:r>
          </w:p>
        </w:tc>
      </w:tr>
      <w:tr w:rsidR="00DF0271" w:rsidRPr="00BE4766" w14:paraId="533AD4A2" w14:textId="77777777" w:rsidTr="00504E97">
        <w:trPr>
          <w:trHeight w:val="519"/>
        </w:trPr>
        <w:tc>
          <w:tcPr>
            <w:tcW w:w="2153" w:type="dxa"/>
          </w:tcPr>
          <w:p w14:paraId="4F7AB477" w14:textId="77777777" w:rsidR="00DF0271" w:rsidRDefault="00DF0271" w:rsidP="0031595F">
            <w:pPr>
              <w:pStyle w:val="TableBody"/>
              <w:rPr>
                <w:i/>
              </w:rPr>
            </w:pPr>
            <w:r>
              <w:rPr>
                <w:i/>
              </w:rPr>
              <w:t>r</w:t>
            </w:r>
          </w:p>
        </w:tc>
        <w:tc>
          <w:tcPr>
            <w:tcW w:w="2300" w:type="dxa"/>
          </w:tcPr>
          <w:p w14:paraId="316A1ADD" w14:textId="77777777" w:rsidR="00DF0271" w:rsidRDefault="00DF0271" w:rsidP="0031595F">
            <w:pPr>
              <w:pStyle w:val="TableBody"/>
            </w:pPr>
            <w:r>
              <w:t>none</w:t>
            </w:r>
          </w:p>
        </w:tc>
        <w:tc>
          <w:tcPr>
            <w:tcW w:w="4637" w:type="dxa"/>
          </w:tcPr>
          <w:p w14:paraId="4E955DC3" w14:textId="77777777" w:rsidR="00DF0271" w:rsidRPr="00D11FB5" w:rsidRDefault="00DF0271" w:rsidP="0031595F">
            <w:pPr>
              <w:pStyle w:val="TableBody"/>
            </w:pPr>
            <w:r>
              <w:t>100,000 per day</w:t>
            </w:r>
          </w:p>
        </w:tc>
      </w:tr>
      <w:tr w:rsidR="00DF0271" w:rsidRPr="00BE4766" w14:paraId="6F759537" w14:textId="77777777" w:rsidTr="00504E97">
        <w:trPr>
          <w:trHeight w:val="519"/>
        </w:trPr>
        <w:tc>
          <w:tcPr>
            <w:tcW w:w="2153" w:type="dxa"/>
          </w:tcPr>
          <w:p w14:paraId="12FC400B" w14:textId="77777777" w:rsidR="00DF0271" w:rsidRDefault="00DF0271" w:rsidP="0031595F">
            <w:pPr>
              <w:pStyle w:val="TableBody"/>
              <w:rPr>
                <w:i/>
              </w:rPr>
            </w:pPr>
            <w:r>
              <w:rPr>
                <w:i/>
              </w:rPr>
              <w:t>DF</w:t>
            </w:r>
          </w:p>
        </w:tc>
        <w:tc>
          <w:tcPr>
            <w:tcW w:w="2300" w:type="dxa"/>
          </w:tcPr>
          <w:p w14:paraId="72319CC4" w14:textId="77777777" w:rsidR="00DF0271" w:rsidRDefault="00DF0271" w:rsidP="0031595F">
            <w:pPr>
              <w:pStyle w:val="TableBody"/>
            </w:pPr>
            <w:r>
              <w:t>Percentage</w:t>
            </w:r>
          </w:p>
        </w:tc>
        <w:tc>
          <w:tcPr>
            <w:tcW w:w="4637" w:type="dxa"/>
          </w:tcPr>
          <w:p w14:paraId="745802F0" w14:textId="77777777" w:rsidR="00DF0271" w:rsidRDefault="00DF0271" w:rsidP="0031595F">
            <w:pPr>
              <w:pStyle w:val="TableBody"/>
            </w:pPr>
            <w:r>
              <w:t>0</w:t>
            </w:r>
          </w:p>
        </w:tc>
      </w:tr>
      <w:tr w:rsidR="00DF0271" w:rsidRPr="00BE4766" w14:paraId="6D9FC4B0" w14:textId="77777777" w:rsidTr="00504E97">
        <w:trPr>
          <w:trHeight w:val="519"/>
        </w:trPr>
        <w:tc>
          <w:tcPr>
            <w:tcW w:w="2153" w:type="dxa"/>
          </w:tcPr>
          <w:p w14:paraId="0CEA4BB4" w14:textId="77777777" w:rsidR="00DF0271" w:rsidRDefault="00DF0271" w:rsidP="0031595F">
            <w:pPr>
              <w:pStyle w:val="TableBody"/>
              <w:rPr>
                <w:i/>
              </w:rPr>
            </w:pPr>
            <w:r>
              <w:rPr>
                <w:i/>
              </w:rPr>
              <w:t>M2</w:t>
            </w:r>
          </w:p>
        </w:tc>
        <w:tc>
          <w:tcPr>
            <w:tcW w:w="2300" w:type="dxa"/>
          </w:tcPr>
          <w:p w14:paraId="13670173" w14:textId="77777777" w:rsidR="00DF0271" w:rsidRDefault="00DF0271" w:rsidP="0031595F">
            <w:pPr>
              <w:pStyle w:val="TableBody"/>
            </w:pPr>
            <w:r>
              <w:t>Days</w:t>
            </w:r>
          </w:p>
        </w:tc>
        <w:tc>
          <w:tcPr>
            <w:tcW w:w="4637" w:type="dxa"/>
          </w:tcPr>
          <w:p w14:paraId="71AF5012" w14:textId="77777777" w:rsidR="00DF0271" w:rsidRPr="00545E0B" w:rsidRDefault="00DF0271" w:rsidP="0031595F">
            <w:pPr>
              <w:pStyle w:val="TableBody"/>
            </w:pPr>
            <w:r w:rsidRPr="00545E0B">
              <w:t>9</w:t>
            </w:r>
          </w:p>
        </w:tc>
      </w:tr>
      <w:tr w:rsidR="00DF0271" w:rsidRPr="00BE4766" w14:paraId="0BC55781" w14:textId="77777777" w:rsidTr="00504E97">
        <w:trPr>
          <w:trHeight w:val="519"/>
        </w:trPr>
        <w:tc>
          <w:tcPr>
            <w:tcW w:w="2153" w:type="dxa"/>
          </w:tcPr>
          <w:p w14:paraId="25498169" w14:textId="77777777" w:rsidR="00DF0271" w:rsidRDefault="00DF0271" w:rsidP="0031595F">
            <w:pPr>
              <w:pStyle w:val="TableBody"/>
              <w:rPr>
                <w:i/>
              </w:rPr>
            </w:pPr>
            <w:r>
              <w:rPr>
                <w:i/>
              </w:rPr>
              <w:t>lrq</w:t>
            </w:r>
          </w:p>
        </w:tc>
        <w:tc>
          <w:tcPr>
            <w:tcW w:w="2300" w:type="dxa"/>
          </w:tcPr>
          <w:p w14:paraId="0FF65B29" w14:textId="77777777" w:rsidR="00DF0271" w:rsidRDefault="00DF0271" w:rsidP="0031595F">
            <w:pPr>
              <w:pStyle w:val="TableBody"/>
            </w:pPr>
            <w:r>
              <w:t>Days</w:t>
            </w:r>
          </w:p>
        </w:tc>
        <w:tc>
          <w:tcPr>
            <w:tcW w:w="4637" w:type="dxa"/>
          </w:tcPr>
          <w:p w14:paraId="7913E857" w14:textId="77777777" w:rsidR="00DF0271" w:rsidRPr="00545E0B" w:rsidRDefault="00DF0271" w:rsidP="0031595F">
            <w:pPr>
              <w:pStyle w:val="TableBody"/>
            </w:pPr>
            <w:r w:rsidRPr="007822E6">
              <w:t>40</w:t>
            </w:r>
          </w:p>
        </w:tc>
      </w:tr>
      <w:tr w:rsidR="00DF0271" w:rsidRPr="00BE4766" w14:paraId="24C2A1F1" w14:textId="77777777" w:rsidTr="00504E97">
        <w:trPr>
          <w:trHeight w:val="519"/>
        </w:trPr>
        <w:tc>
          <w:tcPr>
            <w:tcW w:w="2153" w:type="dxa"/>
          </w:tcPr>
          <w:p w14:paraId="2CBABA1E" w14:textId="77777777" w:rsidR="00DF0271" w:rsidRDefault="00DF0271" w:rsidP="0031595F">
            <w:pPr>
              <w:pStyle w:val="TableBody"/>
              <w:rPr>
                <w:i/>
              </w:rPr>
            </w:pPr>
            <w:r>
              <w:rPr>
                <w:i/>
              </w:rPr>
              <w:t>lrt</w:t>
            </w:r>
          </w:p>
        </w:tc>
        <w:tc>
          <w:tcPr>
            <w:tcW w:w="2300" w:type="dxa"/>
          </w:tcPr>
          <w:p w14:paraId="1282EAF7" w14:textId="77777777" w:rsidR="00DF0271" w:rsidRDefault="00DF0271" w:rsidP="0031595F">
            <w:pPr>
              <w:pStyle w:val="TableBody"/>
            </w:pPr>
            <w:r>
              <w:t>Days</w:t>
            </w:r>
          </w:p>
        </w:tc>
        <w:tc>
          <w:tcPr>
            <w:tcW w:w="4637" w:type="dxa"/>
          </w:tcPr>
          <w:p w14:paraId="437CC5F2" w14:textId="77777777" w:rsidR="00DF0271" w:rsidRPr="00545E0B" w:rsidRDefault="00DF0271" w:rsidP="0031595F">
            <w:pPr>
              <w:pStyle w:val="TableBody"/>
            </w:pPr>
            <w:r w:rsidRPr="007822E6">
              <w:t>20</w:t>
            </w:r>
          </w:p>
        </w:tc>
      </w:tr>
      <w:tr w:rsidR="00DF0271" w:rsidRPr="00BE4766" w14:paraId="6BAA841A" w14:textId="77777777" w:rsidTr="00504E97">
        <w:trPr>
          <w:trHeight w:val="519"/>
        </w:trPr>
        <w:tc>
          <w:tcPr>
            <w:tcW w:w="9090" w:type="dxa"/>
            <w:gridSpan w:val="3"/>
          </w:tcPr>
          <w:p w14:paraId="59CB69E6" w14:textId="77777777" w:rsidR="00DF0271" w:rsidRDefault="00DF0271" w:rsidP="0031595F">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079ADAB3" w14:textId="77777777" w:rsidR="00613851" w:rsidRPr="00613851" w:rsidRDefault="00613851" w:rsidP="009648F5">
      <w:pPr>
        <w:widowControl w:val="0"/>
        <w:tabs>
          <w:tab w:val="left" w:pos="1620"/>
        </w:tabs>
        <w:spacing w:before="480" w:after="240"/>
        <w:outlineLvl w:val="4"/>
        <w:rPr>
          <w:b/>
          <w:bCs/>
          <w:i/>
          <w:szCs w:val="26"/>
        </w:rPr>
      </w:pPr>
      <w:bookmarkStart w:id="470" w:name="_Toc419200621"/>
      <w:bookmarkStart w:id="471" w:name="_Toc405814007"/>
      <w:bookmarkStart w:id="472" w:name="_Toc309731025"/>
      <w:bookmarkStart w:id="473" w:name="_Toc70591637"/>
      <w:bookmarkStart w:id="474" w:name="_Toc390438969"/>
      <w:bookmarkStart w:id="475" w:name="_Toc405897667"/>
      <w:bookmarkStart w:id="476" w:name="_Toc415055771"/>
      <w:bookmarkStart w:id="477" w:name="_Toc415055897"/>
      <w:bookmarkStart w:id="478" w:name="_Toc415055996"/>
      <w:bookmarkStart w:id="479" w:name="_Toc415056097"/>
      <w:r w:rsidRPr="00613851">
        <w:rPr>
          <w:b/>
          <w:bCs/>
          <w:i/>
          <w:iCs/>
          <w:szCs w:val="26"/>
        </w:rPr>
        <w:t>16.11.4.3.1</w:t>
      </w:r>
      <w:r w:rsidRPr="00613851">
        <w:rPr>
          <w:b/>
          <w:bCs/>
          <w:i/>
          <w:iCs/>
          <w:szCs w:val="26"/>
        </w:rPr>
        <w:tab/>
        <w:t>Day-Ahead Liability Estimate</w:t>
      </w:r>
      <w:bookmarkEnd w:id="470"/>
      <w:bookmarkEnd w:id="471"/>
      <w:bookmarkEnd w:id="472"/>
      <w:bookmarkEnd w:id="473"/>
    </w:p>
    <w:p w14:paraId="5AC4C53D" w14:textId="77777777" w:rsidR="00613851" w:rsidRPr="00613851" w:rsidRDefault="00613851" w:rsidP="009648F5">
      <w:pPr>
        <w:widowControl w:val="0"/>
        <w:spacing w:after="240"/>
        <w:ind w:left="720" w:hanging="720"/>
        <w:rPr>
          <w:iCs/>
        </w:rPr>
      </w:pPr>
      <w:r w:rsidRPr="00613851">
        <w:rPr>
          <w:iCs/>
        </w:rPr>
        <w:t>(1)</w:t>
      </w:r>
      <w:r w:rsidRPr="00613851">
        <w:rPr>
          <w:iCs/>
        </w:rPr>
        <w:tab/>
        <w:t>ERCOT shall estimate Day-Ahead Liability (DAL) for an Operating Day as the sum of estimates for the following DAM Settlement charges and payments:</w:t>
      </w:r>
    </w:p>
    <w:p w14:paraId="49CFA88D" w14:textId="77777777" w:rsidR="00613851" w:rsidRPr="00613851" w:rsidRDefault="00613851" w:rsidP="009648F5">
      <w:pPr>
        <w:widowControl w:val="0"/>
        <w:spacing w:after="240"/>
        <w:ind w:left="1440" w:hanging="720"/>
        <w:rPr>
          <w:iCs/>
        </w:rPr>
      </w:pPr>
      <w:r w:rsidRPr="00613851">
        <w:rPr>
          <w:iCs/>
        </w:rPr>
        <w:t>(a)</w:t>
      </w:r>
      <w:r w:rsidRPr="00613851">
        <w:rPr>
          <w:iCs/>
        </w:rPr>
        <w:tab/>
        <w:t>Section 4.6.2.1, Day-Ahead Energy Payment;</w:t>
      </w:r>
    </w:p>
    <w:p w14:paraId="3E81F892" w14:textId="77777777" w:rsidR="00613851" w:rsidRPr="00613851" w:rsidRDefault="00613851" w:rsidP="009648F5">
      <w:pPr>
        <w:widowControl w:val="0"/>
        <w:spacing w:after="240"/>
        <w:ind w:left="1440" w:hanging="720"/>
        <w:rPr>
          <w:iCs/>
        </w:rPr>
      </w:pPr>
      <w:r w:rsidRPr="00613851">
        <w:rPr>
          <w:iCs/>
        </w:rPr>
        <w:lastRenderedPageBreak/>
        <w:t>(b)</w:t>
      </w:r>
      <w:r w:rsidRPr="00613851">
        <w:rPr>
          <w:iCs/>
        </w:rPr>
        <w:tab/>
        <w:t>Section 4.6.2.2, Day-Ahead Energy Charge;</w:t>
      </w:r>
    </w:p>
    <w:p w14:paraId="1B29E098" w14:textId="77777777" w:rsidR="00613851" w:rsidRPr="00613851" w:rsidRDefault="00613851" w:rsidP="009648F5">
      <w:pPr>
        <w:widowControl w:val="0"/>
        <w:spacing w:after="240"/>
        <w:ind w:left="1440" w:hanging="720"/>
        <w:rPr>
          <w:iCs/>
        </w:rPr>
      </w:pPr>
      <w:r w:rsidRPr="00613851">
        <w:rPr>
          <w:iCs/>
        </w:rPr>
        <w:t>(c)</w:t>
      </w:r>
      <w:r w:rsidRPr="00613851">
        <w:rPr>
          <w:iCs/>
        </w:rPr>
        <w:tab/>
        <w:t>Section 4.6.3, Settlement for PTP Obligations Bought in DAM;</w:t>
      </w:r>
    </w:p>
    <w:p w14:paraId="3099DBBF" w14:textId="77777777" w:rsidR="00613851" w:rsidRPr="00613851" w:rsidRDefault="00613851" w:rsidP="009648F5">
      <w:pPr>
        <w:widowControl w:val="0"/>
        <w:spacing w:after="240"/>
        <w:ind w:left="1440" w:hanging="720"/>
        <w:rPr>
          <w:iCs/>
        </w:rPr>
      </w:pPr>
      <w:r w:rsidRPr="00613851">
        <w:rPr>
          <w:iCs/>
        </w:rPr>
        <w:t>(d)</w:t>
      </w:r>
      <w:r w:rsidRPr="00613851">
        <w:rPr>
          <w:iCs/>
        </w:rPr>
        <w:tab/>
        <w:t>Section 4.6.4.1.1, Regulation Up Service Payment;</w:t>
      </w:r>
    </w:p>
    <w:p w14:paraId="198FEE87" w14:textId="77777777" w:rsidR="00613851" w:rsidRPr="00613851" w:rsidRDefault="00613851" w:rsidP="009648F5">
      <w:pPr>
        <w:widowControl w:val="0"/>
        <w:spacing w:after="240"/>
        <w:ind w:left="1440" w:hanging="720"/>
        <w:rPr>
          <w:iCs/>
        </w:rPr>
      </w:pPr>
      <w:r w:rsidRPr="00613851">
        <w:rPr>
          <w:iCs/>
        </w:rPr>
        <w:t>(e)</w:t>
      </w:r>
      <w:r w:rsidRPr="00613851">
        <w:rPr>
          <w:iCs/>
        </w:rPr>
        <w:tab/>
        <w:t>Section 4.6.4.1.2, Regulation Down Service Payment;</w:t>
      </w:r>
    </w:p>
    <w:p w14:paraId="41BE771A" w14:textId="77777777" w:rsidR="00613851" w:rsidRPr="00613851" w:rsidRDefault="00613851" w:rsidP="009648F5">
      <w:pPr>
        <w:widowControl w:val="0"/>
        <w:spacing w:after="240"/>
        <w:ind w:left="1440" w:hanging="720"/>
        <w:rPr>
          <w:iCs/>
        </w:rPr>
      </w:pPr>
      <w:r w:rsidRPr="00613851">
        <w:rPr>
          <w:iCs/>
        </w:rPr>
        <w:t>(f)</w:t>
      </w:r>
      <w:r w:rsidRPr="00613851">
        <w:rPr>
          <w:iCs/>
        </w:rPr>
        <w:tab/>
        <w:t>Section 4.6.4.1.3, Responsive Reserve Service Payment;</w:t>
      </w:r>
    </w:p>
    <w:p w14:paraId="42EBF3EA" w14:textId="77777777" w:rsidR="00613851" w:rsidRPr="00613851" w:rsidRDefault="00613851" w:rsidP="009648F5">
      <w:pPr>
        <w:widowControl w:val="0"/>
        <w:spacing w:after="240"/>
        <w:ind w:left="1440" w:hanging="720"/>
        <w:rPr>
          <w:iCs/>
        </w:rPr>
      </w:pPr>
      <w:r w:rsidRPr="00613851">
        <w:rPr>
          <w:iCs/>
        </w:rPr>
        <w:t>(g)</w:t>
      </w:r>
      <w:r w:rsidRPr="00613851">
        <w:rPr>
          <w:iCs/>
        </w:rPr>
        <w:tab/>
        <w:t>Section 4.6.4.1.4, Non-Spinning Reserve Service Payment;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365293" w14:paraId="25D0E3E9" w14:textId="77777777" w:rsidTr="00365293">
        <w:tc>
          <w:tcPr>
            <w:tcW w:w="9332" w:type="dxa"/>
            <w:shd w:val="pct12" w:color="auto" w:fill="auto"/>
          </w:tcPr>
          <w:p w14:paraId="5516B508" w14:textId="7DA41FE7" w:rsidR="00365293" w:rsidRPr="0002450E" w:rsidRDefault="00365293" w:rsidP="00CD51A8">
            <w:pPr>
              <w:pStyle w:val="Instructions"/>
              <w:spacing w:before="120"/>
              <w:rPr>
                <w:iCs/>
              </w:rPr>
            </w:pPr>
            <w:r>
              <w:rPr>
                <w:iCs/>
              </w:rPr>
              <w:t>[NPRR992</w:t>
            </w:r>
            <w:r w:rsidRPr="0002450E">
              <w:rPr>
                <w:iCs/>
              </w:rPr>
              <w:t xml:space="preserve">:  </w:t>
            </w:r>
            <w:r>
              <w:rPr>
                <w:iCs/>
              </w:rPr>
              <w:t>Insert item (h) below</w:t>
            </w:r>
            <w:r w:rsidRPr="0002450E">
              <w:rPr>
                <w:iCs/>
              </w:rPr>
              <w:t xml:space="preserve"> upon system implementation</w:t>
            </w:r>
            <w:r>
              <w:rPr>
                <w:iCs/>
              </w:rPr>
              <w:t xml:space="preserve"> of NPRR863 and renumber accordingly</w:t>
            </w:r>
            <w:r w:rsidRPr="0002450E">
              <w:rPr>
                <w:iCs/>
              </w:rPr>
              <w:t xml:space="preserve">:] </w:t>
            </w:r>
          </w:p>
          <w:p w14:paraId="632BE3D9" w14:textId="4F816C0E" w:rsidR="00365293" w:rsidRPr="00365293" w:rsidRDefault="00365293" w:rsidP="00365293">
            <w:pPr>
              <w:widowControl w:val="0"/>
              <w:spacing w:after="240"/>
              <w:ind w:left="1440" w:hanging="720"/>
              <w:rPr>
                <w:iCs/>
              </w:rPr>
            </w:pPr>
            <w:r>
              <w:rPr>
                <w:iCs/>
              </w:rPr>
              <w:t>(h)</w:t>
            </w:r>
            <w:r>
              <w:rPr>
                <w:iCs/>
              </w:rPr>
              <w:tab/>
              <w:t xml:space="preserve">Section </w:t>
            </w:r>
            <w:r w:rsidRPr="00667DCA">
              <w:rPr>
                <w:iCs/>
              </w:rPr>
              <w:t>4.6.4.1.5</w:t>
            </w:r>
            <w:r>
              <w:rPr>
                <w:iCs/>
              </w:rPr>
              <w:t>,</w:t>
            </w:r>
            <w:r w:rsidRPr="00667DCA">
              <w:rPr>
                <w:iCs/>
              </w:rPr>
              <w:t xml:space="preserve"> ERCOT Contingency Reserve Service Payment</w:t>
            </w:r>
            <w:r>
              <w:rPr>
                <w:iCs/>
              </w:rPr>
              <w:t>;</w:t>
            </w:r>
          </w:p>
        </w:tc>
      </w:tr>
    </w:tbl>
    <w:p w14:paraId="70F93F2E" w14:textId="5422E425" w:rsidR="00613851" w:rsidRPr="00613851" w:rsidRDefault="00613851" w:rsidP="00AA42E8">
      <w:pPr>
        <w:widowControl w:val="0"/>
        <w:spacing w:before="240" w:after="240"/>
        <w:ind w:left="1440" w:hanging="720"/>
        <w:rPr>
          <w:iCs/>
        </w:rPr>
      </w:pPr>
      <w:r w:rsidRPr="00613851">
        <w:rPr>
          <w:iCs/>
        </w:rPr>
        <w:t>(h)</w:t>
      </w:r>
      <w:r w:rsidRPr="00613851">
        <w:rPr>
          <w:iCs/>
        </w:rPr>
        <w:tab/>
        <w:t>Section 4.6.4.2.1, Regulation Up Service Charge;</w:t>
      </w:r>
    </w:p>
    <w:p w14:paraId="24F9CC7C" w14:textId="77777777" w:rsidR="00613851" w:rsidRPr="00613851" w:rsidRDefault="00613851" w:rsidP="009648F5">
      <w:pPr>
        <w:widowControl w:val="0"/>
        <w:spacing w:after="240"/>
        <w:ind w:left="1440" w:hanging="720"/>
        <w:rPr>
          <w:iCs/>
        </w:rPr>
      </w:pPr>
      <w:r w:rsidRPr="00613851">
        <w:rPr>
          <w:iCs/>
        </w:rPr>
        <w:t>(i)</w:t>
      </w:r>
      <w:r w:rsidRPr="00613851">
        <w:rPr>
          <w:iCs/>
        </w:rPr>
        <w:tab/>
        <w:t>Section 4.6.4.2.2, Regulation Down Service Charge;</w:t>
      </w:r>
    </w:p>
    <w:p w14:paraId="1E2685CB" w14:textId="77777777" w:rsidR="00613851" w:rsidRPr="00613851" w:rsidRDefault="00613851" w:rsidP="009648F5">
      <w:pPr>
        <w:widowControl w:val="0"/>
        <w:spacing w:after="240"/>
        <w:ind w:left="1440" w:hanging="720"/>
        <w:rPr>
          <w:iCs/>
        </w:rPr>
      </w:pPr>
      <w:r w:rsidRPr="00613851">
        <w:rPr>
          <w:iCs/>
        </w:rPr>
        <w:t>(j)</w:t>
      </w:r>
      <w:r w:rsidRPr="00613851">
        <w:rPr>
          <w:iCs/>
        </w:rPr>
        <w:tab/>
        <w:t>Section 4.6.4.2.3, Responsive Reserve Service Charge;</w:t>
      </w:r>
    </w:p>
    <w:p w14:paraId="46E780EE" w14:textId="77777777" w:rsidR="00613851" w:rsidRPr="00613851" w:rsidRDefault="00613851" w:rsidP="009648F5">
      <w:pPr>
        <w:widowControl w:val="0"/>
        <w:spacing w:after="240"/>
        <w:ind w:left="1440" w:hanging="720"/>
        <w:rPr>
          <w:iCs/>
        </w:rPr>
      </w:pPr>
      <w:r w:rsidRPr="00613851">
        <w:rPr>
          <w:iCs/>
        </w:rPr>
        <w:t>(k)</w:t>
      </w:r>
      <w:r w:rsidRPr="00613851">
        <w:rPr>
          <w:iCs/>
        </w:rPr>
        <w:tab/>
        <w:t>Section 4.6.4.2.4, Non-Spinning Reserve Service Charge;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365293" w14:paraId="4A64F882" w14:textId="77777777" w:rsidTr="00CD51A8">
        <w:tc>
          <w:tcPr>
            <w:tcW w:w="9332" w:type="dxa"/>
            <w:shd w:val="pct12" w:color="auto" w:fill="auto"/>
          </w:tcPr>
          <w:p w14:paraId="2B50D5C2" w14:textId="3158D999" w:rsidR="00365293" w:rsidRPr="0002450E" w:rsidRDefault="00365293" w:rsidP="00CD51A8">
            <w:pPr>
              <w:pStyle w:val="Instructions"/>
              <w:spacing w:before="120"/>
              <w:rPr>
                <w:iCs/>
              </w:rPr>
            </w:pPr>
            <w:r>
              <w:rPr>
                <w:iCs/>
              </w:rPr>
              <w:t>[NPRR992</w:t>
            </w:r>
            <w:r w:rsidRPr="0002450E">
              <w:rPr>
                <w:iCs/>
              </w:rPr>
              <w:t xml:space="preserve">:  </w:t>
            </w:r>
            <w:r>
              <w:rPr>
                <w:iCs/>
              </w:rPr>
              <w:t>Insert item (m) below</w:t>
            </w:r>
            <w:r w:rsidRPr="0002450E">
              <w:rPr>
                <w:iCs/>
              </w:rPr>
              <w:t xml:space="preserve"> upon system implementation</w:t>
            </w:r>
            <w:r>
              <w:rPr>
                <w:iCs/>
              </w:rPr>
              <w:t xml:space="preserve"> of NPRR863 and renumber accordingly</w:t>
            </w:r>
            <w:r w:rsidRPr="0002450E">
              <w:rPr>
                <w:iCs/>
              </w:rPr>
              <w:t xml:space="preserve">:] </w:t>
            </w:r>
          </w:p>
          <w:p w14:paraId="57253B68" w14:textId="4A58DAD0" w:rsidR="00365293" w:rsidRPr="00365293" w:rsidRDefault="00365293" w:rsidP="00365293">
            <w:pPr>
              <w:widowControl w:val="0"/>
              <w:spacing w:after="240"/>
              <w:ind w:left="1440" w:hanging="720"/>
              <w:rPr>
                <w:iCs/>
              </w:rPr>
            </w:pPr>
            <w:r>
              <w:rPr>
                <w:iCs/>
              </w:rPr>
              <w:t>(m)</w:t>
            </w:r>
            <w:r>
              <w:rPr>
                <w:iCs/>
              </w:rPr>
              <w:tab/>
              <w:t xml:space="preserve">Section </w:t>
            </w:r>
            <w:r w:rsidRPr="00477614">
              <w:rPr>
                <w:iCs/>
              </w:rPr>
              <w:t>4.6.4.2.5</w:t>
            </w:r>
            <w:r>
              <w:rPr>
                <w:iCs/>
              </w:rPr>
              <w:t>,</w:t>
            </w:r>
            <w:r w:rsidRPr="00477614">
              <w:rPr>
                <w:iCs/>
              </w:rPr>
              <w:t xml:space="preserve"> ERCOT Contingency Reserve Service Charge</w:t>
            </w:r>
            <w:r>
              <w:rPr>
                <w:iCs/>
              </w:rPr>
              <w:t>;</w:t>
            </w:r>
          </w:p>
        </w:tc>
      </w:tr>
    </w:tbl>
    <w:p w14:paraId="3A4A0F8A" w14:textId="3F0D13E0" w:rsidR="00613851" w:rsidRPr="00613851" w:rsidRDefault="00613851" w:rsidP="00AA42E8">
      <w:pPr>
        <w:widowControl w:val="0"/>
        <w:spacing w:before="240" w:after="240"/>
        <w:ind w:left="1440" w:hanging="720"/>
        <w:rPr>
          <w:iCs/>
        </w:rPr>
      </w:pPr>
      <w:r w:rsidRPr="00613851">
        <w:rPr>
          <w:iCs/>
        </w:rPr>
        <w:t>(l)</w:t>
      </w:r>
      <w:r w:rsidRPr="00613851">
        <w:rPr>
          <w:iCs/>
        </w:rPr>
        <w:tab/>
        <w:t>Section 7.9.1.1, Payments and Charges for PTP Obligations Settled in DAM;</w:t>
      </w:r>
    </w:p>
    <w:p w14:paraId="4642FC3F" w14:textId="77777777" w:rsidR="00613851" w:rsidRPr="00613851" w:rsidRDefault="00613851" w:rsidP="009648F5">
      <w:pPr>
        <w:widowControl w:val="0"/>
        <w:spacing w:after="240"/>
        <w:ind w:left="1440" w:hanging="720"/>
        <w:rPr>
          <w:iCs/>
        </w:rPr>
      </w:pPr>
      <w:r w:rsidRPr="00613851">
        <w:rPr>
          <w:iCs/>
        </w:rPr>
        <w:t>(m)</w:t>
      </w:r>
      <w:r w:rsidRPr="00613851">
        <w:rPr>
          <w:iCs/>
        </w:rPr>
        <w:tab/>
        <w:t>Section 7.9.1.2, Payments for PTP Options Settled in DAM;</w:t>
      </w:r>
    </w:p>
    <w:p w14:paraId="12D3D1EF" w14:textId="77777777" w:rsidR="00613851" w:rsidRPr="00613851" w:rsidRDefault="00613851" w:rsidP="009648F5">
      <w:pPr>
        <w:widowControl w:val="0"/>
        <w:spacing w:after="240"/>
        <w:ind w:left="1440" w:hanging="720"/>
        <w:rPr>
          <w:iCs/>
        </w:rPr>
      </w:pPr>
      <w:r w:rsidRPr="00613851">
        <w:rPr>
          <w:iCs/>
        </w:rPr>
        <w:t>(n)</w:t>
      </w:r>
      <w:r w:rsidRPr="00613851">
        <w:rPr>
          <w:iCs/>
        </w:rPr>
        <w:tab/>
        <w:t>Section 7.9.1.5, Payments and Charges for PTP Obligations with Refund Settled in DAM; and</w:t>
      </w:r>
    </w:p>
    <w:p w14:paraId="63297784" w14:textId="77777777" w:rsidR="00613851" w:rsidRPr="00613851" w:rsidRDefault="00613851" w:rsidP="009648F5">
      <w:pPr>
        <w:widowControl w:val="0"/>
        <w:spacing w:after="240"/>
        <w:ind w:left="1440" w:hanging="720"/>
        <w:rPr>
          <w:iCs/>
        </w:rPr>
      </w:pPr>
      <w:r w:rsidRPr="00613851">
        <w:rPr>
          <w:iCs/>
        </w:rPr>
        <w:t>(o)</w:t>
      </w:r>
      <w:r w:rsidRPr="00613851">
        <w:rPr>
          <w:iCs/>
        </w:rPr>
        <w:tab/>
        <w:t>Section 7.9.1.6, Payments for PTP Options with Refund Settled in DAM.</w:t>
      </w:r>
    </w:p>
    <w:p w14:paraId="48DAFDE9" w14:textId="77777777" w:rsidR="00613851" w:rsidRPr="00613851" w:rsidRDefault="00613851" w:rsidP="00613851">
      <w:pPr>
        <w:keepNext/>
        <w:tabs>
          <w:tab w:val="left" w:pos="1620"/>
        </w:tabs>
        <w:spacing w:before="240" w:after="240"/>
        <w:ind w:left="1627" w:hanging="1627"/>
        <w:outlineLvl w:val="4"/>
        <w:rPr>
          <w:b/>
          <w:bCs/>
          <w:i/>
          <w:iCs/>
          <w:szCs w:val="26"/>
        </w:rPr>
      </w:pPr>
      <w:bookmarkStart w:id="480" w:name="_Toc70591638"/>
      <w:r w:rsidRPr="00613851">
        <w:rPr>
          <w:b/>
          <w:bCs/>
          <w:i/>
          <w:iCs/>
          <w:szCs w:val="26"/>
        </w:rPr>
        <w:lastRenderedPageBreak/>
        <w:t>16.11.4.3.2</w:t>
      </w:r>
      <w:r w:rsidRPr="00613851">
        <w:rPr>
          <w:b/>
          <w:bCs/>
          <w:i/>
          <w:iCs/>
          <w:szCs w:val="26"/>
        </w:rPr>
        <w:tab/>
        <w:t>Real-Time Liability Estimate</w:t>
      </w:r>
      <w:bookmarkEnd w:id="480"/>
    </w:p>
    <w:p w14:paraId="144BB042" w14:textId="77777777" w:rsidR="00613851" w:rsidRPr="00613851" w:rsidRDefault="00613851" w:rsidP="00613851">
      <w:pPr>
        <w:keepNext/>
        <w:spacing w:after="240"/>
        <w:ind w:left="720" w:hanging="720"/>
        <w:rPr>
          <w:iCs/>
        </w:rPr>
      </w:pPr>
      <w:r w:rsidRPr="00613851">
        <w:rPr>
          <w:iCs/>
        </w:rPr>
        <w:t>(1)</w:t>
      </w:r>
      <w:r w:rsidRPr="00613851">
        <w:rPr>
          <w:iCs/>
        </w:rPr>
        <w:tab/>
        <w:t>ERCOT shall estimate RTL for an Operating Day as the sum of estimates for the following RTM Settlement charges and payments:</w:t>
      </w:r>
    </w:p>
    <w:p w14:paraId="36B59AEF" w14:textId="77777777" w:rsidR="00613851" w:rsidRPr="00613851" w:rsidRDefault="00613851" w:rsidP="00613851">
      <w:pPr>
        <w:spacing w:after="240"/>
        <w:ind w:left="1440" w:hanging="720"/>
      </w:pPr>
      <w:r w:rsidRPr="00613851">
        <w:t>(a)</w:t>
      </w:r>
      <w:r w:rsidRPr="00613851">
        <w:tab/>
        <w:t xml:space="preserve">Section 6.6.3.1, Real-Time Energy Imbalance Payment or Charge at a Resource Node, using Real-Time Metered Generation (RTMG) as generation estimate; </w:t>
      </w:r>
    </w:p>
    <w:p w14:paraId="70059D2F" w14:textId="27747CDF" w:rsidR="00613851" w:rsidRPr="00613851" w:rsidRDefault="00613851" w:rsidP="00613851">
      <w:pPr>
        <w:spacing w:after="240"/>
        <w:ind w:left="1440" w:hanging="720"/>
      </w:pPr>
      <w:r w:rsidRPr="00613851">
        <w:t>(b)</w:t>
      </w:r>
      <w:r w:rsidRPr="00613851">
        <w:tab/>
        <w:t>Section 6.6.3.2, Real-Time Energy Imbalance Payment or Charge at a Load Zone, using 14</w:t>
      </w:r>
      <w:r w:rsidR="00C279DC">
        <w:t>-</w:t>
      </w:r>
      <w:r w:rsidRPr="00613851">
        <w:t>day or seven</w:t>
      </w:r>
      <w:r w:rsidR="00C279DC">
        <w:t>-</w:t>
      </w:r>
      <w:r w:rsidRPr="00613851">
        <w:t>day</w:t>
      </w:r>
      <w:r w:rsidR="00C279DC">
        <w:t>-</w:t>
      </w:r>
      <w:r w:rsidRPr="00613851">
        <w:t>old LRS for Load estimate;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B35DA1" w14:paraId="17E52C37" w14:textId="77777777" w:rsidTr="004033D4">
        <w:tc>
          <w:tcPr>
            <w:tcW w:w="9332" w:type="dxa"/>
            <w:shd w:val="pct12" w:color="auto" w:fill="auto"/>
          </w:tcPr>
          <w:p w14:paraId="226C1687" w14:textId="77777777" w:rsidR="00B35DA1" w:rsidRPr="0002450E" w:rsidRDefault="00B35DA1" w:rsidP="00B7359F">
            <w:pPr>
              <w:pStyle w:val="Instructions"/>
              <w:spacing w:before="120"/>
              <w:rPr>
                <w:iCs/>
              </w:rPr>
            </w:pPr>
            <w:r>
              <w:rPr>
                <w:iCs/>
              </w:rPr>
              <w:t>[NPRR829</w:t>
            </w:r>
            <w:r w:rsidRPr="0002450E">
              <w:rPr>
                <w:iCs/>
              </w:rPr>
              <w:t xml:space="preserve">:  Replace </w:t>
            </w:r>
            <w:r>
              <w:rPr>
                <w:iCs/>
              </w:rPr>
              <w:t>item (b)</w:t>
            </w:r>
            <w:r w:rsidRPr="0002450E">
              <w:rPr>
                <w:iCs/>
              </w:rPr>
              <w:t xml:space="preserve"> above with the following upon system implementation:] </w:t>
            </w:r>
          </w:p>
          <w:p w14:paraId="27A8F5A9" w14:textId="6D78A656" w:rsidR="00B35DA1" w:rsidRPr="00B35DA1" w:rsidRDefault="00B35DA1" w:rsidP="00B91B01">
            <w:pPr>
              <w:spacing w:after="240"/>
              <w:ind w:left="1440" w:hanging="720"/>
            </w:pPr>
            <w:r w:rsidRPr="00613851">
              <w:t>(b)</w:t>
            </w:r>
            <w:r w:rsidRPr="00613851">
              <w:tab/>
              <w:t>Section 6.6.3.2, Real-Time Energy Imbalance Payment or Charge at a Load Zone, using 14</w:t>
            </w:r>
            <w:r w:rsidR="00C279DC">
              <w:t>-</w:t>
            </w:r>
            <w:r w:rsidRPr="00613851">
              <w:t>day or seven</w:t>
            </w:r>
            <w:r w:rsidR="00C279DC">
              <w:t>-</w:t>
            </w:r>
            <w:r w:rsidRPr="00613851">
              <w:t>day</w:t>
            </w:r>
            <w:r w:rsidR="00C279DC">
              <w:t>-</w:t>
            </w:r>
            <w:r w:rsidRPr="00613851">
              <w:t>old LRS for Load estimate</w:t>
            </w:r>
            <w:r>
              <w:t xml:space="preserve"> and Real-Time telemetry of net generation as the generation estimate</w:t>
            </w:r>
            <w:r w:rsidRPr="00613851">
              <w:t>;</w:t>
            </w:r>
          </w:p>
        </w:tc>
      </w:tr>
    </w:tbl>
    <w:p w14:paraId="4DDDE8F6" w14:textId="77777777" w:rsidR="00613851" w:rsidRPr="00613851" w:rsidRDefault="00613851" w:rsidP="00AC0942">
      <w:pPr>
        <w:spacing w:before="240" w:after="240"/>
        <w:ind w:left="1440" w:hanging="720"/>
      </w:pPr>
      <w:r w:rsidRPr="00613851">
        <w:t>(c)</w:t>
      </w:r>
      <w:r w:rsidRPr="00613851">
        <w:tab/>
        <w:t>Section 6.6.3.3, Real-Time Energy Imbalance Payment or Charge at a Hub;</w:t>
      </w:r>
    </w:p>
    <w:p w14:paraId="553EFAEF" w14:textId="77777777" w:rsidR="00613851" w:rsidRPr="00613851" w:rsidRDefault="00613851" w:rsidP="00613851">
      <w:pPr>
        <w:spacing w:after="240"/>
        <w:ind w:left="1440" w:hanging="720"/>
      </w:pPr>
      <w:r w:rsidRPr="00613851">
        <w:t>(d)</w:t>
      </w:r>
      <w:r w:rsidRPr="00613851">
        <w:tab/>
        <w:t>Section 6.6.3.4, Real-Time Energy Payment for DC Tie Import;</w:t>
      </w:r>
    </w:p>
    <w:p w14:paraId="69AEED10" w14:textId="77777777" w:rsidR="00B8248C" w:rsidRDefault="00613851" w:rsidP="00613851">
      <w:pPr>
        <w:spacing w:after="240"/>
        <w:ind w:left="1440" w:hanging="720"/>
      </w:pPr>
      <w:r w:rsidRPr="00613851">
        <w:t>(e)</w:t>
      </w:r>
      <w:r w:rsidRPr="00613851">
        <w:tab/>
        <w:t>Section 6.6.3.6, Real-Time Energy Charge for DC Tie Export Represented by the QSE Under the Oklaunion Exemption;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B8248C" w14:paraId="1805A3D8" w14:textId="77777777" w:rsidTr="004E603E">
        <w:tc>
          <w:tcPr>
            <w:tcW w:w="9332" w:type="dxa"/>
            <w:shd w:val="pct12" w:color="auto" w:fill="auto"/>
          </w:tcPr>
          <w:p w14:paraId="26800327" w14:textId="29B6D868" w:rsidR="00B8248C" w:rsidRPr="00B8248C" w:rsidRDefault="00B8248C" w:rsidP="00B8248C">
            <w:pPr>
              <w:pStyle w:val="Instructions"/>
              <w:spacing w:before="120"/>
              <w:rPr>
                <w:iCs/>
              </w:rPr>
            </w:pPr>
            <w:r>
              <w:rPr>
                <w:iCs/>
              </w:rPr>
              <w:t>[NPRR1054</w:t>
            </w:r>
            <w:r w:rsidRPr="0002450E">
              <w:rPr>
                <w:iCs/>
              </w:rPr>
              <w:t xml:space="preserve">:  </w:t>
            </w:r>
            <w:r>
              <w:rPr>
                <w:iCs/>
              </w:rPr>
              <w:t>Delete</w:t>
            </w:r>
            <w:r w:rsidRPr="0002450E">
              <w:rPr>
                <w:iCs/>
              </w:rPr>
              <w:t xml:space="preserve"> </w:t>
            </w:r>
            <w:r>
              <w:rPr>
                <w:iCs/>
              </w:rPr>
              <w:t>item (e)</w:t>
            </w:r>
            <w:r w:rsidRPr="0002450E">
              <w:rPr>
                <w:iCs/>
              </w:rPr>
              <w:t xml:space="preserve"> above upon system implementation</w:t>
            </w:r>
            <w:r>
              <w:rPr>
                <w:iCs/>
              </w:rPr>
              <w:t xml:space="preserve"> and renumber accordingly.</w:t>
            </w:r>
            <w:r w:rsidRPr="0002450E">
              <w:rPr>
                <w:iCs/>
              </w:rPr>
              <w:t xml:space="preserve">] </w:t>
            </w:r>
          </w:p>
        </w:tc>
      </w:tr>
    </w:tbl>
    <w:p w14:paraId="56444348" w14:textId="77777777" w:rsidR="00B8248C" w:rsidRPr="00613851" w:rsidRDefault="00B8248C" w:rsidP="00B8248C">
      <w:pPr>
        <w:ind w:left="1440" w:hanging="72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1A7AB9" w14:paraId="10C107F0" w14:textId="77777777" w:rsidTr="004033D4">
        <w:tc>
          <w:tcPr>
            <w:tcW w:w="9332" w:type="dxa"/>
            <w:shd w:val="pct12" w:color="auto" w:fill="auto"/>
          </w:tcPr>
          <w:p w14:paraId="2A927AB9" w14:textId="0059BC69" w:rsidR="001A7AB9" w:rsidRPr="0002450E" w:rsidRDefault="001A7AB9" w:rsidP="00767EC3">
            <w:pPr>
              <w:pStyle w:val="Instructions"/>
              <w:spacing w:before="120"/>
              <w:rPr>
                <w:iCs/>
              </w:rPr>
            </w:pPr>
            <w:r>
              <w:rPr>
                <w:iCs/>
              </w:rPr>
              <w:t>[NPRR917</w:t>
            </w:r>
            <w:r w:rsidR="00DF27BC">
              <w:rPr>
                <w:iCs/>
              </w:rPr>
              <w:t xml:space="preserve"> and NPRR995</w:t>
            </w:r>
            <w:r w:rsidRPr="0002450E">
              <w:rPr>
                <w:iCs/>
              </w:rPr>
              <w:t xml:space="preserve">:  </w:t>
            </w:r>
            <w:r>
              <w:rPr>
                <w:iCs/>
              </w:rPr>
              <w:t xml:space="preserve">Insert </w:t>
            </w:r>
            <w:r w:rsidR="00DF27BC">
              <w:rPr>
                <w:iCs/>
              </w:rPr>
              <w:t xml:space="preserve">applicable portions of </w:t>
            </w:r>
            <w:r>
              <w:rPr>
                <w:iCs/>
              </w:rPr>
              <w:t>item (f) below</w:t>
            </w:r>
            <w:r w:rsidRPr="0002450E">
              <w:rPr>
                <w:iCs/>
              </w:rPr>
              <w:t xml:space="preserve"> upon system implementation</w:t>
            </w:r>
            <w:r>
              <w:rPr>
                <w:iCs/>
              </w:rPr>
              <w:t xml:space="preserve"> and renumber accordingly</w:t>
            </w:r>
            <w:r w:rsidRPr="0002450E">
              <w:rPr>
                <w:iCs/>
              </w:rPr>
              <w:t xml:space="preserve">:] </w:t>
            </w:r>
          </w:p>
          <w:p w14:paraId="507AC414" w14:textId="34252186" w:rsidR="001A7AB9" w:rsidRPr="00B35DA1" w:rsidRDefault="001A7AB9" w:rsidP="001A7AB9">
            <w:pPr>
              <w:spacing w:after="240"/>
              <w:ind w:left="1440" w:hanging="720"/>
            </w:pPr>
            <w:r w:rsidRPr="00B75A10">
              <w:t>(f)</w:t>
            </w:r>
            <w:r w:rsidRPr="00B75A10">
              <w:tab/>
              <w:t xml:space="preserve">Section 6.6.3.9, Real-Time Payment or Charge for Energy from </w:t>
            </w:r>
            <w:r w:rsidRPr="007A41CB">
              <w:t>a Settlement Only Distribution Generator (SODG)</w:t>
            </w:r>
            <w:r w:rsidR="00DF27BC">
              <w:t>,</w:t>
            </w:r>
            <w:r w:rsidRPr="007A41CB">
              <w:t xml:space="preserve"> Settlement Only Transmission Generator (SOTG)</w:t>
            </w:r>
            <w:r w:rsidR="00DF27BC" w:rsidRPr="004F0937">
              <w:t>, Settlement Only Distribution Energy Storage</w:t>
            </w:r>
            <w:r w:rsidR="00DF27BC">
              <w:t xml:space="preserve"> System</w:t>
            </w:r>
            <w:r w:rsidR="00DF27BC" w:rsidRPr="004F0937">
              <w:t xml:space="preserve"> (SODES</w:t>
            </w:r>
            <w:r w:rsidR="00DF27BC">
              <w:t>S</w:t>
            </w:r>
            <w:r w:rsidR="00DF27BC" w:rsidRPr="004F0937">
              <w:t>), or Settlement Only Transmission Energy Storage</w:t>
            </w:r>
            <w:r w:rsidR="00DF27BC">
              <w:t xml:space="preserve"> System</w:t>
            </w:r>
            <w:r w:rsidR="00DF27BC" w:rsidRPr="004F0937">
              <w:t xml:space="preserve"> (SOTES</w:t>
            </w:r>
            <w:r w:rsidR="00DF27BC">
              <w:t>S</w:t>
            </w:r>
            <w:r w:rsidR="00DF27BC" w:rsidRPr="004F0937">
              <w:t>)</w:t>
            </w:r>
            <w:r>
              <w:t>,</w:t>
            </w:r>
            <w:r w:rsidRPr="00FF47C6">
              <w:t xml:space="preserve"> using the Real-Time telemetry</w:t>
            </w:r>
            <w:r>
              <w:t>, if provided,</w:t>
            </w:r>
            <w:r w:rsidRPr="00FF47C6">
              <w:t xml:space="preserve"> of net generation as the outflow estimate and the Real-Time Price for each SODG</w:t>
            </w:r>
            <w:r w:rsidR="00DF27BC">
              <w:t>,</w:t>
            </w:r>
            <w:r w:rsidRPr="00FF47C6">
              <w:t xml:space="preserve"> SOTG</w:t>
            </w:r>
            <w:r w:rsidR="00DF27BC" w:rsidRPr="004F0937">
              <w:t>, SODES</w:t>
            </w:r>
            <w:r w:rsidR="00DF27BC">
              <w:t>S</w:t>
            </w:r>
            <w:r w:rsidR="00DF27BC" w:rsidRPr="004F0937">
              <w:t xml:space="preserve">, or </w:t>
            </w:r>
            <w:r w:rsidR="00DF27BC" w:rsidRPr="00694393">
              <w:t>SOTES</w:t>
            </w:r>
            <w:r w:rsidR="00DF27BC">
              <w:t>S</w:t>
            </w:r>
            <w:r w:rsidRPr="00FF47C6">
              <w:t xml:space="preserve"> site</w:t>
            </w:r>
            <w:r w:rsidRPr="00B75A10">
              <w:t>;</w:t>
            </w:r>
          </w:p>
        </w:tc>
      </w:tr>
    </w:tbl>
    <w:p w14:paraId="585A3F67" w14:textId="77777777" w:rsidR="00613851" w:rsidRPr="00613851" w:rsidRDefault="00613851" w:rsidP="003E021A">
      <w:pPr>
        <w:spacing w:before="240" w:after="240"/>
        <w:ind w:left="1440" w:hanging="720"/>
      </w:pPr>
      <w:r w:rsidRPr="00613851">
        <w:t>(f)</w:t>
      </w:r>
      <w:r w:rsidRPr="00613851">
        <w:tab/>
        <w:t>Section 6.6.4, Real-Time Congestion Payment or Charge for Self-Schedules;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033D4" w14:paraId="66A49C17" w14:textId="77777777" w:rsidTr="005A32AC">
        <w:tc>
          <w:tcPr>
            <w:tcW w:w="9332" w:type="dxa"/>
            <w:shd w:val="pct12" w:color="auto" w:fill="auto"/>
          </w:tcPr>
          <w:p w14:paraId="4F0034F9" w14:textId="18372069" w:rsidR="004033D4" w:rsidRPr="0002450E" w:rsidRDefault="004033D4" w:rsidP="005A32AC">
            <w:pPr>
              <w:pStyle w:val="Instructions"/>
              <w:spacing w:before="120"/>
              <w:rPr>
                <w:iCs/>
              </w:rPr>
            </w:pPr>
            <w:bookmarkStart w:id="481" w:name="_Toc397670191"/>
            <w:bookmarkStart w:id="482" w:name="_Toc405805793"/>
            <w:bookmarkStart w:id="483" w:name="_Toc422205968"/>
            <w:r>
              <w:rPr>
                <w:iCs/>
              </w:rPr>
              <w:t>[NPRR1013</w:t>
            </w:r>
            <w:r w:rsidRPr="0002450E">
              <w:rPr>
                <w:iCs/>
              </w:rPr>
              <w:t xml:space="preserve">:  </w:t>
            </w:r>
            <w:r>
              <w:rPr>
                <w:iCs/>
              </w:rPr>
              <w:t>Insert items (g)-(k) below</w:t>
            </w:r>
            <w:r w:rsidRPr="0002450E">
              <w:rPr>
                <w:iCs/>
              </w:rPr>
              <w:t xml:space="preserve"> upon system implementation</w:t>
            </w:r>
            <w:r>
              <w:rPr>
                <w:iCs/>
              </w:rPr>
              <w:t xml:space="preserve"> of the Real-Time Co-Optimization (RTC) project and renumber accordingly</w:t>
            </w:r>
            <w:r w:rsidRPr="0002450E">
              <w:rPr>
                <w:iCs/>
              </w:rPr>
              <w:t xml:space="preserve">:] </w:t>
            </w:r>
          </w:p>
          <w:p w14:paraId="61C41706" w14:textId="180C7599" w:rsidR="004033D4" w:rsidRDefault="004033D4" w:rsidP="004033D4">
            <w:pPr>
              <w:spacing w:after="240"/>
              <w:ind w:left="1440" w:hanging="720"/>
            </w:pPr>
            <w:r>
              <w:t>(g)</w:t>
            </w:r>
            <w:r>
              <w:tab/>
              <w:t xml:space="preserve">Section 6.7.5.1, Regulation Up Payments and Charges; </w:t>
            </w:r>
          </w:p>
          <w:p w14:paraId="3AB428CE" w14:textId="2200B4C0" w:rsidR="004033D4" w:rsidRDefault="004033D4" w:rsidP="004033D4">
            <w:pPr>
              <w:spacing w:after="240"/>
              <w:ind w:left="1440" w:hanging="720"/>
            </w:pPr>
            <w:r>
              <w:lastRenderedPageBreak/>
              <w:t>(h)</w:t>
            </w:r>
            <w:r>
              <w:tab/>
              <w:t xml:space="preserve">Section 6.7.5.2, Regulation Down Payments and Charges; </w:t>
            </w:r>
          </w:p>
          <w:p w14:paraId="2C8E48B2" w14:textId="26E0D0F9" w:rsidR="004033D4" w:rsidRDefault="004033D4" w:rsidP="004033D4">
            <w:pPr>
              <w:spacing w:after="240"/>
              <w:ind w:left="1440" w:hanging="720"/>
            </w:pPr>
            <w:r>
              <w:t>(i)</w:t>
            </w:r>
            <w:r>
              <w:tab/>
              <w:t xml:space="preserve">Section 6.7.5.3, Responsive Reserve Payments and Charges; </w:t>
            </w:r>
          </w:p>
          <w:p w14:paraId="698790AE" w14:textId="1D33B7B5" w:rsidR="004033D4" w:rsidRDefault="004033D4" w:rsidP="004033D4">
            <w:pPr>
              <w:spacing w:after="240"/>
              <w:ind w:left="1440" w:hanging="720"/>
            </w:pPr>
            <w:r>
              <w:t>(j)</w:t>
            </w:r>
            <w:r>
              <w:tab/>
              <w:t>Section 6.7.5.4, Non-Spinning Reserve Payments and Charges; and</w:t>
            </w:r>
          </w:p>
          <w:p w14:paraId="55FD048E" w14:textId="0A357556" w:rsidR="004033D4" w:rsidRPr="00B35DA1" w:rsidRDefault="004033D4" w:rsidP="004033D4">
            <w:pPr>
              <w:spacing w:after="240"/>
              <w:ind w:left="1440" w:hanging="720"/>
            </w:pPr>
            <w:r>
              <w:t>(k)</w:t>
            </w:r>
            <w:r>
              <w:tab/>
              <w:t>Section 6.7.5.5, ERCOT Contingency Reserve Service Payments and Charges.</w:t>
            </w:r>
          </w:p>
        </w:tc>
      </w:tr>
    </w:tbl>
    <w:p w14:paraId="193F3B9F" w14:textId="632D28B9" w:rsidR="00613851" w:rsidRDefault="00613851" w:rsidP="0028136E">
      <w:pPr>
        <w:spacing w:before="240" w:after="240"/>
        <w:ind w:left="1440" w:hanging="720"/>
      </w:pPr>
      <w:r w:rsidRPr="00613851">
        <w:lastRenderedPageBreak/>
        <w:t>(g)</w:t>
      </w:r>
      <w:r w:rsidRPr="00613851">
        <w:tab/>
        <w:t>Section 7.9.2.1,</w:t>
      </w:r>
      <w:bookmarkEnd w:id="481"/>
      <w:bookmarkEnd w:id="482"/>
      <w:bookmarkEnd w:id="483"/>
      <w:r w:rsidRPr="00613851">
        <w:t xml:space="preserve"> Payments and Charges for PTP Obligations Settled in Real-Time.</w:t>
      </w:r>
    </w:p>
    <w:p w14:paraId="29DEF723" w14:textId="77777777" w:rsidR="009453A8" w:rsidRDefault="009453A8" w:rsidP="009453A8">
      <w:pPr>
        <w:keepNext/>
        <w:tabs>
          <w:tab w:val="left" w:pos="1620"/>
        </w:tabs>
        <w:spacing w:before="240" w:after="240"/>
        <w:outlineLvl w:val="4"/>
        <w:rPr>
          <w:b/>
          <w:bCs/>
          <w:i/>
          <w:iCs/>
          <w:szCs w:val="26"/>
        </w:rPr>
      </w:pPr>
      <w:bookmarkStart w:id="484" w:name="_Toc70591639"/>
      <w:r w:rsidRPr="00613851">
        <w:rPr>
          <w:b/>
          <w:bCs/>
          <w:i/>
          <w:iCs/>
          <w:szCs w:val="26"/>
        </w:rPr>
        <w:t>16.11.4.3.</w:t>
      </w:r>
      <w:r>
        <w:rPr>
          <w:b/>
          <w:bCs/>
          <w:i/>
          <w:iCs/>
          <w:szCs w:val="26"/>
        </w:rPr>
        <w:t>3</w:t>
      </w:r>
      <w:r w:rsidRPr="00613851">
        <w:rPr>
          <w:b/>
          <w:bCs/>
          <w:i/>
          <w:iCs/>
          <w:szCs w:val="26"/>
        </w:rPr>
        <w:tab/>
      </w:r>
      <w:r>
        <w:rPr>
          <w:b/>
          <w:bCs/>
          <w:i/>
          <w:iCs/>
          <w:szCs w:val="26"/>
        </w:rPr>
        <w:t>Forward Adjustment Factors</w:t>
      </w:r>
      <w:bookmarkEnd w:id="484"/>
    </w:p>
    <w:p w14:paraId="69BBD247" w14:textId="77777777" w:rsidR="009453A8" w:rsidRDefault="009453A8" w:rsidP="009453A8">
      <w:pPr>
        <w:keepNext/>
        <w:spacing w:after="240"/>
        <w:ind w:left="720" w:hanging="720"/>
        <w:rPr>
          <w:iCs/>
        </w:rPr>
      </w:pPr>
      <w:r>
        <w:rPr>
          <w:iCs/>
        </w:rPr>
        <w:t>(1)</w:t>
      </w:r>
      <w:r>
        <w:rPr>
          <w:iCs/>
        </w:rPr>
        <w:tab/>
        <w:t>Forward adjustment factors are used to adjust TPEA based on electricity futures prices.</w:t>
      </w:r>
    </w:p>
    <w:p w14:paraId="657EE274" w14:textId="77777777" w:rsidR="009453A8" w:rsidRDefault="009453A8" w:rsidP="009453A8">
      <w:pPr>
        <w:keepNext/>
        <w:spacing w:after="240"/>
        <w:ind w:left="1440" w:hanging="720"/>
        <w:rPr>
          <w:iCs/>
        </w:rPr>
      </w:pPr>
      <w:r>
        <w:rPr>
          <w:iCs/>
        </w:rPr>
        <w:t>(a)</w:t>
      </w:r>
      <w:r>
        <w:rPr>
          <w:iCs/>
        </w:rPr>
        <w:tab/>
        <w:t xml:space="preserve">Futures Weekly Average Price (FWAP): </w:t>
      </w:r>
    </w:p>
    <w:p w14:paraId="4FC27539" w14:textId="10BAC73C" w:rsidR="009453A8" w:rsidRPr="004143EA" w:rsidRDefault="009453A8" w:rsidP="009453A8">
      <w:pPr>
        <w:spacing w:after="240"/>
      </w:pPr>
      <w:r>
        <w:rPr>
          <w:iCs/>
        </w:rPr>
        <w:tab/>
      </w:r>
      <w:r>
        <w:rPr>
          <w:iCs/>
        </w:rPr>
        <w:tab/>
        <w:t>FWAP</w:t>
      </w:r>
      <w:r w:rsidRPr="006B56FB">
        <w:rPr>
          <w:i/>
          <w:iCs/>
          <w:vertAlign w:val="subscript"/>
        </w:rPr>
        <w:t>w</w:t>
      </w:r>
      <w:r>
        <w:rPr>
          <w:iCs/>
        </w:rPr>
        <w:t xml:space="preserve"> = (1/</w:t>
      </w:r>
      <w:r w:rsidRPr="00934A67">
        <w:rPr>
          <w:i/>
          <w:iCs/>
        </w:rPr>
        <w:t>nfwh</w:t>
      </w:r>
      <w:r>
        <w:rPr>
          <w:iCs/>
        </w:rPr>
        <w:t xml:space="preserve">) * </w:t>
      </w:r>
      <w:r w:rsidRPr="005D40CD">
        <w:rPr>
          <w:iCs/>
        </w:rPr>
        <w:fldChar w:fldCharType="begin"/>
      </w:r>
      <w:r w:rsidRPr="005D40CD">
        <w:rPr>
          <w:iCs/>
        </w:rPr>
        <w:instrText xml:space="preserve"> QUOTE </w:instrText>
      </w:r>
      <m:oMath>
        <m:nary>
          <m:naryPr>
            <m:chr m:val="∑"/>
            <m:limLoc m:val="undOvr"/>
            <m:ctrlPr>
              <w:rPr>
                <w:rFonts w:ascii="Cambria Math" w:hAnsi="Cambria Math"/>
                <w:i/>
                <w:iCs/>
              </w:rPr>
            </m:ctrlPr>
          </m:naryPr>
          <m:sub>
            <m:r>
              <m:rPr>
                <m:sty m:val="p"/>
              </m:rPr>
              <w:rPr>
                <w:rFonts w:ascii="Cambria Math" w:hAnsi="Cambria Math"/>
              </w:rPr>
              <m:t>fwh=1</m:t>
            </m:r>
          </m:sub>
          <m:sup>
            <m:r>
              <m:rPr>
                <m:sty m:val="p"/>
              </m:rPr>
              <w:rPr>
                <w:rFonts w:ascii="Cambria Math" w:hAnsi="Cambria Math"/>
              </w:rPr>
              <m:t>nfwh</m:t>
            </m:r>
          </m:sup>
          <m:e/>
        </m:nary>
      </m:oMath>
      <w:r w:rsidRPr="005D40CD">
        <w:rPr>
          <w:iCs/>
        </w:rPr>
        <w:instrText xml:space="preserve"> </w:instrText>
      </w:r>
      <w:r w:rsidRPr="005D40CD">
        <w:rPr>
          <w:iCs/>
        </w:rPr>
        <w:fldChar w:fldCharType="end"/>
      </w:r>
      <m:oMath>
        <m:nary>
          <m:naryPr>
            <m:chr m:val="∑"/>
            <m:limLoc m:val="undOvr"/>
            <m:ctrlPr>
              <w:rPr>
                <w:rFonts w:ascii="Cambria Math" w:hAnsi="Cambria Math"/>
                <w:i/>
                <w:iCs/>
              </w:rPr>
            </m:ctrlPr>
          </m:naryPr>
          <m:sub>
            <m:r>
              <w:rPr>
                <w:rFonts w:ascii="Cambria Math" w:hAnsi="Cambria Math"/>
              </w:rPr>
              <m:t>fwh=</m:t>
            </m:r>
            <m:r>
              <w:rPr>
                <w:rFonts w:ascii="Cambria Math" w:hAnsi="Cambria Math"/>
              </w:rPr>
              <m:t>1</m:t>
            </m:r>
          </m:sub>
          <m:sup>
            <m:r>
              <w:rPr>
                <w:rFonts w:ascii="Cambria Math" w:hAnsi="Cambria Math"/>
              </w:rPr>
              <m:t>nfwh</m:t>
            </m:r>
          </m:sup>
          <m:e>
            <m:r>
              <m:rPr>
                <m:sty m:val="p"/>
              </m:rPr>
              <w:rPr>
                <w:rFonts w:ascii="Cambria Math" w:hAnsi="Cambria Math"/>
              </w:rPr>
              <m:t>[</m:t>
            </m:r>
          </m:e>
        </m:nary>
      </m:oMath>
      <w:r w:rsidRPr="005035F1">
        <w:rPr>
          <w:iCs/>
        </w:rPr>
        <w:t xml:space="preserve">FHP </w:t>
      </w:r>
      <w:r w:rsidRPr="005035F1">
        <w:rPr>
          <w:i/>
          <w:iCs/>
          <w:vertAlign w:val="subscript"/>
        </w:rPr>
        <w:t>fwh, rhub</w:t>
      </w:r>
      <w:r>
        <w:rPr>
          <w:iCs/>
        </w:rPr>
        <w:t>]</w:t>
      </w:r>
    </w:p>
    <w:p w14:paraId="7217F9EC" w14:textId="77777777" w:rsidR="009453A8" w:rsidRDefault="009453A8" w:rsidP="009453A8">
      <w:pPr>
        <w:keepNext/>
        <w:spacing w:after="240"/>
        <w:ind w:left="1440" w:hanging="720"/>
        <w:rPr>
          <w:iCs/>
        </w:rPr>
      </w:pPr>
      <w:r>
        <w:rPr>
          <w:iCs/>
        </w:rPr>
        <w:t>(b)</w:t>
      </w:r>
      <w:r>
        <w:rPr>
          <w:iCs/>
        </w:rPr>
        <w:tab/>
        <w:t xml:space="preserve">Projected Real-Time Forward Average Price (PRFAP): </w:t>
      </w:r>
    </w:p>
    <w:p w14:paraId="1CDBDA5B" w14:textId="6879FEF8" w:rsidR="009453A8" w:rsidRPr="006B56FB" w:rsidRDefault="009453A8" w:rsidP="009453A8">
      <w:pPr>
        <w:spacing w:after="240"/>
        <w:rPr>
          <w:iCs/>
        </w:rPr>
      </w:pPr>
      <w:r>
        <w:rPr>
          <w:iCs/>
        </w:rPr>
        <w:tab/>
      </w:r>
      <w:r>
        <w:rPr>
          <w:iCs/>
        </w:rPr>
        <w:tab/>
        <w:t>PRFAP =</w:t>
      </w:r>
      <w:r>
        <w:rPr>
          <w:position w:val="-6"/>
        </w:rPr>
        <w:t xml:space="preserve"> </w:t>
      </w:r>
      <m:oMath>
        <m:nary>
          <m:naryPr>
            <m:chr m:val="∑"/>
            <m:limLoc m:val="undOvr"/>
            <m:ctrlPr>
              <w:rPr>
                <w:rFonts w:ascii="Cambria Math" w:hAnsi="Cambria Math"/>
                <w:i/>
                <w:iCs/>
              </w:rPr>
            </m:ctrlPr>
          </m:naryPr>
          <m:sub>
            <m:r>
              <w:rPr>
                <w:rFonts w:ascii="Cambria Math" w:hAnsi="Cambria Math"/>
              </w:rPr>
              <m:t>w=1</m:t>
            </m:r>
          </m:sub>
          <m:sup>
            <m:r>
              <w:rPr>
                <w:rFonts w:ascii="Cambria Math" w:hAnsi="Cambria Math"/>
              </w:rPr>
              <m:t>3</m:t>
            </m:r>
          </m:sup>
          <m:e>
            <m:r>
              <m:rPr>
                <m:sty m:val="p"/>
              </m:rPr>
              <w:rPr>
                <w:rFonts w:ascii="Cambria Math" w:hAnsi="Cambria Math"/>
              </w:rPr>
              <m:t>[</m:t>
            </m:r>
          </m:e>
        </m:nary>
      </m:oMath>
      <w:r w:rsidRPr="005035F1">
        <w:rPr>
          <w:i/>
          <w:iCs/>
        </w:rPr>
        <w:t xml:space="preserve">RWF </w:t>
      </w:r>
      <w:r w:rsidRPr="005035F1">
        <w:rPr>
          <w:i/>
          <w:iCs/>
          <w:vertAlign w:val="subscript"/>
        </w:rPr>
        <w:t>w</w:t>
      </w:r>
      <w:r w:rsidRPr="005035F1">
        <w:rPr>
          <w:iCs/>
        </w:rPr>
        <w:t xml:space="preserve"> * FWAP </w:t>
      </w:r>
      <w:r w:rsidRPr="005035F1">
        <w:rPr>
          <w:i/>
          <w:iCs/>
          <w:vertAlign w:val="subscript"/>
        </w:rPr>
        <w:t>w</w:t>
      </w:r>
      <w:r w:rsidRPr="005035F1">
        <w:rPr>
          <w:iCs/>
        </w:rPr>
        <w:t>]</w:t>
      </w:r>
    </w:p>
    <w:p w14:paraId="3954A635" w14:textId="77777777" w:rsidR="009453A8" w:rsidRDefault="009453A8" w:rsidP="009453A8">
      <w:pPr>
        <w:keepNext/>
        <w:spacing w:after="240"/>
        <w:ind w:left="1440" w:hanging="720"/>
        <w:rPr>
          <w:iCs/>
        </w:rPr>
      </w:pPr>
      <w:r>
        <w:rPr>
          <w:iCs/>
        </w:rPr>
        <w:t>(c)</w:t>
      </w:r>
      <w:r>
        <w:rPr>
          <w:iCs/>
        </w:rPr>
        <w:tab/>
        <w:t xml:space="preserve">Projected Day-Ahead Forward Average Price (PDFAP): </w:t>
      </w:r>
    </w:p>
    <w:p w14:paraId="7F790E3A" w14:textId="7DE520C3" w:rsidR="009453A8" w:rsidRDefault="009453A8" w:rsidP="009453A8">
      <w:pPr>
        <w:keepNext/>
        <w:spacing w:after="240"/>
        <w:ind w:left="1440"/>
        <w:rPr>
          <w:iCs/>
        </w:rPr>
      </w:pPr>
      <w:r>
        <w:rPr>
          <w:iCs/>
        </w:rPr>
        <w:t>PDFAP =</w:t>
      </w:r>
      <w:r>
        <w:rPr>
          <w:position w:val="-6"/>
        </w:rPr>
        <w:t xml:space="preserve"> </w:t>
      </w:r>
      <m:oMath>
        <m:nary>
          <m:naryPr>
            <m:chr m:val="∑"/>
            <m:limLoc m:val="undOvr"/>
            <m:ctrlPr>
              <w:rPr>
                <w:rFonts w:ascii="Cambria Math" w:hAnsi="Cambria Math"/>
                <w:i/>
                <w:iCs/>
              </w:rPr>
            </m:ctrlPr>
          </m:naryPr>
          <m:sub>
            <m:r>
              <w:rPr>
                <w:rFonts w:ascii="Cambria Math" w:hAnsi="Cambria Math"/>
              </w:rPr>
              <m:t>w=1</m:t>
            </m:r>
          </m:sub>
          <m:sup>
            <m:r>
              <w:rPr>
                <w:rFonts w:ascii="Cambria Math" w:hAnsi="Cambria Math"/>
              </w:rPr>
              <m:t>3</m:t>
            </m:r>
          </m:sup>
          <m:e>
            <m:r>
              <m:rPr>
                <m:sty m:val="p"/>
              </m:rPr>
              <w:rPr>
                <w:rFonts w:ascii="Cambria Math" w:hAnsi="Cambria Math"/>
              </w:rPr>
              <m:t>[</m:t>
            </m:r>
          </m:e>
        </m:nary>
      </m:oMath>
      <w:r w:rsidRPr="006B56FB">
        <w:rPr>
          <w:i/>
          <w:iCs/>
        </w:rPr>
        <w:t>D</w:t>
      </w:r>
      <w:r w:rsidRPr="005035F1">
        <w:rPr>
          <w:i/>
          <w:iCs/>
        </w:rPr>
        <w:t xml:space="preserve">WF </w:t>
      </w:r>
      <w:r w:rsidRPr="005035F1">
        <w:rPr>
          <w:i/>
          <w:iCs/>
          <w:vertAlign w:val="subscript"/>
        </w:rPr>
        <w:t>w</w:t>
      </w:r>
      <w:r w:rsidRPr="005035F1">
        <w:rPr>
          <w:iCs/>
        </w:rPr>
        <w:t xml:space="preserve"> * FWAP </w:t>
      </w:r>
      <w:r w:rsidRPr="005035F1">
        <w:rPr>
          <w:i/>
          <w:iCs/>
          <w:vertAlign w:val="subscript"/>
        </w:rPr>
        <w:t>w</w:t>
      </w:r>
      <w:r w:rsidRPr="005035F1">
        <w:rPr>
          <w:iCs/>
        </w:rPr>
        <w:t>]</w:t>
      </w:r>
    </w:p>
    <w:p w14:paraId="6223B224" w14:textId="77777777" w:rsidR="009453A8" w:rsidRDefault="009453A8" w:rsidP="009453A8">
      <w:pPr>
        <w:keepNext/>
        <w:spacing w:after="240"/>
        <w:ind w:left="1440" w:hanging="720"/>
        <w:rPr>
          <w:iCs/>
        </w:rPr>
      </w:pPr>
      <w:r>
        <w:rPr>
          <w:iCs/>
        </w:rPr>
        <w:t>(d)</w:t>
      </w:r>
      <w:r>
        <w:rPr>
          <w:iCs/>
        </w:rPr>
        <w:tab/>
        <w:t xml:space="preserve">Historic Real-Time Settled Average Price (HRSAP): </w:t>
      </w:r>
    </w:p>
    <w:p w14:paraId="0E75FEA6" w14:textId="04B2A5DC" w:rsidR="009453A8" w:rsidRPr="005035F1" w:rsidRDefault="009453A8" w:rsidP="009453A8">
      <w:pPr>
        <w:spacing w:after="240"/>
        <w:rPr>
          <w:i/>
          <w:iCs/>
          <w:vertAlign w:val="subscript"/>
        </w:rPr>
      </w:pPr>
      <w:r>
        <w:rPr>
          <w:iCs/>
        </w:rPr>
        <w:tab/>
      </w:r>
      <w:r>
        <w:rPr>
          <w:iCs/>
        </w:rPr>
        <w:tab/>
        <w:t>HRSAP = (1/</w:t>
      </w:r>
      <w:r w:rsidRPr="00934A67">
        <w:rPr>
          <w:i/>
          <w:iCs/>
        </w:rPr>
        <w:t>nhr</w:t>
      </w:r>
      <w:r w:rsidRPr="007D0D4F">
        <w:rPr>
          <w:i/>
          <w:iCs/>
        </w:rPr>
        <w:t>h</w:t>
      </w:r>
      <w:r>
        <w:rPr>
          <w:iCs/>
        </w:rPr>
        <w:t xml:space="preserve">) * </w:t>
      </w:r>
      <m:oMath>
        <m:nary>
          <m:naryPr>
            <m:chr m:val="∑"/>
            <m:limLoc m:val="undOvr"/>
            <m:ctrlPr>
              <w:rPr>
                <w:rFonts w:ascii="Cambria Math" w:hAnsi="Cambria Math"/>
                <w:i/>
                <w:iCs/>
              </w:rPr>
            </m:ctrlPr>
          </m:naryPr>
          <m:sub>
            <m:r>
              <w:rPr>
                <w:rFonts w:ascii="Cambria Math" w:hAnsi="Cambria Math"/>
              </w:rPr>
              <m:t>hrh=</m:t>
            </m:r>
            <m:r>
              <w:rPr>
                <w:rFonts w:ascii="Cambria Math" w:hAnsi="Cambria Math"/>
              </w:rPr>
              <m:t>1</m:t>
            </m:r>
          </m:sub>
          <m:sup>
            <m:r>
              <w:rPr>
                <w:rFonts w:ascii="Cambria Math" w:hAnsi="Cambria Math"/>
              </w:rPr>
              <m:t>nhrh</m:t>
            </m:r>
          </m:sup>
          <m:e>
            <m:nary>
              <m:naryPr>
                <m:chr m:val="∑"/>
                <m:limLoc m:val="undOvr"/>
                <m:ctrlPr>
                  <w:rPr>
                    <w:rFonts w:ascii="Cambria Math" w:hAnsi="Cambria Math"/>
                    <w:i/>
                    <w:iCs/>
                  </w:rPr>
                </m:ctrlPr>
              </m:naryPr>
              <m:sub>
                <m:r>
                  <w:rPr>
                    <w:rFonts w:ascii="Cambria Math" w:hAnsi="Cambria Math"/>
                  </w:rPr>
                  <m:t>i=1</m:t>
                </m:r>
              </m:sub>
              <m:sup>
                <m:r>
                  <w:rPr>
                    <w:rFonts w:ascii="Cambria Math" w:hAnsi="Cambria Math"/>
                  </w:rPr>
                  <m:t>4</m:t>
                </m:r>
              </m:sup>
              <m:e>
                <m:r>
                  <m:rPr>
                    <m:sty m:val="p"/>
                  </m:rPr>
                  <w:rPr>
                    <w:rFonts w:ascii="Cambria Math" w:hAnsi="Cambria Math"/>
                  </w:rPr>
                  <m:t>[</m:t>
                </m:r>
              </m:e>
            </m:nary>
          </m:e>
        </m:nary>
      </m:oMath>
      <w:r w:rsidRPr="005035F1">
        <w:rPr>
          <w:iCs/>
        </w:rPr>
        <w:t>RTSPP</w:t>
      </w:r>
      <w:r w:rsidRPr="005035F1">
        <w:rPr>
          <w:i/>
          <w:iCs/>
        </w:rPr>
        <w:t xml:space="preserve"> </w:t>
      </w:r>
      <w:r w:rsidRPr="005035F1">
        <w:rPr>
          <w:i/>
          <w:iCs/>
          <w:vertAlign w:val="subscript"/>
        </w:rPr>
        <w:t xml:space="preserve">hrh, </w:t>
      </w:r>
      <w:r>
        <w:rPr>
          <w:i/>
          <w:iCs/>
          <w:vertAlign w:val="subscript"/>
        </w:rPr>
        <w:t>i</w:t>
      </w:r>
      <w:r w:rsidRPr="005035F1">
        <w:rPr>
          <w:i/>
          <w:iCs/>
          <w:vertAlign w:val="subscript"/>
        </w:rPr>
        <w:t>, rhub</w:t>
      </w:r>
      <w:r w:rsidRPr="005035F1">
        <w:rPr>
          <w:iCs/>
        </w:rPr>
        <w:t>]/4</w:t>
      </w:r>
    </w:p>
    <w:p w14:paraId="5FB6EB89" w14:textId="77777777" w:rsidR="009453A8" w:rsidRDefault="009453A8" w:rsidP="009453A8">
      <w:pPr>
        <w:keepNext/>
        <w:spacing w:after="240"/>
        <w:ind w:left="1440" w:hanging="720"/>
        <w:rPr>
          <w:iCs/>
        </w:rPr>
      </w:pPr>
      <w:r>
        <w:rPr>
          <w:iCs/>
        </w:rPr>
        <w:t>(e)</w:t>
      </w:r>
      <w:r>
        <w:rPr>
          <w:iCs/>
        </w:rPr>
        <w:tab/>
        <w:t xml:space="preserve">Historic Day-Ahead Settled Average Price (HDSAP): </w:t>
      </w:r>
    </w:p>
    <w:p w14:paraId="0776E0AE" w14:textId="25DBD953" w:rsidR="009453A8" w:rsidRPr="005035F1" w:rsidRDefault="009453A8" w:rsidP="009453A8">
      <w:pPr>
        <w:spacing w:after="240"/>
        <w:rPr>
          <w:i/>
          <w:iCs/>
          <w:vertAlign w:val="subscript"/>
        </w:rPr>
      </w:pPr>
      <w:r>
        <w:rPr>
          <w:iCs/>
        </w:rPr>
        <w:tab/>
      </w:r>
      <w:r>
        <w:rPr>
          <w:iCs/>
        </w:rPr>
        <w:tab/>
        <w:t>HDSAP = (1/</w:t>
      </w:r>
      <w:r w:rsidRPr="007D0D4F">
        <w:rPr>
          <w:i/>
          <w:iCs/>
        </w:rPr>
        <w:t>nh</w:t>
      </w:r>
      <w:r>
        <w:rPr>
          <w:i/>
          <w:iCs/>
        </w:rPr>
        <w:t>d</w:t>
      </w:r>
      <w:r w:rsidRPr="007D0D4F">
        <w:rPr>
          <w:i/>
          <w:iCs/>
        </w:rPr>
        <w:t>h</w:t>
      </w:r>
      <w:r>
        <w:rPr>
          <w:iCs/>
        </w:rPr>
        <w:t xml:space="preserve">) * </w:t>
      </w:r>
      <m:oMath>
        <m:nary>
          <m:naryPr>
            <m:chr m:val="∑"/>
            <m:limLoc m:val="undOvr"/>
            <m:ctrlPr>
              <w:rPr>
                <w:rFonts w:ascii="Cambria Math" w:hAnsi="Cambria Math"/>
                <w:i/>
                <w:iCs/>
              </w:rPr>
            </m:ctrlPr>
          </m:naryPr>
          <m:sub>
            <m:r>
              <w:rPr>
                <w:rFonts w:ascii="Cambria Math" w:hAnsi="Cambria Math"/>
              </w:rPr>
              <m:t>hdh=</m:t>
            </m:r>
            <m:r>
              <w:rPr>
                <w:rFonts w:ascii="Cambria Math" w:hAnsi="Cambria Math"/>
              </w:rPr>
              <m:t>1</m:t>
            </m:r>
          </m:sub>
          <m:sup>
            <m:r>
              <w:rPr>
                <w:rFonts w:ascii="Cambria Math" w:hAnsi="Cambria Math"/>
              </w:rPr>
              <m:t>nhdh</m:t>
            </m:r>
          </m:sup>
          <m:e>
            <m:r>
              <m:rPr>
                <m:sty m:val="p"/>
              </m:rPr>
              <w:rPr>
                <w:rFonts w:ascii="Cambria Math" w:hAnsi="Cambria Math"/>
              </w:rPr>
              <m:t>[</m:t>
            </m:r>
          </m:e>
        </m:nary>
      </m:oMath>
      <w:r w:rsidRPr="005035F1">
        <w:rPr>
          <w:iCs/>
        </w:rPr>
        <w:t>DASPP</w:t>
      </w:r>
      <w:r w:rsidRPr="005035F1">
        <w:rPr>
          <w:i/>
          <w:iCs/>
        </w:rPr>
        <w:t xml:space="preserve"> </w:t>
      </w:r>
      <w:r w:rsidRPr="005035F1">
        <w:rPr>
          <w:i/>
          <w:iCs/>
          <w:vertAlign w:val="subscript"/>
        </w:rPr>
        <w:t>hdh, rhub</w:t>
      </w:r>
      <w:r w:rsidRPr="005035F1">
        <w:rPr>
          <w:iCs/>
        </w:rPr>
        <w:t>]</w:t>
      </w:r>
    </w:p>
    <w:p w14:paraId="76963AFD" w14:textId="77777777" w:rsidR="009453A8" w:rsidRDefault="009453A8" w:rsidP="009453A8">
      <w:pPr>
        <w:keepNext/>
        <w:spacing w:after="240"/>
        <w:ind w:left="1440" w:hanging="720"/>
        <w:rPr>
          <w:iCs/>
        </w:rPr>
      </w:pPr>
      <w:r>
        <w:rPr>
          <w:iCs/>
        </w:rPr>
        <w:t>(f)</w:t>
      </w:r>
      <w:r>
        <w:rPr>
          <w:iCs/>
        </w:rPr>
        <w:tab/>
      </w:r>
      <w:r w:rsidRPr="00CB1534">
        <w:rPr>
          <w:iCs/>
        </w:rPr>
        <w:t xml:space="preserve">Real-Time Forward Adjustment Factor (RFAF): </w:t>
      </w:r>
    </w:p>
    <w:p w14:paraId="7C61FC8F" w14:textId="77777777" w:rsidR="009453A8" w:rsidRDefault="009453A8" w:rsidP="009453A8">
      <w:pPr>
        <w:keepNext/>
        <w:spacing w:after="240"/>
        <w:ind w:left="1440" w:hanging="720"/>
        <w:rPr>
          <w:iCs/>
        </w:rPr>
      </w:pPr>
      <w:r>
        <w:rPr>
          <w:iCs/>
        </w:rPr>
        <w:tab/>
      </w:r>
      <w:r w:rsidRPr="00CB1534">
        <w:rPr>
          <w:iCs/>
        </w:rPr>
        <w:t>RFAF = P</w:t>
      </w:r>
      <w:r>
        <w:rPr>
          <w:iCs/>
        </w:rPr>
        <w:t>R</w:t>
      </w:r>
      <w:r w:rsidRPr="00CB1534">
        <w:rPr>
          <w:iCs/>
        </w:rPr>
        <w:t>FAP/HRSAP</w:t>
      </w:r>
    </w:p>
    <w:p w14:paraId="5622F581" w14:textId="77777777" w:rsidR="009453A8" w:rsidRDefault="009453A8" w:rsidP="009453A8">
      <w:pPr>
        <w:keepNext/>
        <w:spacing w:after="240"/>
        <w:ind w:left="1440" w:hanging="720"/>
        <w:rPr>
          <w:iCs/>
        </w:rPr>
      </w:pPr>
      <w:r>
        <w:rPr>
          <w:iCs/>
        </w:rPr>
        <w:t>(g)</w:t>
      </w:r>
      <w:r>
        <w:rPr>
          <w:iCs/>
        </w:rPr>
        <w:tab/>
        <w:t>Day-Ahead Forward Adjustment Factor (DFAF):</w:t>
      </w:r>
    </w:p>
    <w:p w14:paraId="163143F0" w14:textId="77777777" w:rsidR="009453A8" w:rsidRDefault="009453A8" w:rsidP="009453A8">
      <w:pPr>
        <w:keepNext/>
        <w:spacing w:after="240"/>
        <w:ind w:left="1440" w:hanging="720"/>
      </w:pPr>
      <w:r>
        <w:rPr>
          <w:iCs/>
        </w:rPr>
        <w:tab/>
        <w:t xml:space="preserve">DFAF = PDFAP/HDSAP </w:t>
      </w:r>
    </w:p>
    <w:p w14:paraId="7B07FB24" w14:textId="77777777" w:rsidR="009453A8" w:rsidRDefault="009453A8" w:rsidP="009453A8">
      <w: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64"/>
        <w:gridCol w:w="899"/>
        <w:gridCol w:w="7107"/>
      </w:tblGrid>
      <w:tr w:rsidR="009453A8" w14:paraId="72692938" w14:textId="77777777" w:rsidTr="005551AD">
        <w:tc>
          <w:tcPr>
            <w:tcW w:w="1264" w:type="dxa"/>
          </w:tcPr>
          <w:p w14:paraId="7C3A93AD" w14:textId="77777777" w:rsidR="009453A8" w:rsidRDefault="009453A8" w:rsidP="005551AD">
            <w:pPr>
              <w:pStyle w:val="TableHead"/>
            </w:pPr>
            <w:r>
              <w:t>Variable</w:t>
            </w:r>
          </w:p>
        </w:tc>
        <w:tc>
          <w:tcPr>
            <w:tcW w:w="899" w:type="dxa"/>
          </w:tcPr>
          <w:p w14:paraId="6E4060EF" w14:textId="77777777" w:rsidR="009453A8" w:rsidRDefault="009453A8" w:rsidP="005551AD">
            <w:pPr>
              <w:pStyle w:val="TableHead"/>
            </w:pPr>
            <w:r>
              <w:t>Unit</w:t>
            </w:r>
          </w:p>
        </w:tc>
        <w:tc>
          <w:tcPr>
            <w:tcW w:w="7107" w:type="dxa"/>
          </w:tcPr>
          <w:p w14:paraId="36D3B23A" w14:textId="77777777" w:rsidR="009453A8" w:rsidRDefault="009453A8" w:rsidP="005551AD">
            <w:pPr>
              <w:pStyle w:val="TableHead"/>
            </w:pPr>
            <w:r>
              <w:t>Description</w:t>
            </w:r>
          </w:p>
        </w:tc>
      </w:tr>
      <w:tr w:rsidR="009453A8" w14:paraId="18ABD624" w14:textId="77777777" w:rsidTr="005551AD">
        <w:tc>
          <w:tcPr>
            <w:tcW w:w="1264" w:type="dxa"/>
          </w:tcPr>
          <w:p w14:paraId="475F347E" w14:textId="77777777" w:rsidR="009453A8" w:rsidRDefault="009453A8" w:rsidP="005551AD">
            <w:pPr>
              <w:pStyle w:val="TableBody"/>
            </w:pPr>
            <w:r>
              <w:t>PRFAP</w:t>
            </w:r>
          </w:p>
        </w:tc>
        <w:tc>
          <w:tcPr>
            <w:tcW w:w="899" w:type="dxa"/>
          </w:tcPr>
          <w:p w14:paraId="2A6D9606" w14:textId="77777777" w:rsidR="009453A8" w:rsidRDefault="009453A8" w:rsidP="005551AD">
            <w:pPr>
              <w:pStyle w:val="TableBody"/>
              <w:rPr>
                <w:i/>
              </w:rPr>
            </w:pPr>
            <w:r>
              <w:t>$/MWh</w:t>
            </w:r>
          </w:p>
        </w:tc>
        <w:tc>
          <w:tcPr>
            <w:tcW w:w="7107" w:type="dxa"/>
          </w:tcPr>
          <w:p w14:paraId="49212C43" w14:textId="77777777" w:rsidR="009453A8" w:rsidRDefault="009453A8" w:rsidP="005551AD">
            <w:pPr>
              <w:pStyle w:val="TableBody"/>
            </w:pPr>
            <w:r>
              <w:rPr>
                <w:i/>
              </w:rPr>
              <w:t>Projected Real-Time Forward Average Price</w:t>
            </w:r>
            <w:r>
              <w:sym w:font="Symbol" w:char="F0BE"/>
            </w:r>
            <w:r>
              <w:t>The average RTM price per MWh projected forward based on futures market prices.</w:t>
            </w:r>
          </w:p>
        </w:tc>
      </w:tr>
      <w:tr w:rsidR="009453A8" w14:paraId="60681ACE" w14:textId="77777777" w:rsidTr="005551AD">
        <w:tc>
          <w:tcPr>
            <w:tcW w:w="1264" w:type="dxa"/>
          </w:tcPr>
          <w:p w14:paraId="1342E7B7" w14:textId="77777777" w:rsidR="009453A8" w:rsidRDefault="009453A8" w:rsidP="005551AD">
            <w:pPr>
              <w:pStyle w:val="TableBody"/>
            </w:pPr>
            <w:r>
              <w:lastRenderedPageBreak/>
              <w:t>PDFAP</w:t>
            </w:r>
          </w:p>
        </w:tc>
        <w:tc>
          <w:tcPr>
            <w:tcW w:w="899" w:type="dxa"/>
          </w:tcPr>
          <w:p w14:paraId="08C019A5" w14:textId="77777777" w:rsidR="009453A8" w:rsidRDefault="009453A8" w:rsidP="005551AD">
            <w:pPr>
              <w:pStyle w:val="TableBody"/>
            </w:pPr>
            <w:r>
              <w:t>$/MWh</w:t>
            </w:r>
          </w:p>
        </w:tc>
        <w:tc>
          <w:tcPr>
            <w:tcW w:w="7107" w:type="dxa"/>
          </w:tcPr>
          <w:p w14:paraId="4CA49154" w14:textId="77777777" w:rsidR="009453A8" w:rsidRDefault="009453A8" w:rsidP="005551AD">
            <w:pPr>
              <w:pStyle w:val="TableBody"/>
              <w:rPr>
                <w:i/>
              </w:rPr>
            </w:pPr>
            <w:r>
              <w:rPr>
                <w:i/>
              </w:rPr>
              <w:t>Projected Day-Ahead Forward Average Price</w:t>
            </w:r>
            <w:r>
              <w:sym w:font="Symbol" w:char="F0BE"/>
            </w:r>
            <w:r>
              <w:t>The average DAM price per MWh projected forward based on futures market prices.</w:t>
            </w:r>
          </w:p>
        </w:tc>
      </w:tr>
      <w:tr w:rsidR="009453A8" w14:paraId="38A74898" w14:textId="77777777" w:rsidTr="005551AD">
        <w:tc>
          <w:tcPr>
            <w:tcW w:w="1264" w:type="dxa"/>
          </w:tcPr>
          <w:p w14:paraId="14D94221" w14:textId="77777777" w:rsidR="009453A8" w:rsidRDefault="009453A8" w:rsidP="005551AD">
            <w:pPr>
              <w:pStyle w:val="TableBody"/>
            </w:pPr>
            <w:r>
              <w:rPr>
                <w:i/>
              </w:rPr>
              <w:t>w</w:t>
            </w:r>
          </w:p>
        </w:tc>
        <w:tc>
          <w:tcPr>
            <w:tcW w:w="899" w:type="dxa"/>
          </w:tcPr>
          <w:p w14:paraId="6DCAB80A" w14:textId="77777777" w:rsidR="009453A8" w:rsidRDefault="009453A8" w:rsidP="005551AD">
            <w:pPr>
              <w:pStyle w:val="TableBody"/>
            </w:pPr>
            <w:r>
              <w:t>None</w:t>
            </w:r>
          </w:p>
        </w:tc>
        <w:tc>
          <w:tcPr>
            <w:tcW w:w="7107" w:type="dxa"/>
          </w:tcPr>
          <w:p w14:paraId="15033F7D" w14:textId="6EB2B123" w:rsidR="009453A8" w:rsidRPr="006B56FB" w:rsidRDefault="009453A8" w:rsidP="00A9389C">
            <w:pPr>
              <w:pStyle w:val="TableBody"/>
            </w:pPr>
            <w:r w:rsidRPr="006B56FB">
              <w:t>One of the three consecutive</w:t>
            </w:r>
            <w:r>
              <w:t xml:space="preserve"> </w:t>
            </w:r>
            <w:r w:rsidRPr="006B56FB">
              <w:t xml:space="preserve">forward weeks </w:t>
            </w:r>
            <w:r w:rsidR="00A9389C">
              <w:t>beginning with</w:t>
            </w:r>
            <w:r w:rsidRPr="006B56FB">
              <w:t xml:space="preserve"> the current Operating Day.</w:t>
            </w:r>
          </w:p>
        </w:tc>
      </w:tr>
      <w:tr w:rsidR="009453A8" w14:paraId="72D82C44" w14:textId="77777777" w:rsidTr="005551AD">
        <w:tc>
          <w:tcPr>
            <w:tcW w:w="1264" w:type="dxa"/>
          </w:tcPr>
          <w:p w14:paraId="0498D32D" w14:textId="77777777" w:rsidR="009453A8" w:rsidRPr="0021233C" w:rsidRDefault="009453A8" w:rsidP="005551AD">
            <w:pPr>
              <w:pStyle w:val="TableBody"/>
            </w:pPr>
            <w:r w:rsidRPr="006B56FB">
              <w:rPr>
                <w:i/>
              </w:rPr>
              <w:t>RWF</w:t>
            </w:r>
            <w:r w:rsidRPr="00240B9F">
              <w:rPr>
                <w:i/>
                <w:vertAlign w:val="subscript"/>
              </w:rPr>
              <w:t>w</w:t>
            </w:r>
          </w:p>
        </w:tc>
        <w:tc>
          <w:tcPr>
            <w:tcW w:w="899" w:type="dxa"/>
          </w:tcPr>
          <w:p w14:paraId="75EA24A9" w14:textId="77777777" w:rsidR="009453A8" w:rsidRDefault="009453A8" w:rsidP="005551AD">
            <w:pPr>
              <w:pStyle w:val="TableBody"/>
            </w:pPr>
            <w:r>
              <w:t>None</w:t>
            </w:r>
          </w:p>
        </w:tc>
        <w:tc>
          <w:tcPr>
            <w:tcW w:w="7107" w:type="dxa"/>
          </w:tcPr>
          <w:p w14:paraId="328D53E4" w14:textId="77777777" w:rsidR="009453A8" w:rsidRDefault="009453A8" w:rsidP="005551AD">
            <w:pPr>
              <w:pStyle w:val="TableBody"/>
              <w:rPr>
                <w:i/>
              </w:rPr>
            </w:pPr>
            <w:r>
              <w:rPr>
                <w:i/>
              </w:rPr>
              <w:t xml:space="preserve">Real-Time Weight Factor for forward week w </w:t>
            </w:r>
            <w:r>
              <w:rPr>
                <w:iCs w:val="0"/>
              </w:rPr>
              <w:t xml:space="preserve">such that </w:t>
            </w:r>
            <w:r w:rsidRPr="0086681B">
              <w:rPr>
                <w:rFonts w:ascii="Cambria Math" w:hAnsi="Cambria Math"/>
              </w:rPr>
              <w:br/>
            </w:r>
            <m:oMath>
              <m:nary>
                <m:naryPr>
                  <m:chr m:val="∑"/>
                  <m:limLoc m:val="undOvr"/>
                  <m:ctrlPr>
                    <w:rPr>
                      <w:rFonts w:ascii="Cambria Math" w:hAnsi="Cambria Math"/>
                      <w:i/>
                    </w:rPr>
                  </m:ctrlPr>
                </m:naryPr>
                <m:sub>
                  <m:r>
                    <w:rPr>
                      <w:rFonts w:ascii="Cambria Math" w:hAnsi="Cambria Math"/>
                    </w:rPr>
                    <m:t>w=1</m:t>
                  </m:r>
                </m:sub>
                <m:sup>
                  <m:r>
                    <w:rPr>
                      <w:rFonts w:ascii="Cambria Math" w:hAnsi="Cambria Math"/>
                    </w:rPr>
                    <m:t>3</m:t>
                  </m:r>
                </m:sup>
                <m:e>
                  <m:r>
                    <w:rPr>
                      <w:rFonts w:ascii="Cambria Math" w:hAnsi="Cambria Math"/>
                    </w:rPr>
                    <m:t>RW</m:t>
                  </m:r>
                  <m:sSub>
                    <m:sSubPr>
                      <m:ctrlPr>
                        <w:rPr>
                          <w:rFonts w:ascii="Cambria Math" w:eastAsia="Calibri" w:hAnsi="Cambria Math"/>
                          <w:i/>
                        </w:rPr>
                      </m:ctrlPr>
                    </m:sSubPr>
                    <m:e>
                      <m:r>
                        <w:rPr>
                          <w:rFonts w:ascii="Cambria Math" w:hAnsi="Cambria Math"/>
                        </w:rPr>
                        <m:t>F</m:t>
                      </m:r>
                    </m:e>
                    <m:sub>
                      <m:r>
                        <w:rPr>
                          <w:rFonts w:ascii="Cambria Math" w:hAnsi="Cambria Math"/>
                        </w:rPr>
                        <m:t>w</m:t>
                      </m:r>
                    </m:sub>
                  </m:sSub>
                  <m:r>
                    <w:rPr>
                      <w:rFonts w:ascii="Cambria Math" w:hAnsi="Cambria Math"/>
                    </w:rPr>
                    <m:t>=1</m:t>
                  </m:r>
                </m:e>
              </m:nary>
            </m:oMath>
            <w:r w:rsidRPr="00B77CA9">
              <w:fldChar w:fldCharType="begin"/>
            </w:r>
            <w:r w:rsidRPr="00B77CA9">
              <w:instrText xml:space="preserve"> QUOTE </w:instrText>
            </w:r>
            <m:oMath>
              <m:nary>
                <m:naryPr>
                  <m:chr m:val="∑"/>
                  <m:limLoc m:val="undOvr"/>
                  <m:ctrlPr>
                    <w:rPr>
                      <w:rFonts w:ascii="Cambria Math" w:hAnsi="Cambria Math"/>
                      <w:i/>
                    </w:rPr>
                  </m:ctrlPr>
                </m:naryPr>
                <m:sub>
                  <m:r>
                    <m:rPr>
                      <m:sty m:val="p"/>
                    </m:rPr>
                    <w:rPr>
                      <w:rFonts w:ascii="Cambria Math" w:hAnsi="Cambria Math"/>
                    </w:rPr>
                    <m:t>w=1</m:t>
                  </m:r>
                </m:sub>
                <m:sup>
                  <m:r>
                    <m:rPr>
                      <m:sty m:val="p"/>
                    </m:rPr>
                    <w:rPr>
                      <w:rFonts w:ascii="Cambria Math" w:hAnsi="Cambria Math"/>
                    </w:rPr>
                    <m:t>3</m:t>
                  </m:r>
                </m:sup>
                <m:e>
                  <m:r>
                    <m:rPr>
                      <m:sty m:val="p"/>
                    </m:rPr>
                    <w:rPr>
                      <w:rFonts w:ascii="Cambria Math" w:hAnsi="Cambria Math"/>
                    </w:rPr>
                    <m:t>w</m:t>
                  </m:r>
                </m:e>
              </m:nary>
              <m:r>
                <m:rPr>
                  <m:sty m:val="p"/>
                </m:rPr>
                <w:rPr>
                  <w:rFonts w:ascii="Cambria Math" w:hAnsi="Cambria Math"/>
                </w:rPr>
                <m:t>=1</m:t>
              </m:r>
            </m:oMath>
            <w:r w:rsidRPr="00B77CA9">
              <w:instrText xml:space="preserve"> </w:instrText>
            </w:r>
            <w:r w:rsidRPr="00B77CA9">
              <w:fldChar w:fldCharType="end"/>
            </w:r>
          </w:p>
        </w:tc>
      </w:tr>
      <w:tr w:rsidR="009453A8" w14:paraId="40D55130" w14:textId="77777777" w:rsidTr="005551AD">
        <w:tc>
          <w:tcPr>
            <w:tcW w:w="1264" w:type="dxa"/>
          </w:tcPr>
          <w:p w14:paraId="6A270FC2" w14:textId="77777777" w:rsidR="009453A8" w:rsidRDefault="009453A8" w:rsidP="005551AD">
            <w:pPr>
              <w:pStyle w:val="TableBody"/>
              <w:rPr>
                <w:i/>
              </w:rPr>
            </w:pPr>
            <w:r w:rsidRPr="006B56FB">
              <w:rPr>
                <w:i/>
              </w:rPr>
              <w:t>DWF</w:t>
            </w:r>
            <w:r w:rsidRPr="00240B9F">
              <w:rPr>
                <w:i/>
                <w:vertAlign w:val="subscript"/>
              </w:rPr>
              <w:t>w</w:t>
            </w:r>
          </w:p>
        </w:tc>
        <w:tc>
          <w:tcPr>
            <w:tcW w:w="899" w:type="dxa"/>
          </w:tcPr>
          <w:p w14:paraId="77946468" w14:textId="77777777" w:rsidR="009453A8" w:rsidRDefault="009453A8" w:rsidP="005551AD">
            <w:pPr>
              <w:pStyle w:val="TableBody"/>
            </w:pPr>
            <w:r>
              <w:t>None</w:t>
            </w:r>
          </w:p>
        </w:tc>
        <w:tc>
          <w:tcPr>
            <w:tcW w:w="7107" w:type="dxa"/>
          </w:tcPr>
          <w:p w14:paraId="71F8661D" w14:textId="77777777" w:rsidR="00EC3B71" w:rsidRDefault="009453A8" w:rsidP="00EC3B71">
            <w:pPr>
              <w:pStyle w:val="TableBody"/>
              <w:rPr>
                <w:iCs w:val="0"/>
              </w:rPr>
            </w:pPr>
            <w:r>
              <w:rPr>
                <w:i/>
              </w:rPr>
              <w:t xml:space="preserve">Day-Ahead Weight Factor for forward week w </w:t>
            </w:r>
            <w:r>
              <w:rPr>
                <w:iCs w:val="0"/>
              </w:rPr>
              <w:t>such that</w:t>
            </w:r>
          </w:p>
          <w:p w14:paraId="12DCEF4E" w14:textId="64C804E3" w:rsidR="009453A8" w:rsidRPr="00EC3B71" w:rsidRDefault="009453A8" w:rsidP="00EC3B71">
            <w:pPr>
              <w:pStyle w:val="TableBody"/>
              <w:rPr>
                <w:i/>
              </w:rPr>
            </w:pPr>
            <w:r>
              <w:rPr>
                <w:iCs w:val="0"/>
              </w:rPr>
              <w:t xml:space="preserve"> </w:t>
            </w:r>
            <m:oMath>
              <m:nary>
                <m:naryPr>
                  <m:chr m:val="∑"/>
                  <m:limLoc m:val="undOvr"/>
                  <m:ctrlPr>
                    <w:rPr>
                      <w:rFonts w:ascii="Cambria Math" w:hAnsi="Cambria Math"/>
                      <w:i/>
                    </w:rPr>
                  </m:ctrlPr>
                </m:naryPr>
                <m:sub>
                  <m:r>
                    <w:rPr>
                      <w:rFonts w:ascii="Cambria Math" w:hAnsi="Cambria Math"/>
                    </w:rPr>
                    <m:t>w=1</m:t>
                  </m:r>
                </m:sub>
                <m:sup>
                  <m:r>
                    <w:rPr>
                      <w:rFonts w:ascii="Cambria Math" w:hAnsi="Cambria Math"/>
                    </w:rPr>
                    <m:t>3</m:t>
                  </m:r>
                </m:sup>
                <m:e>
                  <m:r>
                    <w:rPr>
                      <w:rFonts w:ascii="Cambria Math" w:hAnsi="Cambria Math"/>
                    </w:rPr>
                    <m:t>DW</m:t>
                  </m:r>
                  <m:sSub>
                    <m:sSubPr>
                      <m:ctrlPr>
                        <w:rPr>
                          <w:rFonts w:ascii="Cambria Math" w:eastAsia="Calibri" w:hAnsi="Cambria Math"/>
                          <w:i/>
                        </w:rPr>
                      </m:ctrlPr>
                    </m:sSubPr>
                    <m:e>
                      <m:r>
                        <w:rPr>
                          <w:rFonts w:ascii="Cambria Math" w:hAnsi="Cambria Math"/>
                        </w:rPr>
                        <m:t>F</m:t>
                      </m:r>
                    </m:e>
                    <m:sub>
                      <m:r>
                        <w:rPr>
                          <w:rFonts w:ascii="Cambria Math" w:hAnsi="Cambria Math"/>
                        </w:rPr>
                        <m:t>w</m:t>
                      </m:r>
                    </m:sub>
                  </m:sSub>
                  <m:r>
                    <w:rPr>
                      <w:rFonts w:ascii="Cambria Math" w:hAnsi="Cambria Math"/>
                    </w:rPr>
                    <m:t>=1</m:t>
                  </m:r>
                </m:e>
              </m:nary>
            </m:oMath>
          </w:p>
        </w:tc>
      </w:tr>
      <w:tr w:rsidR="009453A8" w14:paraId="369BE066" w14:textId="77777777" w:rsidTr="005551AD">
        <w:tc>
          <w:tcPr>
            <w:tcW w:w="1264" w:type="dxa"/>
          </w:tcPr>
          <w:p w14:paraId="52986DB6" w14:textId="77777777" w:rsidR="009453A8" w:rsidRPr="00A82C3C" w:rsidRDefault="009453A8" w:rsidP="005551AD">
            <w:pPr>
              <w:pStyle w:val="TableBody"/>
              <w:rPr>
                <w:i/>
              </w:rPr>
            </w:pPr>
            <w:r>
              <w:rPr>
                <w:i/>
              </w:rPr>
              <w:t>fwh</w:t>
            </w:r>
          </w:p>
        </w:tc>
        <w:tc>
          <w:tcPr>
            <w:tcW w:w="899" w:type="dxa"/>
          </w:tcPr>
          <w:p w14:paraId="3CB5BFB3" w14:textId="77777777" w:rsidR="009453A8" w:rsidRDefault="009453A8" w:rsidP="005551AD">
            <w:pPr>
              <w:pStyle w:val="TableBody"/>
            </w:pPr>
            <w:r>
              <w:t>None</w:t>
            </w:r>
          </w:p>
        </w:tc>
        <w:tc>
          <w:tcPr>
            <w:tcW w:w="7107" w:type="dxa"/>
          </w:tcPr>
          <w:p w14:paraId="2388150A" w14:textId="77777777" w:rsidR="009453A8" w:rsidRDefault="009453A8" w:rsidP="005551AD">
            <w:pPr>
              <w:pStyle w:val="TableBody"/>
              <w:rPr>
                <w:i/>
              </w:rPr>
            </w:pPr>
            <w:r>
              <w:rPr>
                <w:i/>
              </w:rPr>
              <w:t>Forward Week Hour</w:t>
            </w:r>
            <w:r>
              <w:sym w:font="Symbol" w:char="F0BE"/>
            </w:r>
            <w:r w:rsidRPr="00240B9F">
              <w:t xml:space="preserve">An </w:t>
            </w:r>
            <w:r>
              <w:t>Operating H</w:t>
            </w:r>
            <w:r w:rsidRPr="00240B9F">
              <w:t xml:space="preserve">our from a </w:t>
            </w:r>
            <w:r>
              <w:t>f</w:t>
            </w:r>
            <w:r w:rsidRPr="00240B9F">
              <w:t>orward</w:t>
            </w:r>
            <w:r>
              <w:t xml:space="preserve"> w</w:t>
            </w:r>
            <w:r w:rsidRPr="00240B9F">
              <w:t xml:space="preserve">eek </w:t>
            </w:r>
            <w:r w:rsidRPr="00240B9F">
              <w:rPr>
                <w:i/>
              </w:rPr>
              <w:t>w</w:t>
            </w:r>
            <w:r w:rsidRPr="00240B9F">
              <w:t>.</w:t>
            </w:r>
          </w:p>
        </w:tc>
      </w:tr>
      <w:tr w:rsidR="009453A8" w14:paraId="586DB612" w14:textId="77777777" w:rsidTr="005551AD">
        <w:tc>
          <w:tcPr>
            <w:tcW w:w="1264" w:type="dxa"/>
          </w:tcPr>
          <w:p w14:paraId="14FC72A3" w14:textId="77777777" w:rsidR="009453A8" w:rsidRDefault="009453A8" w:rsidP="005551AD">
            <w:pPr>
              <w:pStyle w:val="TableBody"/>
              <w:rPr>
                <w:i/>
              </w:rPr>
            </w:pPr>
            <w:r>
              <w:rPr>
                <w:i/>
              </w:rPr>
              <w:t>nfwh</w:t>
            </w:r>
          </w:p>
        </w:tc>
        <w:tc>
          <w:tcPr>
            <w:tcW w:w="899" w:type="dxa"/>
          </w:tcPr>
          <w:p w14:paraId="33C698EE" w14:textId="77777777" w:rsidR="009453A8" w:rsidRDefault="009453A8" w:rsidP="005551AD">
            <w:pPr>
              <w:pStyle w:val="TableBody"/>
            </w:pPr>
            <w:r>
              <w:t>None</w:t>
            </w:r>
          </w:p>
        </w:tc>
        <w:tc>
          <w:tcPr>
            <w:tcW w:w="7107" w:type="dxa"/>
          </w:tcPr>
          <w:p w14:paraId="64E5A166" w14:textId="77777777" w:rsidR="009453A8" w:rsidRPr="00240B9F" w:rsidRDefault="009453A8" w:rsidP="005551AD">
            <w:pPr>
              <w:pStyle w:val="TableBody"/>
            </w:pPr>
            <w:r>
              <w:rPr>
                <w:i/>
              </w:rPr>
              <w:t>Number of Forward Week Hours</w:t>
            </w:r>
            <w:r>
              <w:sym w:font="Symbol" w:char="F0BE"/>
            </w:r>
            <w:r>
              <w:t>Total number of hours in a forward week.</w:t>
            </w:r>
          </w:p>
        </w:tc>
      </w:tr>
      <w:tr w:rsidR="009453A8" w14:paraId="7E4200E0" w14:textId="77777777" w:rsidTr="005551AD">
        <w:tc>
          <w:tcPr>
            <w:tcW w:w="1264" w:type="dxa"/>
          </w:tcPr>
          <w:p w14:paraId="03EEBF96" w14:textId="77777777" w:rsidR="009453A8" w:rsidRDefault="009453A8" w:rsidP="005551AD">
            <w:pPr>
              <w:pStyle w:val="TableBody"/>
              <w:rPr>
                <w:i/>
              </w:rPr>
            </w:pPr>
            <w:r>
              <w:rPr>
                <w:i/>
              </w:rPr>
              <w:t>r</w:t>
            </w:r>
            <w:r w:rsidRPr="006E7FC0">
              <w:rPr>
                <w:i/>
              </w:rPr>
              <w:t>hub</w:t>
            </w:r>
          </w:p>
        </w:tc>
        <w:tc>
          <w:tcPr>
            <w:tcW w:w="899" w:type="dxa"/>
          </w:tcPr>
          <w:p w14:paraId="7938984F" w14:textId="77777777" w:rsidR="009453A8" w:rsidRDefault="009453A8" w:rsidP="005551AD">
            <w:pPr>
              <w:pStyle w:val="TableBody"/>
            </w:pPr>
            <w:r>
              <w:t>None</w:t>
            </w:r>
          </w:p>
        </w:tc>
        <w:tc>
          <w:tcPr>
            <w:tcW w:w="7107" w:type="dxa"/>
          </w:tcPr>
          <w:p w14:paraId="0B37FF18" w14:textId="77777777" w:rsidR="009453A8" w:rsidRDefault="009453A8" w:rsidP="005551AD">
            <w:pPr>
              <w:pStyle w:val="TableBody"/>
              <w:rPr>
                <w:i/>
              </w:rPr>
            </w:pPr>
            <w:r>
              <w:rPr>
                <w:i/>
              </w:rPr>
              <w:t>Reference Hub</w:t>
            </w:r>
            <w:r w:rsidRPr="00193B05">
              <w:sym w:font="Symbol" w:char="F0BE"/>
            </w:r>
            <w:r>
              <w:t>The electrical Hub used as a reference for futures mark-to-market prices</w:t>
            </w:r>
            <w:r w:rsidRPr="00193B05">
              <w:t>.</w:t>
            </w:r>
          </w:p>
        </w:tc>
      </w:tr>
      <w:tr w:rsidR="009453A8" w14:paraId="63791361" w14:textId="77777777" w:rsidTr="005551AD">
        <w:tc>
          <w:tcPr>
            <w:tcW w:w="1264" w:type="dxa"/>
          </w:tcPr>
          <w:p w14:paraId="45288451" w14:textId="77777777" w:rsidR="009453A8" w:rsidRPr="00271210" w:rsidRDefault="009453A8" w:rsidP="005551AD">
            <w:pPr>
              <w:pStyle w:val="TableBody"/>
            </w:pPr>
            <w:r>
              <w:t>FWAP</w:t>
            </w:r>
            <w:r w:rsidRPr="00240B9F">
              <w:rPr>
                <w:i/>
                <w:vertAlign w:val="subscript"/>
              </w:rPr>
              <w:t>w</w:t>
            </w:r>
          </w:p>
        </w:tc>
        <w:tc>
          <w:tcPr>
            <w:tcW w:w="899" w:type="dxa"/>
          </w:tcPr>
          <w:p w14:paraId="3E68E37A" w14:textId="77777777" w:rsidR="009453A8" w:rsidRDefault="009453A8" w:rsidP="005551AD">
            <w:pPr>
              <w:pStyle w:val="TableBody"/>
            </w:pPr>
            <w:r>
              <w:t>$/MWh</w:t>
            </w:r>
          </w:p>
        </w:tc>
        <w:tc>
          <w:tcPr>
            <w:tcW w:w="7107" w:type="dxa"/>
          </w:tcPr>
          <w:p w14:paraId="58EBA72B" w14:textId="77777777" w:rsidR="009453A8" w:rsidRDefault="009453A8" w:rsidP="005551AD">
            <w:pPr>
              <w:pStyle w:val="TableBody"/>
            </w:pPr>
            <w:r>
              <w:rPr>
                <w:i/>
              </w:rPr>
              <w:t>Futures Weekly Average Price for week w</w:t>
            </w:r>
            <w:r>
              <w:sym w:font="Symbol" w:char="F0BE"/>
            </w:r>
            <w:r>
              <w:t xml:space="preserve">The average futures price for the hours of the forward week </w:t>
            </w:r>
            <w:r w:rsidRPr="00240B9F">
              <w:rPr>
                <w:i/>
              </w:rPr>
              <w:t>w</w:t>
            </w:r>
            <w:r>
              <w:t>.</w:t>
            </w:r>
          </w:p>
        </w:tc>
      </w:tr>
      <w:tr w:rsidR="009453A8" w14:paraId="6DBBAA35" w14:textId="77777777" w:rsidTr="005551AD">
        <w:tc>
          <w:tcPr>
            <w:tcW w:w="1264" w:type="dxa"/>
          </w:tcPr>
          <w:p w14:paraId="36E96C9F" w14:textId="77777777" w:rsidR="009453A8" w:rsidRDefault="009453A8" w:rsidP="005551AD">
            <w:pPr>
              <w:pStyle w:val="TableBody"/>
            </w:pPr>
            <w:r>
              <w:t>FHP</w:t>
            </w:r>
            <w:r w:rsidRPr="00CE4C14">
              <w:rPr>
                <w:vertAlign w:val="subscript"/>
              </w:rPr>
              <w:t xml:space="preserve"> </w:t>
            </w:r>
            <w:r w:rsidRPr="00240B9F">
              <w:rPr>
                <w:i/>
                <w:vertAlign w:val="subscript"/>
              </w:rPr>
              <w:t>fwh</w:t>
            </w:r>
            <w:r>
              <w:rPr>
                <w:i/>
                <w:vertAlign w:val="subscript"/>
              </w:rPr>
              <w:t>, rhub</w:t>
            </w:r>
          </w:p>
        </w:tc>
        <w:tc>
          <w:tcPr>
            <w:tcW w:w="899" w:type="dxa"/>
          </w:tcPr>
          <w:p w14:paraId="33F8D752" w14:textId="77777777" w:rsidR="009453A8" w:rsidRDefault="009453A8" w:rsidP="005551AD">
            <w:pPr>
              <w:pStyle w:val="TableBody"/>
            </w:pPr>
            <w:r w:rsidRPr="00CE4C14">
              <w:t>$/MWh</w:t>
            </w:r>
          </w:p>
        </w:tc>
        <w:tc>
          <w:tcPr>
            <w:tcW w:w="7107" w:type="dxa"/>
          </w:tcPr>
          <w:p w14:paraId="6C692A2C" w14:textId="77777777" w:rsidR="009453A8" w:rsidRDefault="009453A8" w:rsidP="005551AD">
            <w:pPr>
              <w:pStyle w:val="TableBody"/>
            </w:pPr>
            <w:r>
              <w:rPr>
                <w:i/>
              </w:rPr>
              <w:t>Futures Hourly Price of the Reference Hub rhub for Forward Week Hour fwh</w:t>
            </w:r>
            <w:r w:rsidRPr="00CE4C14">
              <w:sym w:font="Symbol" w:char="F0BE"/>
            </w:r>
            <w:r w:rsidRPr="00CE4C14">
              <w:t>The</w:t>
            </w:r>
            <w:r>
              <w:t xml:space="preserve"> most recent mark-to-market price available for an electricity futures product that is applicable to the forward week hour </w:t>
            </w:r>
            <w:r w:rsidRPr="00D54463">
              <w:rPr>
                <w:i/>
              </w:rPr>
              <w:t>fwh</w:t>
            </w:r>
            <w:r>
              <w:t xml:space="preserve"> for the reference Hub </w:t>
            </w:r>
            <w:r w:rsidRPr="00D54463">
              <w:rPr>
                <w:i/>
              </w:rPr>
              <w:t>rhub</w:t>
            </w:r>
            <w:r>
              <w:t>.</w:t>
            </w:r>
          </w:p>
          <w:p w14:paraId="1983BB78" w14:textId="77777777" w:rsidR="009453A8" w:rsidRPr="00D54463" w:rsidRDefault="009453A8" w:rsidP="00C42CCF">
            <w:pPr>
              <w:pStyle w:val="TableBody"/>
            </w:pPr>
            <w:r>
              <w:t>ERCOT will disclose to the market the source of its selected electricity futures product(s) used for FHP.  In the event that an ERCOT-selected electricity futures product(s) becomes unavailable or unsuitable for the intended purpose, ERCOT will select a substitute electricity futures product(s).  ERCOT shall set the value of RFAF to 1 and DFAF to 1, and provide Notice of this change as soon as practi</w:t>
            </w:r>
            <w:r w:rsidR="00C42CCF">
              <w:t>ca</w:t>
            </w:r>
            <w:r>
              <w:t>ble, until such time as a substitute electricity futures product(s) is selected and implemented by ERCOT.  ERCOT will notify Market Participants of any change in the electricity futures product(s) at least 60 days prior to the beginning of their use.  In the event that 60 days’ Notice cannot be given, ERCOT will notify Market Participants as soon as practicable prior to use.</w:t>
            </w:r>
          </w:p>
        </w:tc>
      </w:tr>
      <w:tr w:rsidR="009453A8" w14:paraId="6021E32B" w14:textId="77777777" w:rsidTr="005551AD">
        <w:tc>
          <w:tcPr>
            <w:tcW w:w="1264" w:type="dxa"/>
          </w:tcPr>
          <w:p w14:paraId="537D9542" w14:textId="77777777" w:rsidR="009453A8" w:rsidRPr="00D54463" w:rsidRDefault="009453A8" w:rsidP="005551AD">
            <w:pPr>
              <w:pStyle w:val="TableBody"/>
              <w:rPr>
                <w:i/>
              </w:rPr>
            </w:pPr>
            <w:r w:rsidRPr="003E3244">
              <w:rPr>
                <w:i/>
              </w:rPr>
              <w:t>hr</w:t>
            </w:r>
            <w:r w:rsidRPr="00D54463">
              <w:rPr>
                <w:i/>
              </w:rPr>
              <w:t>h</w:t>
            </w:r>
          </w:p>
        </w:tc>
        <w:tc>
          <w:tcPr>
            <w:tcW w:w="899" w:type="dxa"/>
          </w:tcPr>
          <w:p w14:paraId="13D3F54C" w14:textId="77777777" w:rsidR="009453A8" w:rsidRPr="00193B05" w:rsidRDefault="009453A8" w:rsidP="005551AD">
            <w:pPr>
              <w:pStyle w:val="TableBody"/>
            </w:pPr>
            <w:r>
              <w:t>None</w:t>
            </w:r>
          </w:p>
        </w:tc>
        <w:tc>
          <w:tcPr>
            <w:tcW w:w="7107" w:type="dxa"/>
          </w:tcPr>
          <w:p w14:paraId="457622CD" w14:textId="77777777" w:rsidR="009453A8" w:rsidRPr="00193B05" w:rsidRDefault="009453A8" w:rsidP="005551AD">
            <w:pPr>
              <w:pStyle w:val="TableBody"/>
              <w:rPr>
                <w:i/>
              </w:rPr>
            </w:pPr>
            <w:r>
              <w:rPr>
                <w:i/>
              </w:rPr>
              <w:t>Historic Real-Time Hour</w:t>
            </w:r>
            <w:r w:rsidRPr="00193B05">
              <w:sym w:font="Symbol" w:char="F0BE"/>
            </w:r>
            <w:r>
              <w:t>An Operating Hour that is settled and used in the most recent RTLE calculation.</w:t>
            </w:r>
          </w:p>
        </w:tc>
      </w:tr>
      <w:tr w:rsidR="009453A8" w14:paraId="4B73C8FE" w14:textId="77777777" w:rsidTr="005551AD">
        <w:tc>
          <w:tcPr>
            <w:tcW w:w="1264" w:type="dxa"/>
          </w:tcPr>
          <w:p w14:paraId="0F14DA84" w14:textId="77777777" w:rsidR="009453A8" w:rsidRPr="00D54463" w:rsidRDefault="009453A8" w:rsidP="005551AD">
            <w:pPr>
              <w:pStyle w:val="TableBody"/>
              <w:rPr>
                <w:i/>
              </w:rPr>
            </w:pPr>
            <w:r>
              <w:rPr>
                <w:i/>
              </w:rPr>
              <w:t>nhrh</w:t>
            </w:r>
          </w:p>
        </w:tc>
        <w:tc>
          <w:tcPr>
            <w:tcW w:w="899" w:type="dxa"/>
          </w:tcPr>
          <w:p w14:paraId="2E0FB107" w14:textId="77777777" w:rsidR="009453A8" w:rsidRPr="00193B05" w:rsidRDefault="009453A8" w:rsidP="005551AD">
            <w:pPr>
              <w:pStyle w:val="TableBody"/>
            </w:pPr>
            <w:r>
              <w:t>None</w:t>
            </w:r>
          </w:p>
        </w:tc>
        <w:tc>
          <w:tcPr>
            <w:tcW w:w="7107" w:type="dxa"/>
          </w:tcPr>
          <w:p w14:paraId="2B07206D" w14:textId="77777777" w:rsidR="009453A8" w:rsidRPr="00193B05" w:rsidRDefault="009453A8" w:rsidP="005551AD">
            <w:pPr>
              <w:pStyle w:val="TableBody"/>
              <w:rPr>
                <w:i/>
              </w:rPr>
            </w:pPr>
            <w:r>
              <w:rPr>
                <w:i/>
              </w:rPr>
              <w:t>Number of Historic Real-Time Hours</w:t>
            </w:r>
            <w:r>
              <w:sym w:font="Symbol" w:char="F0BE"/>
            </w:r>
            <w:r>
              <w:t>Total number of historic Real-Time hours that are settled and used in the most recent RTLE calculation.</w:t>
            </w:r>
          </w:p>
        </w:tc>
      </w:tr>
      <w:tr w:rsidR="009453A8" w14:paraId="3E4E5F8D" w14:textId="77777777" w:rsidTr="005551AD">
        <w:tc>
          <w:tcPr>
            <w:tcW w:w="1264" w:type="dxa"/>
          </w:tcPr>
          <w:p w14:paraId="33F2987C" w14:textId="77777777" w:rsidR="009453A8" w:rsidRDefault="009453A8" w:rsidP="005551AD">
            <w:pPr>
              <w:pStyle w:val="TableBody"/>
              <w:rPr>
                <w:i/>
              </w:rPr>
            </w:pPr>
            <w:r>
              <w:rPr>
                <w:i/>
              </w:rPr>
              <w:t>i</w:t>
            </w:r>
          </w:p>
        </w:tc>
        <w:tc>
          <w:tcPr>
            <w:tcW w:w="899" w:type="dxa"/>
          </w:tcPr>
          <w:p w14:paraId="7CD08936" w14:textId="77777777" w:rsidR="009453A8" w:rsidRDefault="009453A8" w:rsidP="005551AD">
            <w:pPr>
              <w:pStyle w:val="TableBody"/>
            </w:pPr>
            <w:r>
              <w:t>None</w:t>
            </w:r>
          </w:p>
        </w:tc>
        <w:tc>
          <w:tcPr>
            <w:tcW w:w="7107" w:type="dxa"/>
          </w:tcPr>
          <w:p w14:paraId="672CD759" w14:textId="77777777" w:rsidR="009453A8" w:rsidRPr="00D54463" w:rsidRDefault="009453A8" w:rsidP="005551AD">
            <w:pPr>
              <w:pStyle w:val="TableBody"/>
            </w:pPr>
            <w:r>
              <w:rPr>
                <w:i/>
              </w:rPr>
              <w:t>Settlement Interval</w:t>
            </w:r>
            <w:r>
              <w:sym w:font="Symbol" w:char="F0BE"/>
            </w:r>
            <w:r>
              <w:t>A 15-minute interval that is part of an Operating Hour.</w:t>
            </w:r>
          </w:p>
        </w:tc>
      </w:tr>
      <w:tr w:rsidR="009453A8" w14:paraId="24E335FD" w14:textId="77777777" w:rsidTr="005551AD">
        <w:tc>
          <w:tcPr>
            <w:tcW w:w="1264" w:type="dxa"/>
          </w:tcPr>
          <w:p w14:paraId="5FB4857A" w14:textId="77777777" w:rsidR="009453A8" w:rsidRDefault="009453A8" w:rsidP="005551AD">
            <w:pPr>
              <w:pStyle w:val="TableBody"/>
              <w:rPr>
                <w:i/>
              </w:rPr>
            </w:pPr>
            <w:r>
              <w:t>RTSPP</w:t>
            </w:r>
            <w:r w:rsidRPr="00D54463">
              <w:rPr>
                <w:i/>
                <w:vertAlign w:val="subscript"/>
              </w:rPr>
              <w:t xml:space="preserve">hrh, i, rhub </w:t>
            </w:r>
          </w:p>
        </w:tc>
        <w:tc>
          <w:tcPr>
            <w:tcW w:w="899" w:type="dxa"/>
          </w:tcPr>
          <w:p w14:paraId="2B7190AF" w14:textId="77777777" w:rsidR="009453A8" w:rsidRDefault="009453A8" w:rsidP="005551AD">
            <w:pPr>
              <w:pStyle w:val="TableBody"/>
            </w:pPr>
            <w:r>
              <w:t>$/MWh</w:t>
            </w:r>
          </w:p>
        </w:tc>
        <w:tc>
          <w:tcPr>
            <w:tcW w:w="7107" w:type="dxa"/>
          </w:tcPr>
          <w:p w14:paraId="3EC84A9D" w14:textId="77777777" w:rsidR="009453A8" w:rsidRPr="006B56FB" w:rsidRDefault="009453A8" w:rsidP="005551AD">
            <w:pPr>
              <w:pStyle w:val="TableBody"/>
            </w:pPr>
            <w:r w:rsidRPr="006B56FB">
              <w:t xml:space="preserve">Real-Time Settlement Point Price for </w:t>
            </w:r>
            <w:r w:rsidRPr="009648F5">
              <w:rPr>
                <w:i/>
              </w:rPr>
              <w:t>i</w:t>
            </w:r>
            <w:r w:rsidRPr="006B56FB">
              <w:rPr>
                <w:vertAlign w:val="superscript"/>
              </w:rPr>
              <w:t>th</w:t>
            </w:r>
            <w:r w:rsidRPr="006B56FB">
              <w:t xml:space="preserve"> interval that is part of Operating Hour </w:t>
            </w:r>
            <w:r w:rsidRPr="009648F5">
              <w:rPr>
                <w:i/>
              </w:rPr>
              <w:t>hrh</w:t>
            </w:r>
            <w:r w:rsidRPr="006B56FB">
              <w:t xml:space="preserve"> for the Settlement Point </w:t>
            </w:r>
            <w:r w:rsidRPr="009648F5">
              <w:rPr>
                <w:i/>
              </w:rPr>
              <w:t>rhub</w:t>
            </w:r>
            <w:r w:rsidRPr="006B56FB">
              <w:t>.</w:t>
            </w:r>
          </w:p>
        </w:tc>
      </w:tr>
      <w:tr w:rsidR="009453A8" w14:paraId="05B5541C" w14:textId="77777777" w:rsidTr="005551AD">
        <w:tc>
          <w:tcPr>
            <w:tcW w:w="1264" w:type="dxa"/>
          </w:tcPr>
          <w:p w14:paraId="3B9AF34B" w14:textId="77777777" w:rsidR="009453A8" w:rsidRDefault="009453A8" w:rsidP="005551AD">
            <w:pPr>
              <w:pStyle w:val="TableBody"/>
            </w:pPr>
            <w:r>
              <w:t>HRSAP</w:t>
            </w:r>
          </w:p>
        </w:tc>
        <w:tc>
          <w:tcPr>
            <w:tcW w:w="899" w:type="dxa"/>
          </w:tcPr>
          <w:p w14:paraId="4274498E" w14:textId="77777777" w:rsidR="009453A8" w:rsidRDefault="009453A8" w:rsidP="005551AD">
            <w:pPr>
              <w:pStyle w:val="TableBody"/>
            </w:pPr>
            <w:r>
              <w:t>$/MWh</w:t>
            </w:r>
          </w:p>
        </w:tc>
        <w:tc>
          <w:tcPr>
            <w:tcW w:w="7107" w:type="dxa"/>
          </w:tcPr>
          <w:p w14:paraId="0236A71A" w14:textId="77777777" w:rsidR="009453A8" w:rsidRDefault="009453A8" w:rsidP="005551AD">
            <w:pPr>
              <w:pStyle w:val="TableBody"/>
              <w:rPr>
                <w:i/>
              </w:rPr>
            </w:pPr>
            <w:r>
              <w:rPr>
                <w:i/>
              </w:rPr>
              <w:t>Historic Real-Time Settled Average Price</w:t>
            </w:r>
            <w:r>
              <w:sym w:font="Symbol" w:char="F0BE"/>
            </w:r>
            <w:r w:rsidRPr="006E7FC0">
              <w:t>The</w:t>
            </w:r>
            <w:r>
              <w:rPr>
                <w:i/>
              </w:rPr>
              <w:t xml:space="preserve"> </w:t>
            </w:r>
            <w:r w:rsidRPr="006E7FC0">
              <w:t>a</w:t>
            </w:r>
            <w:r>
              <w:t>verage historic Real-Time settled price</w:t>
            </w:r>
            <w:r w:rsidRPr="006E7FC0">
              <w:t>.</w:t>
            </w:r>
          </w:p>
        </w:tc>
      </w:tr>
      <w:tr w:rsidR="009453A8" w14:paraId="1382F94B" w14:textId="77777777" w:rsidTr="005551AD">
        <w:tc>
          <w:tcPr>
            <w:tcW w:w="1264" w:type="dxa"/>
          </w:tcPr>
          <w:p w14:paraId="18686A7A" w14:textId="77777777" w:rsidR="009453A8" w:rsidRDefault="009453A8" w:rsidP="005551AD">
            <w:pPr>
              <w:pStyle w:val="TableBody"/>
            </w:pPr>
            <w:r>
              <w:t>HDSAP</w:t>
            </w:r>
          </w:p>
        </w:tc>
        <w:tc>
          <w:tcPr>
            <w:tcW w:w="899" w:type="dxa"/>
          </w:tcPr>
          <w:p w14:paraId="78C98C8B" w14:textId="77777777" w:rsidR="009453A8" w:rsidRDefault="009453A8" w:rsidP="005551AD">
            <w:pPr>
              <w:pStyle w:val="TableBody"/>
            </w:pPr>
            <w:r>
              <w:t>$/MWh</w:t>
            </w:r>
          </w:p>
        </w:tc>
        <w:tc>
          <w:tcPr>
            <w:tcW w:w="7107" w:type="dxa"/>
          </w:tcPr>
          <w:p w14:paraId="6721B754" w14:textId="77777777" w:rsidR="009453A8" w:rsidRDefault="009453A8" w:rsidP="005551AD">
            <w:pPr>
              <w:pStyle w:val="TableBody"/>
              <w:rPr>
                <w:i/>
              </w:rPr>
            </w:pPr>
            <w:r>
              <w:rPr>
                <w:i/>
              </w:rPr>
              <w:t>Historic Day-Ahead Settled Average Price</w:t>
            </w:r>
            <w:r>
              <w:sym w:font="Symbol" w:char="F0BE"/>
            </w:r>
            <w:r w:rsidRPr="006B56FB">
              <w:t>The average historic Day-Ahead settled price.</w:t>
            </w:r>
          </w:p>
        </w:tc>
      </w:tr>
      <w:tr w:rsidR="009453A8" w14:paraId="2CA48BA0" w14:textId="77777777" w:rsidTr="005551AD">
        <w:tc>
          <w:tcPr>
            <w:tcW w:w="1264" w:type="dxa"/>
          </w:tcPr>
          <w:p w14:paraId="22A27BAE" w14:textId="77777777" w:rsidR="009453A8" w:rsidRDefault="009453A8" w:rsidP="005551AD">
            <w:pPr>
              <w:pStyle w:val="TableBody"/>
            </w:pPr>
            <w:r w:rsidRPr="003E3244">
              <w:rPr>
                <w:i/>
              </w:rPr>
              <w:t>h</w:t>
            </w:r>
            <w:r>
              <w:rPr>
                <w:i/>
              </w:rPr>
              <w:t>d</w:t>
            </w:r>
            <w:r w:rsidRPr="006E7FC0">
              <w:rPr>
                <w:i/>
              </w:rPr>
              <w:t>h</w:t>
            </w:r>
          </w:p>
        </w:tc>
        <w:tc>
          <w:tcPr>
            <w:tcW w:w="899" w:type="dxa"/>
          </w:tcPr>
          <w:p w14:paraId="4E6F75FC" w14:textId="77777777" w:rsidR="009453A8" w:rsidRDefault="009453A8" w:rsidP="005551AD">
            <w:pPr>
              <w:pStyle w:val="TableBody"/>
            </w:pPr>
            <w:r>
              <w:t>None</w:t>
            </w:r>
          </w:p>
        </w:tc>
        <w:tc>
          <w:tcPr>
            <w:tcW w:w="7107" w:type="dxa"/>
          </w:tcPr>
          <w:p w14:paraId="250E3218" w14:textId="77777777" w:rsidR="009453A8" w:rsidRDefault="009453A8" w:rsidP="005551AD">
            <w:pPr>
              <w:pStyle w:val="TableBody"/>
              <w:rPr>
                <w:i/>
              </w:rPr>
            </w:pPr>
            <w:r>
              <w:rPr>
                <w:i/>
              </w:rPr>
              <w:t>Historic Day-Ahead Hour</w:t>
            </w:r>
            <w:r w:rsidRPr="00193B05">
              <w:sym w:font="Symbol" w:char="F0BE"/>
            </w:r>
            <w:r>
              <w:t>An Operating Hour that is settled and used in the most recent DALE calculation.</w:t>
            </w:r>
          </w:p>
        </w:tc>
      </w:tr>
      <w:tr w:rsidR="009453A8" w14:paraId="3517870D" w14:textId="77777777" w:rsidTr="005551AD">
        <w:tc>
          <w:tcPr>
            <w:tcW w:w="1264" w:type="dxa"/>
          </w:tcPr>
          <w:p w14:paraId="3F8D48D9" w14:textId="77777777" w:rsidR="009453A8" w:rsidRDefault="009453A8" w:rsidP="005551AD">
            <w:pPr>
              <w:pStyle w:val="TableBody"/>
            </w:pPr>
            <w:r>
              <w:rPr>
                <w:i/>
              </w:rPr>
              <w:t>nhdh</w:t>
            </w:r>
          </w:p>
        </w:tc>
        <w:tc>
          <w:tcPr>
            <w:tcW w:w="899" w:type="dxa"/>
          </w:tcPr>
          <w:p w14:paraId="2A3090DD" w14:textId="77777777" w:rsidR="009453A8" w:rsidRDefault="009453A8" w:rsidP="005551AD">
            <w:pPr>
              <w:pStyle w:val="TableBody"/>
            </w:pPr>
            <w:r>
              <w:t>None</w:t>
            </w:r>
          </w:p>
        </w:tc>
        <w:tc>
          <w:tcPr>
            <w:tcW w:w="7107" w:type="dxa"/>
          </w:tcPr>
          <w:p w14:paraId="24323492" w14:textId="77777777" w:rsidR="009453A8" w:rsidRDefault="009453A8" w:rsidP="005551AD">
            <w:pPr>
              <w:pStyle w:val="TableBody"/>
              <w:rPr>
                <w:i/>
              </w:rPr>
            </w:pPr>
            <w:r>
              <w:rPr>
                <w:i/>
              </w:rPr>
              <w:t>Number of Historic Day-Ahead Hours</w:t>
            </w:r>
            <w:r>
              <w:sym w:font="Symbol" w:char="F0BE"/>
            </w:r>
            <w:r w:rsidRPr="006B56FB">
              <w:t>Total number of historic day-ahead hours that are settled and used in the most recent DALE calculation.</w:t>
            </w:r>
          </w:p>
        </w:tc>
      </w:tr>
      <w:tr w:rsidR="009453A8" w14:paraId="225E040D" w14:textId="77777777" w:rsidTr="005551AD">
        <w:tc>
          <w:tcPr>
            <w:tcW w:w="1264" w:type="dxa"/>
          </w:tcPr>
          <w:p w14:paraId="62A4D889" w14:textId="77777777" w:rsidR="009453A8" w:rsidRDefault="009453A8" w:rsidP="005551AD">
            <w:pPr>
              <w:pStyle w:val="TableBody"/>
              <w:rPr>
                <w:i/>
              </w:rPr>
            </w:pPr>
            <w:r>
              <w:t>DASPP</w:t>
            </w:r>
            <w:r w:rsidRPr="006E7FC0">
              <w:rPr>
                <w:i/>
                <w:vertAlign w:val="subscript"/>
              </w:rPr>
              <w:t xml:space="preserve">hrh, rhub </w:t>
            </w:r>
          </w:p>
        </w:tc>
        <w:tc>
          <w:tcPr>
            <w:tcW w:w="899" w:type="dxa"/>
          </w:tcPr>
          <w:p w14:paraId="6913DF4D" w14:textId="77777777" w:rsidR="009453A8" w:rsidRDefault="009453A8" w:rsidP="005551AD">
            <w:pPr>
              <w:pStyle w:val="TableBody"/>
            </w:pPr>
            <w:r>
              <w:t>$/MWh</w:t>
            </w:r>
          </w:p>
        </w:tc>
        <w:tc>
          <w:tcPr>
            <w:tcW w:w="7107" w:type="dxa"/>
          </w:tcPr>
          <w:p w14:paraId="3A6A7D84" w14:textId="77777777" w:rsidR="009453A8" w:rsidRPr="006B56FB" w:rsidRDefault="009453A8" w:rsidP="005551AD">
            <w:pPr>
              <w:pStyle w:val="TableBody"/>
            </w:pPr>
            <w:r w:rsidRPr="006B56FB">
              <w:t xml:space="preserve">Day-Ahead Settlement Point Price for Operating Hour </w:t>
            </w:r>
            <w:r w:rsidRPr="009648F5">
              <w:rPr>
                <w:i/>
              </w:rPr>
              <w:t>hdh</w:t>
            </w:r>
            <w:r w:rsidRPr="006B56FB">
              <w:t xml:space="preserve"> for the Settlement Point </w:t>
            </w:r>
            <w:r w:rsidRPr="009648F5">
              <w:rPr>
                <w:i/>
              </w:rPr>
              <w:t>rhub</w:t>
            </w:r>
            <w:r w:rsidRPr="006B56FB">
              <w:t>.</w:t>
            </w:r>
          </w:p>
        </w:tc>
      </w:tr>
      <w:tr w:rsidR="009453A8" w14:paraId="77C7145E" w14:textId="77777777" w:rsidTr="005551AD">
        <w:tc>
          <w:tcPr>
            <w:tcW w:w="1264" w:type="dxa"/>
          </w:tcPr>
          <w:p w14:paraId="0BCE2B10" w14:textId="77777777" w:rsidR="009453A8" w:rsidRDefault="009453A8" w:rsidP="005551AD">
            <w:pPr>
              <w:pStyle w:val="TableBody"/>
            </w:pPr>
            <w:r>
              <w:t>RFAF</w:t>
            </w:r>
          </w:p>
        </w:tc>
        <w:tc>
          <w:tcPr>
            <w:tcW w:w="899" w:type="dxa"/>
          </w:tcPr>
          <w:p w14:paraId="7F56AB19" w14:textId="77777777" w:rsidR="009453A8" w:rsidRDefault="009453A8" w:rsidP="005551AD">
            <w:pPr>
              <w:pStyle w:val="TableBody"/>
            </w:pPr>
            <w:r>
              <w:t>None</w:t>
            </w:r>
          </w:p>
        </w:tc>
        <w:tc>
          <w:tcPr>
            <w:tcW w:w="7107" w:type="dxa"/>
          </w:tcPr>
          <w:p w14:paraId="3AEED751" w14:textId="77777777" w:rsidR="009453A8" w:rsidRDefault="009453A8" w:rsidP="005551AD">
            <w:pPr>
              <w:pStyle w:val="TableBody"/>
              <w:rPr>
                <w:i/>
              </w:rPr>
            </w:pPr>
            <w:r w:rsidRPr="00CE4C14">
              <w:rPr>
                <w:i/>
              </w:rPr>
              <w:t>R</w:t>
            </w:r>
            <w:r>
              <w:rPr>
                <w:i/>
              </w:rPr>
              <w:t>eal-Time Forward Adjustment Factor.</w:t>
            </w:r>
          </w:p>
        </w:tc>
      </w:tr>
      <w:tr w:rsidR="009453A8" w14:paraId="13038ECF" w14:textId="77777777" w:rsidTr="005551AD">
        <w:tc>
          <w:tcPr>
            <w:tcW w:w="1264" w:type="dxa"/>
          </w:tcPr>
          <w:p w14:paraId="2B65411A" w14:textId="77777777" w:rsidR="009453A8" w:rsidRDefault="009453A8" w:rsidP="005551AD">
            <w:pPr>
              <w:pStyle w:val="TableBody"/>
            </w:pPr>
            <w:r>
              <w:t>DFAF</w:t>
            </w:r>
          </w:p>
        </w:tc>
        <w:tc>
          <w:tcPr>
            <w:tcW w:w="899" w:type="dxa"/>
          </w:tcPr>
          <w:p w14:paraId="667F4C19" w14:textId="77777777" w:rsidR="009453A8" w:rsidRDefault="009453A8" w:rsidP="005551AD">
            <w:pPr>
              <w:pStyle w:val="TableBody"/>
            </w:pPr>
            <w:r>
              <w:t>None</w:t>
            </w:r>
          </w:p>
        </w:tc>
        <w:tc>
          <w:tcPr>
            <w:tcW w:w="7107" w:type="dxa"/>
          </w:tcPr>
          <w:p w14:paraId="3C974A20" w14:textId="77777777" w:rsidR="009453A8" w:rsidRPr="00CE4C14" w:rsidRDefault="009453A8" w:rsidP="005551AD">
            <w:pPr>
              <w:pStyle w:val="TableBody"/>
              <w:rPr>
                <w:i/>
              </w:rPr>
            </w:pPr>
            <w:r>
              <w:rPr>
                <w:i/>
              </w:rPr>
              <w:t>Day-Ahead Forward Adjustment Factor.</w:t>
            </w:r>
          </w:p>
        </w:tc>
      </w:tr>
    </w:tbl>
    <w:p w14:paraId="0A8A653B" w14:textId="7F6AE5C5" w:rsidR="009453A8" w:rsidRDefault="009453A8" w:rsidP="009453A8">
      <w:pPr>
        <w:pStyle w:val="BodyText"/>
        <w:spacing w:before="240" w:after="0"/>
      </w:pPr>
      <w:r>
        <w:t>The above parameters are defined as follows</w:t>
      </w:r>
      <w:r w:rsidR="002F03A7">
        <w:t>:</w:t>
      </w:r>
      <w:r>
        <w:t xml:space="preserve">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5940"/>
      </w:tblGrid>
      <w:tr w:rsidR="009453A8" w:rsidRPr="00BE4766" w14:paraId="10291ED3" w14:textId="77777777" w:rsidTr="005551AD">
        <w:trPr>
          <w:trHeight w:val="351"/>
          <w:tblHeader/>
        </w:trPr>
        <w:tc>
          <w:tcPr>
            <w:tcW w:w="1448" w:type="dxa"/>
          </w:tcPr>
          <w:p w14:paraId="7A5A4D97" w14:textId="77777777" w:rsidR="009453A8" w:rsidRPr="00BE4766" w:rsidRDefault="009453A8" w:rsidP="005551AD">
            <w:pPr>
              <w:pStyle w:val="TableHead"/>
            </w:pPr>
            <w:r>
              <w:lastRenderedPageBreak/>
              <w:t>Parameter</w:t>
            </w:r>
          </w:p>
        </w:tc>
        <w:tc>
          <w:tcPr>
            <w:tcW w:w="1702" w:type="dxa"/>
          </w:tcPr>
          <w:p w14:paraId="755F8CCB" w14:textId="77777777" w:rsidR="009453A8" w:rsidRPr="00BE4766" w:rsidRDefault="009453A8" w:rsidP="005551AD">
            <w:pPr>
              <w:pStyle w:val="TableHead"/>
            </w:pPr>
            <w:r w:rsidRPr="00BE4766">
              <w:t>Unit</w:t>
            </w:r>
          </w:p>
        </w:tc>
        <w:tc>
          <w:tcPr>
            <w:tcW w:w="5940" w:type="dxa"/>
          </w:tcPr>
          <w:p w14:paraId="6DA93A29" w14:textId="77777777" w:rsidR="009453A8" w:rsidRPr="00BE4766" w:rsidRDefault="009453A8" w:rsidP="005551AD">
            <w:pPr>
              <w:pStyle w:val="TableHead"/>
            </w:pPr>
            <w:r>
              <w:t>Current Value*</w:t>
            </w:r>
          </w:p>
        </w:tc>
      </w:tr>
      <w:tr w:rsidR="009453A8" w:rsidRPr="00BE4766" w14:paraId="4E8115D5" w14:textId="77777777" w:rsidTr="005551AD">
        <w:trPr>
          <w:trHeight w:val="242"/>
        </w:trPr>
        <w:tc>
          <w:tcPr>
            <w:tcW w:w="1448" w:type="dxa"/>
          </w:tcPr>
          <w:p w14:paraId="149035BC" w14:textId="77777777" w:rsidR="009453A8" w:rsidRPr="008F4340" w:rsidRDefault="009453A8" w:rsidP="005551AD">
            <w:pPr>
              <w:pStyle w:val="TableBody"/>
              <w:rPr>
                <w:i/>
              </w:rPr>
            </w:pPr>
            <w:r>
              <w:rPr>
                <w:i/>
                <w:lang w:val="fr-FR"/>
              </w:rPr>
              <w:t>rhub</w:t>
            </w:r>
          </w:p>
        </w:tc>
        <w:tc>
          <w:tcPr>
            <w:tcW w:w="1702" w:type="dxa"/>
          </w:tcPr>
          <w:p w14:paraId="7B6A1FCC" w14:textId="77777777" w:rsidR="009453A8" w:rsidRDefault="009453A8" w:rsidP="005551AD">
            <w:pPr>
              <w:pStyle w:val="TableBody"/>
            </w:pPr>
            <w:r>
              <w:t>None</w:t>
            </w:r>
          </w:p>
        </w:tc>
        <w:tc>
          <w:tcPr>
            <w:tcW w:w="5940" w:type="dxa"/>
          </w:tcPr>
          <w:p w14:paraId="3152BF49" w14:textId="77777777" w:rsidR="009453A8" w:rsidRDefault="009453A8" w:rsidP="005551AD">
            <w:pPr>
              <w:pStyle w:val="TableBody"/>
            </w:pPr>
            <w:r>
              <w:t>ERCOT North Hub</w:t>
            </w:r>
          </w:p>
        </w:tc>
      </w:tr>
      <w:tr w:rsidR="009453A8" w:rsidRPr="00BE4766" w14:paraId="094230F2" w14:textId="77777777" w:rsidTr="005551AD">
        <w:trPr>
          <w:trHeight w:val="242"/>
        </w:trPr>
        <w:tc>
          <w:tcPr>
            <w:tcW w:w="1448" w:type="dxa"/>
          </w:tcPr>
          <w:p w14:paraId="492F5CB4" w14:textId="77777777" w:rsidR="009453A8" w:rsidRDefault="009453A8" w:rsidP="005551AD">
            <w:pPr>
              <w:pStyle w:val="TableBody"/>
              <w:rPr>
                <w:i/>
                <w:lang w:val="fr-FR"/>
              </w:rPr>
            </w:pPr>
            <w:r w:rsidRPr="006B56FB">
              <w:rPr>
                <w:i/>
              </w:rPr>
              <w:t>RWF</w:t>
            </w:r>
            <w:r>
              <w:rPr>
                <w:i/>
                <w:vertAlign w:val="subscript"/>
              </w:rPr>
              <w:t>1</w:t>
            </w:r>
          </w:p>
        </w:tc>
        <w:tc>
          <w:tcPr>
            <w:tcW w:w="1702" w:type="dxa"/>
          </w:tcPr>
          <w:p w14:paraId="39043471" w14:textId="77777777" w:rsidR="009453A8" w:rsidRDefault="009453A8" w:rsidP="005551AD">
            <w:pPr>
              <w:pStyle w:val="TableBody"/>
            </w:pPr>
            <w:r>
              <w:t>None</w:t>
            </w:r>
          </w:p>
        </w:tc>
        <w:tc>
          <w:tcPr>
            <w:tcW w:w="5940" w:type="dxa"/>
          </w:tcPr>
          <w:p w14:paraId="715C9EBA" w14:textId="77777777" w:rsidR="009453A8" w:rsidRDefault="009453A8" w:rsidP="005551AD">
            <w:pPr>
              <w:pStyle w:val="TableBody"/>
            </w:pPr>
            <w:r>
              <w:t>1/3</w:t>
            </w:r>
          </w:p>
        </w:tc>
      </w:tr>
      <w:tr w:rsidR="009453A8" w:rsidRPr="00BE4766" w14:paraId="55E45EF8" w14:textId="77777777" w:rsidTr="005551AD">
        <w:trPr>
          <w:trHeight w:val="242"/>
        </w:trPr>
        <w:tc>
          <w:tcPr>
            <w:tcW w:w="1448" w:type="dxa"/>
          </w:tcPr>
          <w:p w14:paraId="4B5C72A1" w14:textId="77777777" w:rsidR="009453A8" w:rsidRPr="00DE5E37" w:rsidRDefault="009453A8" w:rsidP="005551AD">
            <w:pPr>
              <w:pStyle w:val="TableBody"/>
              <w:rPr>
                <w:i/>
              </w:rPr>
            </w:pPr>
            <w:r w:rsidRPr="00824AAE">
              <w:rPr>
                <w:i/>
              </w:rPr>
              <w:t>RWF</w:t>
            </w:r>
            <w:r>
              <w:rPr>
                <w:i/>
                <w:vertAlign w:val="subscript"/>
              </w:rPr>
              <w:t>2</w:t>
            </w:r>
          </w:p>
        </w:tc>
        <w:tc>
          <w:tcPr>
            <w:tcW w:w="1702" w:type="dxa"/>
          </w:tcPr>
          <w:p w14:paraId="34A6659A" w14:textId="77777777" w:rsidR="009453A8" w:rsidRDefault="009453A8" w:rsidP="005551AD">
            <w:pPr>
              <w:pStyle w:val="TableBody"/>
            </w:pPr>
            <w:r>
              <w:t>None</w:t>
            </w:r>
          </w:p>
        </w:tc>
        <w:tc>
          <w:tcPr>
            <w:tcW w:w="5940" w:type="dxa"/>
          </w:tcPr>
          <w:p w14:paraId="6E9499FD" w14:textId="77777777" w:rsidR="009453A8" w:rsidRDefault="009453A8" w:rsidP="005551AD">
            <w:pPr>
              <w:pStyle w:val="TableBody"/>
            </w:pPr>
            <w:r>
              <w:t>1/3</w:t>
            </w:r>
          </w:p>
        </w:tc>
      </w:tr>
      <w:tr w:rsidR="009453A8" w:rsidRPr="00BE4766" w14:paraId="4434777B" w14:textId="77777777" w:rsidTr="005551AD">
        <w:trPr>
          <w:trHeight w:val="242"/>
        </w:trPr>
        <w:tc>
          <w:tcPr>
            <w:tcW w:w="1448" w:type="dxa"/>
          </w:tcPr>
          <w:p w14:paraId="351C24D7" w14:textId="77777777" w:rsidR="009453A8" w:rsidRPr="00DE5E37" w:rsidRDefault="009453A8" w:rsidP="005551AD">
            <w:pPr>
              <w:pStyle w:val="TableBody"/>
              <w:rPr>
                <w:i/>
              </w:rPr>
            </w:pPr>
            <w:r w:rsidRPr="00824AAE">
              <w:rPr>
                <w:i/>
              </w:rPr>
              <w:t>RWF</w:t>
            </w:r>
            <w:r>
              <w:rPr>
                <w:i/>
                <w:vertAlign w:val="subscript"/>
              </w:rPr>
              <w:t>3</w:t>
            </w:r>
          </w:p>
        </w:tc>
        <w:tc>
          <w:tcPr>
            <w:tcW w:w="1702" w:type="dxa"/>
          </w:tcPr>
          <w:p w14:paraId="13BE104B" w14:textId="77777777" w:rsidR="009453A8" w:rsidRDefault="009453A8" w:rsidP="005551AD">
            <w:pPr>
              <w:pStyle w:val="TableBody"/>
            </w:pPr>
            <w:r>
              <w:t>None</w:t>
            </w:r>
          </w:p>
        </w:tc>
        <w:tc>
          <w:tcPr>
            <w:tcW w:w="5940" w:type="dxa"/>
          </w:tcPr>
          <w:p w14:paraId="7D83CBF5" w14:textId="77777777" w:rsidR="009453A8" w:rsidRDefault="009453A8" w:rsidP="005551AD">
            <w:pPr>
              <w:pStyle w:val="TableBody"/>
            </w:pPr>
            <w:r>
              <w:t>1/3</w:t>
            </w:r>
          </w:p>
        </w:tc>
      </w:tr>
      <w:tr w:rsidR="009453A8" w:rsidRPr="00BE4766" w14:paraId="3486703E" w14:textId="77777777" w:rsidTr="005551AD">
        <w:trPr>
          <w:trHeight w:val="242"/>
        </w:trPr>
        <w:tc>
          <w:tcPr>
            <w:tcW w:w="1448" w:type="dxa"/>
          </w:tcPr>
          <w:p w14:paraId="2BD87EBB" w14:textId="77777777" w:rsidR="009453A8" w:rsidRPr="00DE5E37" w:rsidRDefault="009453A8" w:rsidP="005551AD">
            <w:pPr>
              <w:pStyle w:val="TableBody"/>
              <w:rPr>
                <w:i/>
              </w:rPr>
            </w:pPr>
            <w:r>
              <w:rPr>
                <w:i/>
              </w:rPr>
              <w:t>D</w:t>
            </w:r>
            <w:r w:rsidRPr="00824AAE">
              <w:rPr>
                <w:i/>
              </w:rPr>
              <w:t>WF</w:t>
            </w:r>
            <w:r>
              <w:rPr>
                <w:i/>
                <w:vertAlign w:val="subscript"/>
              </w:rPr>
              <w:t>1</w:t>
            </w:r>
          </w:p>
        </w:tc>
        <w:tc>
          <w:tcPr>
            <w:tcW w:w="1702" w:type="dxa"/>
          </w:tcPr>
          <w:p w14:paraId="2B8285A1" w14:textId="77777777" w:rsidR="009453A8" w:rsidRDefault="009453A8" w:rsidP="005551AD">
            <w:pPr>
              <w:pStyle w:val="TableBody"/>
            </w:pPr>
            <w:r>
              <w:t>None</w:t>
            </w:r>
          </w:p>
        </w:tc>
        <w:tc>
          <w:tcPr>
            <w:tcW w:w="5940" w:type="dxa"/>
          </w:tcPr>
          <w:p w14:paraId="494D4615" w14:textId="77777777" w:rsidR="009453A8" w:rsidRDefault="009453A8" w:rsidP="005551AD">
            <w:pPr>
              <w:pStyle w:val="TableBody"/>
            </w:pPr>
            <w:r>
              <w:t>1/3</w:t>
            </w:r>
          </w:p>
        </w:tc>
      </w:tr>
      <w:tr w:rsidR="009453A8" w:rsidRPr="00BE4766" w14:paraId="385E1652" w14:textId="77777777" w:rsidTr="005551AD">
        <w:trPr>
          <w:trHeight w:val="242"/>
        </w:trPr>
        <w:tc>
          <w:tcPr>
            <w:tcW w:w="1448" w:type="dxa"/>
          </w:tcPr>
          <w:p w14:paraId="248CC17C" w14:textId="77777777" w:rsidR="009453A8" w:rsidRPr="00DE5E37" w:rsidRDefault="009453A8" w:rsidP="005551AD">
            <w:pPr>
              <w:pStyle w:val="TableBody"/>
              <w:rPr>
                <w:i/>
              </w:rPr>
            </w:pPr>
            <w:r>
              <w:rPr>
                <w:i/>
              </w:rPr>
              <w:t>D</w:t>
            </w:r>
            <w:r w:rsidRPr="00824AAE">
              <w:rPr>
                <w:i/>
              </w:rPr>
              <w:t>WF</w:t>
            </w:r>
            <w:r>
              <w:rPr>
                <w:i/>
                <w:vertAlign w:val="subscript"/>
              </w:rPr>
              <w:t>2</w:t>
            </w:r>
          </w:p>
        </w:tc>
        <w:tc>
          <w:tcPr>
            <w:tcW w:w="1702" w:type="dxa"/>
          </w:tcPr>
          <w:p w14:paraId="46E7660C" w14:textId="77777777" w:rsidR="009453A8" w:rsidRDefault="009453A8" w:rsidP="005551AD">
            <w:pPr>
              <w:pStyle w:val="TableBody"/>
            </w:pPr>
            <w:r>
              <w:t>None</w:t>
            </w:r>
          </w:p>
        </w:tc>
        <w:tc>
          <w:tcPr>
            <w:tcW w:w="5940" w:type="dxa"/>
          </w:tcPr>
          <w:p w14:paraId="3642B672" w14:textId="77777777" w:rsidR="009453A8" w:rsidRDefault="009453A8" w:rsidP="005551AD">
            <w:pPr>
              <w:pStyle w:val="TableBody"/>
            </w:pPr>
            <w:r>
              <w:t>1/3</w:t>
            </w:r>
          </w:p>
        </w:tc>
      </w:tr>
      <w:tr w:rsidR="009453A8" w:rsidRPr="00BE4766" w14:paraId="7F181369" w14:textId="77777777" w:rsidTr="005551AD">
        <w:trPr>
          <w:trHeight w:val="242"/>
        </w:trPr>
        <w:tc>
          <w:tcPr>
            <w:tcW w:w="1448" w:type="dxa"/>
          </w:tcPr>
          <w:p w14:paraId="0C8B18A4" w14:textId="77777777" w:rsidR="009453A8" w:rsidRPr="00DE5E37" w:rsidRDefault="009453A8" w:rsidP="005551AD">
            <w:pPr>
              <w:pStyle w:val="TableBody"/>
              <w:rPr>
                <w:i/>
              </w:rPr>
            </w:pPr>
            <w:r>
              <w:rPr>
                <w:i/>
              </w:rPr>
              <w:t>D</w:t>
            </w:r>
            <w:r w:rsidRPr="00824AAE">
              <w:rPr>
                <w:i/>
              </w:rPr>
              <w:t>WF</w:t>
            </w:r>
            <w:r>
              <w:rPr>
                <w:i/>
                <w:vertAlign w:val="subscript"/>
              </w:rPr>
              <w:t>3</w:t>
            </w:r>
          </w:p>
        </w:tc>
        <w:tc>
          <w:tcPr>
            <w:tcW w:w="1702" w:type="dxa"/>
          </w:tcPr>
          <w:p w14:paraId="4F3CFEAE" w14:textId="77777777" w:rsidR="009453A8" w:rsidRDefault="009453A8" w:rsidP="005551AD">
            <w:pPr>
              <w:pStyle w:val="TableBody"/>
            </w:pPr>
            <w:r>
              <w:t>None</w:t>
            </w:r>
          </w:p>
        </w:tc>
        <w:tc>
          <w:tcPr>
            <w:tcW w:w="5940" w:type="dxa"/>
          </w:tcPr>
          <w:p w14:paraId="72032E67" w14:textId="77777777" w:rsidR="009453A8" w:rsidRDefault="009453A8" w:rsidP="005551AD">
            <w:pPr>
              <w:pStyle w:val="TableBody"/>
            </w:pPr>
            <w:r>
              <w:t>1/3</w:t>
            </w:r>
          </w:p>
        </w:tc>
      </w:tr>
      <w:tr w:rsidR="009453A8" w:rsidRPr="00BE4766" w14:paraId="735AF65B" w14:textId="77777777" w:rsidTr="005551AD">
        <w:trPr>
          <w:trHeight w:val="519"/>
        </w:trPr>
        <w:tc>
          <w:tcPr>
            <w:tcW w:w="9090" w:type="dxa"/>
            <w:gridSpan w:val="3"/>
          </w:tcPr>
          <w:p w14:paraId="59AD95DC" w14:textId="77777777" w:rsidR="009453A8" w:rsidRDefault="009453A8" w:rsidP="005551AD">
            <w:pPr>
              <w:pStyle w:val="TableBody"/>
            </w:pPr>
            <w:r>
              <w:t xml:space="preserve">*  </w:t>
            </w:r>
            <w:r w:rsidRPr="00126667">
              <w:t xml:space="preserve">The </w:t>
            </w:r>
            <w:r>
              <w:t xml:space="preserve">current value for the </w:t>
            </w:r>
            <w:r w:rsidRPr="00126667">
              <w:t xml:space="preserve">parameters referenced in </w:t>
            </w:r>
            <w:r>
              <w:t xml:space="preserve">the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03A9EE4F" w14:textId="77777777" w:rsidR="00FC1C5F" w:rsidRDefault="00727E32" w:rsidP="009453A8">
      <w:pPr>
        <w:pStyle w:val="ListIntroduction"/>
        <w:tabs>
          <w:tab w:val="left" w:pos="1260"/>
        </w:tabs>
        <w:spacing w:before="480"/>
        <w:outlineLvl w:val="3"/>
      </w:pPr>
      <w:bookmarkStart w:id="485" w:name="_Toc70591640"/>
      <w:r w:rsidRPr="00EA38A1">
        <w:rPr>
          <w:b/>
          <w:iCs w:val="0"/>
        </w:rPr>
        <w:t>16</w:t>
      </w:r>
      <w:r w:rsidRPr="00D63F95">
        <w:rPr>
          <w:b/>
        </w:rPr>
        <w:t>.11.4.4</w:t>
      </w:r>
      <w:r w:rsidRPr="00D63F95">
        <w:rPr>
          <w:b/>
        </w:rPr>
        <w:tab/>
      </w:r>
      <w:r w:rsidR="00E12AFD" w:rsidRPr="00DD1960">
        <w:rPr>
          <w:b/>
          <w:i/>
        </w:rPr>
        <w:t>[RESERVED]</w:t>
      </w:r>
      <w:bookmarkEnd w:id="474"/>
      <w:bookmarkEnd w:id="475"/>
      <w:bookmarkEnd w:id="476"/>
      <w:bookmarkEnd w:id="477"/>
      <w:bookmarkEnd w:id="478"/>
      <w:bookmarkEnd w:id="479"/>
      <w:bookmarkEnd w:id="485"/>
    </w:p>
    <w:p w14:paraId="2927F9E2" w14:textId="77777777" w:rsidR="00A36A5A" w:rsidRPr="00341696" w:rsidRDefault="00A36A5A" w:rsidP="00A36A5A">
      <w:pPr>
        <w:keepNext/>
        <w:widowControl w:val="0"/>
        <w:tabs>
          <w:tab w:val="left" w:pos="1260"/>
        </w:tabs>
        <w:spacing w:before="240" w:after="240"/>
        <w:ind w:left="1267" w:hanging="1267"/>
        <w:outlineLvl w:val="3"/>
        <w:rPr>
          <w:b/>
          <w:bCs/>
          <w:snapToGrid w:val="0"/>
        </w:rPr>
      </w:pPr>
      <w:bookmarkStart w:id="486" w:name="_Toc390438970"/>
      <w:bookmarkStart w:id="487" w:name="_Toc405897668"/>
      <w:bookmarkStart w:id="488" w:name="_Toc415055772"/>
      <w:bookmarkStart w:id="489" w:name="_Toc415055898"/>
      <w:bookmarkStart w:id="490" w:name="_Toc415055997"/>
      <w:bookmarkStart w:id="491" w:name="_Toc415056098"/>
      <w:bookmarkStart w:id="492" w:name="_Toc70591641"/>
      <w:r w:rsidRPr="00341696">
        <w:rPr>
          <w:b/>
          <w:bCs/>
          <w:snapToGrid w:val="0"/>
        </w:rPr>
        <w:t>16.11.4.5</w:t>
      </w:r>
      <w:r w:rsidRPr="00341696">
        <w:rPr>
          <w:b/>
          <w:bCs/>
          <w:snapToGrid w:val="0"/>
        </w:rPr>
        <w:tab/>
        <w:t>Determination of the Counter-Party Future Credit Exposure</w:t>
      </w:r>
      <w:bookmarkEnd w:id="486"/>
      <w:bookmarkEnd w:id="487"/>
      <w:bookmarkEnd w:id="488"/>
      <w:bookmarkEnd w:id="489"/>
      <w:bookmarkEnd w:id="490"/>
      <w:bookmarkEnd w:id="491"/>
      <w:bookmarkEnd w:id="492"/>
    </w:p>
    <w:p w14:paraId="7DAA1AE1" w14:textId="77777777" w:rsidR="00A36A5A" w:rsidRDefault="00A36A5A" w:rsidP="00A36A5A">
      <w:pPr>
        <w:pStyle w:val="BodyText"/>
        <w:tabs>
          <w:tab w:val="left" w:pos="720"/>
        </w:tabs>
        <w:ind w:left="720" w:hanging="720"/>
      </w:pPr>
      <w:r w:rsidRPr="00341696">
        <w:rPr>
          <w:iCs w:val="0"/>
        </w:rPr>
        <w:t>(1)</w:t>
      </w:r>
      <w:r w:rsidRPr="00341696">
        <w:rPr>
          <w:iCs w:val="0"/>
        </w:rPr>
        <w:tab/>
        <w:t xml:space="preserve">ERCOT shall monitor and calculate the Counter-Party’s FCE for all </w:t>
      </w:r>
      <w:r w:rsidR="00613851">
        <w:rPr>
          <w:iCs w:val="0"/>
        </w:rPr>
        <w:t>the CRR Account Holders represented by</w:t>
      </w:r>
      <w:r w:rsidRPr="00341696">
        <w:rPr>
          <w:iCs w:val="0"/>
        </w:rPr>
        <w:t xml:space="preserve"> the Counter-Party as </w:t>
      </w:r>
      <w:r>
        <w:rPr>
          <w:iCs w:val="0"/>
        </w:rPr>
        <w:t>CRR O</w:t>
      </w:r>
      <w:r w:rsidRPr="00341696">
        <w:rPr>
          <w:iCs w:val="0"/>
        </w:rPr>
        <w:t>wner of record at ERCOT</w:t>
      </w:r>
      <w:r w:rsidRPr="00891D7E">
        <w:t>.</w:t>
      </w:r>
      <w:r>
        <w:t xml:space="preserve"> </w:t>
      </w:r>
    </w:p>
    <w:p w14:paraId="01D62A65" w14:textId="77777777" w:rsidR="00A36A5A" w:rsidRPr="002475CE" w:rsidRDefault="00A36A5A" w:rsidP="00A36A5A">
      <w:pPr>
        <w:pStyle w:val="Instructions"/>
        <w:spacing w:after="0"/>
        <w:ind w:left="720"/>
        <w:rPr>
          <w:i w:val="0"/>
        </w:rPr>
      </w:pPr>
      <w:r w:rsidRPr="002475CE">
        <w:rPr>
          <w:i w:val="0"/>
          <w:lang w:val="it-IT"/>
        </w:rPr>
        <w:t xml:space="preserve">FCE </w:t>
      </w:r>
      <w:r w:rsidR="00613851">
        <w:rPr>
          <w:rFonts w:ascii="Times New Roman Bold" w:hAnsi="Times New Roman Bold"/>
          <w:vertAlign w:val="subscript"/>
          <w:lang w:val="it-IT"/>
        </w:rPr>
        <w:t>a</w:t>
      </w:r>
      <w:r w:rsidRPr="002475CE">
        <w:rPr>
          <w:i w:val="0"/>
          <w:lang w:val="it-IT"/>
        </w:rPr>
        <w:t xml:space="preserve">  =  FCEOBL </w:t>
      </w:r>
      <w:r w:rsidR="00613851">
        <w:rPr>
          <w:rFonts w:ascii="Times New Roman Bold" w:hAnsi="Times New Roman Bold"/>
          <w:vertAlign w:val="subscript"/>
          <w:lang w:val="it-IT"/>
        </w:rPr>
        <w:t>a</w:t>
      </w:r>
      <w:r w:rsidRPr="002475CE">
        <w:rPr>
          <w:i w:val="0"/>
          <w:lang w:val="it-IT"/>
        </w:rPr>
        <w:t xml:space="preserve"> + FCEOPT </w:t>
      </w:r>
      <w:r w:rsidR="00613851">
        <w:rPr>
          <w:rFonts w:ascii="Times New Roman Bold" w:hAnsi="Times New Roman Bold"/>
          <w:vertAlign w:val="subscript"/>
          <w:lang w:val="it-IT"/>
        </w:rPr>
        <w:t>a</w:t>
      </w:r>
      <w:r w:rsidRPr="00D36347">
        <w:rPr>
          <w:rFonts w:ascii="Times New Roman Bold" w:hAnsi="Times New Roman Bold"/>
          <w:vertAlign w:val="subscript"/>
          <w:lang w:val="it-IT"/>
        </w:rPr>
        <w:t xml:space="preserve"> </w:t>
      </w:r>
    </w:p>
    <w:p w14:paraId="10251386" w14:textId="77777777" w:rsidR="00A36A5A" w:rsidRPr="00FA6425" w:rsidRDefault="00A36A5A" w:rsidP="00A36A5A">
      <w:pPr>
        <w:pStyle w:val="ListIntroduction"/>
        <w:spacing w:after="0"/>
        <w:rPr>
          <w:lang w:val="en-US" w:eastAsia="en-US"/>
        </w:rPr>
      </w:pPr>
    </w:p>
    <w:p w14:paraId="796AC34F" w14:textId="77777777" w:rsidR="00A36A5A" w:rsidRPr="00FA6425" w:rsidRDefault="00A36A5A" w:rsidP="00A36A5A">
      <w:pPr>
        <w:pStyle w:val="ListIntroduction"/>
        <w:spacing w:after="0"/>
        <w:rPr>
          <w:lang w:val="en-US" w:eastAsia="en-US"/>
        </w:rPr>
      </w:pPr>
      <w:r w:rsidRPr="00FA6425">
        <w:rPr>
          <w:lang w:val="en-US" w:eastAsia="en-US"/>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
        <w:gridCol w:w="739"/>
        <w:gridCol w:w="6948"/>
      </w:tblGrid>
      <w:tr w:rsidR="00A36A5A" w14:paraId="2DF9B6A5" w14:textId="77777777" w:rsidTr="00077067">
        <w:trPr>
          <w:cantSplit/>
          <w:trHeight w:val="351"/>
          <w:tblHeader/>
        </w:trPr>
        <w:tc>
          <w:tcPr>
            <w:tcW w:w="0" w:type="auto"/>
          </w:tcPr>
          <w:p w14:paraId="0FD3B76C" w14:textId="77777777" w:rsidR="00A36A5A" w:rsidRDefault="00A36A5A" w:rsidP="00077067">
            <w:pPr>
              <w:pStyle w:val="TableHead"/>
            </w:pPr>
            <w:r>
              <w:t>Variable</w:t>
            </w:r>
          </w:p>
        </w:tc>
        <w:tc>
          <w:tcPr>
            <w:tcW w:w="739" w:type="dxa"/>
          </w:tcPr>
          <w:p w14:paraId="48305851" w14:textId="77777777" w:rsidR="00A36A5A" w:rsidRDefault="00A36A5A" w:rsidP="00077067">
            <w:pPr>
              <w:pStyle w:val="TableHead"/>
            </w:pPr>
            <w:r>
              <w:t>Unit</w:t>
            </w:r>
          </w:p>
        </w:tc>
        <w:tc>
          <w:tcPr>
            <w:tcW w:w="6948" w:type="dxa"/>
          </w:tcPr>
          <w:p w14:paraId="01B8EA1B" w14:textId="77777777" w:rsidR="00A36A5A" w:rsidRDefault="00A36A5A" w:rsidP="00077067">
            <w:pPr>
              <w:pStyle w:val="TableHead"/>
            </w:pPr>
            <w:r>
              <w:t>Description</w:t>
            </w:r>
          </w:p>
        </w:tc>
      </w:tr>
      <w:tr w:rsidR="00A36A5A" w14:paraId="5CD90055" w14:textId="77777777" w:rsidTr="00077067">
        <w:trPr>
          <w:trHeight w:val="260"/>
        </w:trPr>
        <w:tc>
          <w:tcPr>
            <w:tcW w:w="0" w:type="auto"/>
          </w:tcPr>
          <w:p w14:paraId="5FE0B18E" w14:textId="77777777" w:rsidR="00A36A5A" w:rsidRDefault="00A36A5A" w:rsidP="00613851">
            <w:pPr>
              <w:pStyle w:val="TableBody"/>
            </w:pPr>
            <w:r>
              <w:t xml:space="preserve">FCE </w:t>
            </w:r>
            <w:r w:rsidR="00613851">
              <w:rPr>
                <w:rFonts w:ascii="Times New Roman Bold" w:hAnsi="Times New Roman Bold"/>
                <w:i/>
                <w:vertAlign w:val="subscript"/>
              </w:rPr>
              <w:t>a</w:t>
            </w:r>
          </w:p>
        </w:tc>
        <w:tc>
          <w:tcPr>
            <w:tcW w:w="739" w:type="dxa"/>
          </w:tcPr>
          <w:p w14:paraId="4A088EB8" w14:textId="77777777" w:rsidR="00A36A5A" w:rsidRDefault="00A36A5A" w:rsidP="00077067">
            <w:pPr>
              <w:pStyle w:val="TableBody"/>
            </w:pPr>
            <w:r>
              <w:t>$</w:t>
            </w:r>
          </w:p>
        </w:tc>
        <w:tc>
          <w:tcPr>
            <w:tcW w:w="6948" w:type="dxa"/>
          </w:tcPr>
          <w:p w14:paraId="45580588" w14:textId="77777777" w:rsidR="00A36A5A" w:rsidRDefault="00A36A5A" w:rsidP="008C0679">
            <w:pPr>
              <w:pStyle w:val="TableBody"/>
            </w:pPr>
            <w:r w:rsidRPr="00B67540">
              <w:rPr>
                <w:i/>
              </w:rPr>
              <w:t>Future Credit Exposure</w:t>
            </w:r>
            <w:r>
              <w:t xml:space="preserve"> for all CRRs held by </w:t>
            </w:r>
            <w:r w:rsidR="008C0679" w:rsidRPr="00545E0B">
              <w:rPr>
                <w:i/>
              </w:rPr>
              <w:t>all CRR Account Holders</w:t>
            </w:r>
            <w:r w:rsidR="008C0679">
              <w:t xml:space="preserve"> represented by </w:t>
            </w:r>
            <w:r>
              <w:t>the Counter-Party.</w:t>
            </w:r>
          </w:p>
        </w:tc>
      </w:tr>
      <w:tr w:rsidR="00A36A5A" w14:paraId="32EEE376" w14:textId="77777777" w:rsidTr="00077067">
        <w:trPr>
          <w:trHeight w:val="611"/>
        </w:trPr>
        <w:tc>
          <w:tcPr>
            <w:tcW w:w="0" w:type="auto"/>
          </w:tcPr>
          <w:p w14:paraId="0BEE9320" w14:textId="77777777" w:rsidR="00A36A5A" w:rsidRDefault="00A36A5A" w:rsidP="00613851">
            <w:pPr>
              <w:pStyle w:val="TableBody"/>
            </w:pPr>
            <w:r>
              <w:t xml:space="preserve">FCEOBL </w:t>
            </w:r>
            <w:r w:rsidR="00613851">
              <w:rPr>
                <w:rFonts w:ascii="Times New Roman Bold" w:hAnsi="Times New Roman Bold"/>
                <w:i/>
                <w:vertAlign w:val="subscript"/>
              </w:rPr>
              <w:t>a</w:t>
            </w:r>
          </w:p>
        </w:tc>
        <w:tc>
          <w:tcPr>
            <w:tcW w:w="739" w:type="dxa"/>
          </w:tcPr>
          <w:p w14:paraId="5A8EE8B9" w14:textId="77777777" w:rsidR="00A36A5A" w:rsidRDefault="00A36A5A" w:rsidP="00077067">
            <w:pPr>
              <w:pStyle w:val="TableBody"/>
            </w:pPr>
            <w:r>
              <w:t>$</w:t>
            </w:r>
          </w:p>
        </w:tc>
        <w:tc>
          <w:tcPr>
            <w:tcW w:w="6948" w:type="dxa"/>
          </w:tcPr>
          <w:p w14:paraId="3782E097" w14:textId="77777777" w:rsidR="00A36A5A" w:rsidRPr="00B67540" w:rsidRDefault="00A36A5A" w:rsidP="008C0679">
            <w:pPr>
              <w:pStyle w:val="TableBody"/>
              <w:rPr>
                <w:iCs w:val="0"/>
              </w:rPr>
            </w:pPr>
            <w:r w:rsidRPr="00B67540">
              <w:rPr>
                <w:i/>
              </w:rPr>
              <w:t>Future Credit Exposure for PTP Obligations</w:t>
            </w:r>
            <w:r>
              <w:t xml:space="preserve"> for all PTP Obligations held by </w:t>
            </w:r>
            <w:r w:rsidR="008C0679">
              <w:t xml:space="preserve">all CRR Account Holders represented by </w:t>
            </w:r>
            <w:r>
              <w:t>the Counter-Party as CRR Owner</w:t>
            </w:r>
            <w:r w:rsidRPr="00B67540">
              <w:rPr>
                <w:i/>
              </w:rPr>
              <w:t xml:space="preserve"> </w:t>
            </w:r>
            <w:r>
              <w:t xml:space="preserve">of record at ERCOT, for all Operating Days in the current operating month, Prompt Month, and all Forward Months. </w:t>
            </w:r>
          </w:p>
        </w:tc>
      </w:tr>
      <w:tr w:rsidR="00A36A5A" w14:paraId="3614E631" w14:textId="77777777" w:rsidTr="00077067">
        <w:trPr>
          <w:trHeight w:val="530"/>
        </w:trPr>
        <w:tc>
          <w:tcPr>
            <w:tcW w:w="0" w:type="auto"/>
          </w:tcPr>
          <w:p w14:paraId="11990135" w14:textId="77777777" w:rsidR="00A36A5A" w:rsidRDefault="00A36A5A" w:rsidP="00613851">
            <w:pPr>
              <w:pStyle w:val="TableBody"/>
            </w:pPr>
            <w:r>
              <w:t xml:space="preserve">FCEOPT </w:t>
            </w:r>
            <w:r w:rsidR="00613851">
              <w:rPr>
                <w:rFonts w:ascii="Times New Roman Bold" w:hAnsi="Times New Roman Bold"/>
                <w:i/>
                <w:vertAlign w:val="subscript"/>
              </w:rPr>
              <w:t>a</w:t>
            </w:r>
          </w:p>
        </w:tc>
        <w:tc>
          <w:tcPr>
            <w:tcW w:w="739" w:type="dxa"/>
          </w:tcPr>
          <w:p w14:paraId="35D011D7" w14:textId="77777777" w:rsidR="00A36A5A" w:rsidRDefault="00A36A5A" w:rsidP="00077067">
            <w:pPr>
              <w:pStyle w:val="TableBody"/>
            </w:pPr>
            <w:r>
              <w:t>$</w:t>
            </w:r>
          </w:p>
        </w:tc>
        <w:tc>
          <w:tcPr>
            <w:tcW w:w="6948" w:type="dxa"/>
          </w:tcPr>
          <w:p w14:paraId="0A4938CE" w14:textId="77777777" w:rsidR="00A36A5A" w:rsidRDefault="00A36A5A" w:rsidP="008C0679">
            <w:pPr>
              <w:pStyle w:val="TableBody"/>
            </w:pPr>
            <w:r w:rsidRPr="00B67540">
              <w:rPr>
                <w:i/>
              </w:rPr>
              <w:t>Future Credit Exposure for PTP Options</w:t>
            </w:r>
            <w:r>
              <w:t xml:space="preserve"> for all PTP Options held by </w:t>
            </w:r>
            <w:r w:rsidR="008C0679">
              <w:t xml:space="preserve">all CRR Account Holders represented by </w:t>
            </w:r>
            <w:r>
              <w:t>the Counter-Party as CRR Owner</w:t>
            </w:r>
            <w:r w:rsidRPr="00B67540">
              <w:rPr>
                <w:i/>
              </w:rPr>
              <w:t xml:space="preserve"> </w:t>
            </w:r>
            <w:r>
              <w:t xml:space="preserve">of record at ERCOT, for all Operating Days remaining in the current operating month and Prompt Month. </w:t>
            </w:r>
          </w:p>
        </w:tc>
      </w:tr>
      <w:tr w:rsidR="00A36A5A" w14:paraId="371F84CB" w14:textId="77777777" w:rsidTr="00077067">
        <w:trPr>
          <w:trHeight w:val="350"/>
        </w:trPr>
        <w:tc>
          <w:tcPr>
            <w:tcW w:w="0" w:type="auto"/>
          </w:tcPr>
          <w:p w14:paraId="5ACFB7D9" w14:textId="77777777" w:rsidR="00A36A5A" w:rsidRPr="00D36347" w:rsidRDefault="00613851" w:rsidP="00077067">
            <w:pPr>
              <w:pStyle w:val="TableBody"/>
              <w:rPr>
                <w:i/>
              </w:rPr>
            </w:pPr>
            <w:r>
              <w:rPr>
                <w:i/>
              </w:rPr>
              <w:t>a</w:t>
            </w:r>
          </w:p>
        </w:tc>
        <w:tc>
          <w:tcPr>
            <w:tcW w:w="739" w:type="dxa"/>
          </w:tcPr>
          <w:p w14:paraId="6DCCD5B3" w14:textId="77777777" w:rsidR="00A36A5A" w:rsidRDefault="00A36A5A" w:rsidP="00077067">
            <w:pPr>
              <w:pStyle w:val="TableBody"/>
            </w:pPr>
            <w:r>
              <w:t>none</w:t>
            </w:r>
          </w:p>
        </w:tc>
        <w:tc>
          <w:tcPr>
            <w:tcW w:w="6948" w:type="dxa"/>
          </w:tcPr>
          <w:p w14:paraId="662F1402" w14:textId="77777777" w:rsidR="00A36A5A" w:rsidRDefault="00A36A5A" w:rsidP="008C0679">
            <w:pPr>
              <w:pStyle w:val="TableBody"/>
            </w:pPr>
            <w:r>
              <w:t>A</w:t>
            </w:r>
            <w:r w:rsidR="008C0679">
              <w:t>ll</w:t>
            </w:r>
            <w:r>
              <w:t xml:space="preserve"> CRR </w:t>
            </w:r>
            <w:r w:rsidR="008C0679">
              <w:t>Account Holders represented by the Counter-Party</w:t>
            </w:r>
            <w:r>
              <w:t>.</w:t>
            </w:r>
          </w:p>
        </w:tc>
      </w:tr>
    </w:tbl>
    <w:p w14:paraId="4F362115" w14:textId="77777777" w:rsidR="00A36A5A" w:rsidRPr="00341696" w:rsidRDefault="00A36A5A" w:rsidP="00A36A5A">
      <w:pPr>
        <w:tabs>
          <w:tab w:val="left" w:pos="720"/>
        </w:tabs>
        <w:spacing w:before="240" w:after="240"/>
        <w:ind w:left="720" w:hanging="720"/>
        <w:rPr>
          <w:b/>
          <w:bCs/>
          <w:iCs/>
        </w:rPr>
      </w:pPr>
      <w:r w:rsidRPr="00341696">
        <w:rPr>
          <w:iCs/>
        </w:rPr>
        <w:t>(2)</w:t>
      </w:r>
      <w:r w:rsidRPr="00341696">
        <w:rPr>
          <w:iCs/>
        </w:rPr>
        <w:tab/>
        <w:t xml:space="preserve">The Counter-Party’s FCE for PTP Obligations (FCEOBL) held by </w:t>
      </w:r>
      <w:r w:rsidR="008C0679">
        <w:t xml:space="preserve">all CRR Account Holders represented by </w:t>
      </w:r>
      <w:r w:rsidRPr="00341696">
        <w:rPr>
          <w:iCs/>
        </w:rPr>
        <w:t xml:space="preserve">the Counter-Party as </w:t>
      </w:r>
      <w:r>
        <w:rPr>
          <w:iCs/>
        </w:rPr>
        <w:t>CRR O</w:t>
      </w:r>
      <w:r w:rsidRPr="00341696">
        <w:rPr>
          <w:iCs/>
        </w:rPr>
        <w:t xml:space="preserve">wner of record at ERCOT </w:t>
      </w:r>
      <w:r>
        <w:rPr>
          <w:iCs/>
        </w:rPr>
        <w:t xml:space="preserve">are </w:t>
      </w:r>
      <w:r w:rsidRPr="00341696">
        <w:rPr>
          <w:iCs/>
        </w:rPr>
        <w:t>calculated as follows:</w:t>
      </w:r>
    </w:p>
    <w:p w14:paraId="6AA00B74" w14:textId="77777777" w:rsidR="00A36A5A" w:rsidRDefault="00A36A5A" w:rsidP="00A36A5A">
      <w:pPr>
        <w:tabs>
          <w:tab w:val="left" w:pos="1440"/>
          <w:tab w:val="left" w:pos="1800"/>
        </w:tabs>
        <w:spacing w:after="240"/>
        <w:ind w:left="720"/>
        <w:contextualSpacing/>
        <w:rPr>
          <w:b/>
        </w:rPr>
      </w:pPr>
      <w:r w:rsidRPr="00341696">
        <w:rPr>
          <w:b/>
          <w:iCs/>
        </w:rPr>
        <w:t xml:space="preserve">FCEOBL </w:t>
      </w:r>
      <w:r w:rsidR="008C0679">
        <w:rPr>
          <w:rFonts w:ascii="Times New Roman Bold" w:hAnsi="Times New Roman Bold"/>
          <w:i/>
          <w:iCs/>
          <w:vertAlign w:val="subscript"/>
        </w:rPr>
        <w:t>a</w:t>
      </w:r>
      <w:r w:rsidRPr="00972D5D">
        <w:rPr>
          <w:iCs/>
        </w:rPr>
        <w:t xml:space="preserve"> </w:t>
      </w:r>
      <w:r w:rsidRPr="00341696">
        <w:rPr>
          <w:iCs/>
        </w:rPr>
        <w:tab/>
      </w:r>
      <w:r w:rsidRPr="00341696">
        <w:rPr>
          <w:b/>
          <w:iCs/>
        </w:rPr>
        <w:t>=</w:t>
      </w:r>
      <w:r w:rsidRPr="00341696">
        <w:rPr>
          <w:b/>
          <w:iCs/>
        </w:rPr>
        <w:tab/>
      </w:r>
      <w:r>
        <w:t>∑</w:t>
      </w:r>
      <w:r w:rsidRPr="00D36347">
        <w:rPr>
          <w:i/>
          <w:vertAlign w:val="subscript"/>
        </w:rPr>
        <w:t>m</w:t>
      </w:r>
      <w:r w:rsidRPr="00CE5CAA">
        <w:rPr>
          <w:b/>
        </w:rPr>
        <w:t xml:space="preserve"> </w:t>
      </w:r>
      <w:r w:rsidRPr="00E551AB">
        <w:rPr>
          <w:b/>
        </w:rPr>
        <w:t>[(∑</w:t>
      </w:r>
      <w:r w:rsidRPr="00D36347">
        <w:rPr>
          <w:b/>
          <w:i/>
          <w:vertAlign w:val="subscript"/>
        </w:rPr>
        <w:t>h</w:t>
      </w:r>
      <w:r w:rsidRPr="00E551AB">
        <w:rPr>
          <w:b/>
          <w:vertAlign w:val="subscript"/>
        </w:rPr>
        <w:t xml:space="preserve"> </w:t>
      </w:r>
      <w:r w:rsidRPr="00E551AB">
        <w:rPr>
          <w:b/>
        </w:rPr>
        <w:t>∑</w:t>
      </w:r>
      <w:r w:rsidRPr="00D36347">
        <w:rPr>
          <w:b/>
          <w:i/>
          <w:vertAlign w:val="subscript"/>
        </w:rPr>
        <w:t>j, k</w:t>
      </w:r>
      <w:r w:rsidRPr="00E551AB">
        <w:rPr>
          <w:b/>
          <w:vertAlign w:val="subscript"/>
        </w:rPr>
        <w:t xml:space="preserve"> </w:t>
      </w:r>
      <w:r w:rsidRPr="00E551AB">
        <w:rPr>
          <w:b/>
        </w:rPr>
        <w:t>NAOBLMW</w:t>
      </w:r>
      <w:r>
        <w:rPr>
          <w:b/>
        </w:rPr>
        <w:t xml:space="preserve"> </w:t>
      </w:r>
      <w:r w:rsidRPr="00D36347">
        <w:rPr>
          <w:b/>
          <w:i/>
          <w:vertAlign w:val="subscript"/>
        </w:rPr>
        <w:t>m, h, (j, k)</w:t>
      </w:r>
      <w:r>
        <w:rPr>
          <w:b/>
        </w:rPr>
        <w:t>)</w:t>
      </w:r>
      <w:r w:rsidRPr="00E551AB">
        <w:rPr>
          <w:b/>
        </w:rPr>
        <w:t xml:space="preserve"> * (</w:t>
      </w:r>
      <w:r>
        <w:rPr>
          <w:b/>
        </w:rPr>
        <w:t>-M</w:t>
      </w:r>
      <w:r w:rsidRPr="00E551AB">
        <w:rPr>
          <w:b/>
        </w:rPr>
        <w:t>in</w:t>
      </w:r>
      <w:r w:rsidRPr="00AD1A26">
        <w:rPr>
          <w:b/>
        </w:rPr>
        <w:t>(0,</w:t>
      </w:r>
      <w:r w:rsidR="00D24ED8">
        <w:rPr>
          <w:b/>
        </w:rPr>
        <w:t xml:space="preserve"> </w:t>
      </w:r>
      <w:r>
        <w:rPr>
          <w:b/>
        </w:rPr>
        <w:t xml:space="preserve">PWA </w:t>
      </w:r>
      <w:r w:rsidRPr="00D36347">
        <w:rPr>
          <w:b/>
          <w:i/>
          <w:vertAlign w:val="subscript"/>
        </w:rPr>
        <w:t>ci100, m</w:t>
      </w:r>
      <w:r>
        <w:rPr>
          <w:b/>
        </w:rPr>
        <w:t>, PW</w:t>
      </w:r>
      <w:r w:rsidRPr="00E551AB">
        <w:rPr>
          <w:b/>
        </w:rPr>
        <w:t>ACP</w:t>
      </w:r>
      <w:r>
        <w:rPr>
          <w:b/>
        </w:rPr>
        <w:t xml:space="preserve"> </w:t>
      </w:r>
      <w:r w:rsidRPr="00D36347">
        <w:rPr>
          <w:b/>
          <w:i/>
          <w:vertAlign w:val="subscript"/>
        </w:rPr>
        <w:t>m</w:t>
      </w:r>
      <w:r w:rsidRPr="00E551AB">
        <w:rPr>
          <w:b/>
        </w:rPr>
        <w:t>)</w:t>
      </w:r>
      <w:r>
        <w:rPr>
          <w:b/>
        </w:rPr>
        <w:t>)</w:t>
      </w:r>
      <w:r w:rsidRPr="00E551AB">
        <w:rPr>
          <w:b/>
        </w:rPr>
        <w:t>]</w:t>
      </w:r>
    </w:p>
    <w:p w14:paraId="18E43F67" w14:textId="77777777" w:rsidR="0083787A" w:rsidRDefault="0083787A" w:rsidP="0083787A">
      <w:pPr>
        <w:tabs>
          <w:tab w:val="left" w:pos="1440"/>
          <w:tab w:val="left" w:pos="1800"/>
        </w:tabs>
        <w:spacing w:after="240"/>
        <w:ind w:left="720"/>
        <w:contextualSpacing/>
        <w:rPr>
          <w:b/>
        </w:rPr>
      </w:pPr>
    </w:p>
    <w:p w14:paraId="0761193B" w14:textId="77777777" w:rsidR="00A36A5A" w:rsidRDefault="0083787A" w:rsidP="008779D4">
      <w:pPr>
        <w:tabs>
          <w:tab w:val="left" w:pos="1440"/>
          <w:tab w:val="left" w:pos="1800"/>
        </w:tabs>
        <w:ind w:left="720"/>
        <w:contextualSpacing/>
        <w:rPr>
          <w:b/>
        </w:rPr>
      </w:pPr>
      <w:r w:rsidRPr="00920E6B">
        <w:rPr>
          <w:b/>
        </w:rPr>
        <w:t xml:space="preserve">PWACP </w:t>
      </w:r>
      <w:r w:rsidRPr="00D36347">
        <w:rPr>
          <w:b/>
          <w:i/>
          <w:vertAlign w:val="subscript"/>
        </w:rPr>
        <w:t>m</w:t>
      </w:r>
      <w:r w:rsidRPr="00920E6B">
        <w:rPr>
          <w:b/>
          <w:vertAlign w:val="subscript"/>
        </w:rPr>
        <w:t xml:space="preserve"> </w:t>
      </w:r>
      <w:r w:rsidRPr="00920E6B">
        <w:rPr>
          <w:b/>
          <w:vertAlign w:val="subscript"/>
        </w:rPr>
        <w:tab/>
      </w:r>
      <w:r w:rsidRPr="00920E6B">
        <w:rPr>
          <w:b/>
          <w:iCs/>
        </w:rPr>
        <w:t>=</w:t>
      </w:r>
      <w:r w:rsidRPr="00920E6B">
        <w:rPr>
          <w:b/>
          <w:vertAlign w:val="subscript"/>
        </w:rPr>
        <w:tab/>
      </w:r>
      <w:r w:rsidRPr="00920E6B">
        <w:rPr>
          <w:b/>
        </w:rPr>
        <w:t>∑</w:t>
      </w:r>
      <w:r w:rsidRPr="00D36347">
        <w:rPr>
          <w:b/>
          <w:i/>
          <w:vertAlign w:val="subscript"/>
        </w:rPr>
        <w:t>h</w:t>
      </w:r>
      <w:r w:rsidRPr="00920E6B">
        <w:rPr>
          <w:b/>
          <w:vertAlign w:val="subscript"/>
        </w:rPr>
        <w:t xml:space="preserve"> </w:t>
      </w:r>
      <w:r w:rsidRPr="00920E6B">
        <w:rPr>
          <w:b/>
        </w:rPr>
        <w:t>∑</w:t>
      </w:r>
      <w:r w:rsidRPr="00D36347">
        <w:rPr>
          <w:b/>
          <w:i/>
          <w:vertAlign w:val="subscript"/>
        </w:rPr>
        <w:t>j, k</w:t>
      </w:r>
      <w:r w:rsidRPr="00920E6B">
        <w:rPr>
          <w:b/>
          <w:vertAlign w:val="subscript"/>
        </w:rPr>
        <w:t xml:space="preserve"> </w:t>
      </w:r>
      <w:r w:rsidRPr="00920E6B">
        <w:rPr>
          <w:b/>
        </w:rPr>
        <w:t xml:space="preserve">[NAOBLMW </w:t>
      </w:r>
      <w:r w:rsidRPr="00D36347">
        <w:rPr>
          <w:b/>
          <w:i/>
          <w:vertAlign w:val="subscript"/>
        </w:rPr>
        <w:t>m, h, (j, k)</w:t>
      </w:r>
      <w:r w:rsidRPr="00920E6B">
        <w:rPr>
          <w:b/>
          <w:vertAlign w:val="subscript"/>
        </w:rPr>
        <w:t xml:space="preserve"> </w:t>
      </w:r>
      <w:r w:rsidRPr="00920E6B">
        <w:rPr>
          <w:b/>
        </w:rPr>
        <w:t>* EACP</w:t>
      </w:r>
      <w:r w:rsidRPr="00920E6B">
        <w:rPr>
          <w:b/>
          <w:sz w:val="20"/>
          <w:vertAlign w:val="subscript"/>
        </w:rPr>
        <w:t xml:space="preserve"> </w:t>
      </w:r>
      <w:r w:rsidRPr="00D36347">
        <w:rPr>
          <w:b/>
          <w:i/>
          <w:vertAlign w:val="subscript"/>
        </w:rPr>
        <w:t>m, h, (j, k)</w:t>
      </w:r>
      <w:r w:rsidRPr="00920E6B">
        <w:rPr>
          <w:b/>
        </w:rPr>
        <w:t>] / ∑</w:t>
      </w:r>
      <w:r w:rsidRPr="00D36347">
        <w:rPr>
          <w:b/>
          <w:i/>
          <w:vertAlign w:val="subscript"/>
        </w:rPr>
        <w:t>h</w:t>
      </w:r>
      <w:r w:rsidRPr="00920E6B">
        <w:rPr>
          <w:b/>
          <w:vertAlign w:val="subscript"/>
        </w:rPr>
        <w:t xml:space="preserve"> </w:t>
      </w:r>
      <w:r w:rsidRPr="00920E6B">
        <w:rPr>
          <w:b/>
        </w:rPr>
        <w:t>∑</w:t>
      </w:r>
      <w:r w:rsidRPr="00D36347">
        <w:rPr>
          <w:b/>
          <w:i/>
          <w:vertAlign w:val="subscript"/>
        </w:rPr>
        <w:t>j, k</w:t>
      </w:r>
      <w:r w:rsidRPr="00920E6B">
        <w:rPr>
          <w:b/>
          <w:vertAlign w:val="subscript"/>
        </w:rPr>
        <w:t xml:space="preserve"> </w:t>
      </w:r>
      <w:r w:rsidRPr="00920E6B">
        <w:rPr>
          <w:b/>
        </w:rPr>
        <w:t xml:space="preserve">[NAOBLMW </w:t>
      </w:r>
      <w:r w:rsidRPr="00D36347">
        <w:rPr>
          <w:b/>
          <w:i/>
          <w:vertAlign w:val="subscript"/>
        </w:rPr>
        <w:t>m, h, (j, k)</w:t>
      </w:r>
      <w:r w:rsidRPr="00920E6B">
        <w:rPr>
          <w:b/>
        </w:rPr>
        <w:t>]</w:t>
      </w:r>
    </w:p>
    <w:p w14:paraId="33119280" w14:textId="77777777" w:rsidR="008779D4" w:rsidRPr="00341696" w:rsidRDefault="008779D4" w:rsidP="008779D4">
      <w:pPr>
        <w:tabs>
          <w:tab w:val="left" w:pos="1440"/>
          <w:tab w:val="left" w:pos="1800"/>
        </w:tabs>
        <w:ind w:left="720"/>
        <w:contextualSpacing/>
        <w:rPr>
          <w:b/>
          <w:iCs/>
        </w:rPr>
      </w:pPr>
    </w:p>
    <w:p w14:paraId="442DF677" w14:textId="77777777" w:rsidR="00A36A5A" w:rsidRPr="00341696" w:rsidRDefault="00A36A5A" w:rsidP="008779D4">
      <w:pPr>
        <w:keepNext/>
        <w:rPr>
          <w:iCs/>
        </w:rPr>
      </w:pPr>
      <w:r w:rsidRPr="00341696">
        <w:rPr>
          <w:iCs/>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7"/>
        <w:gridCol w:w="739"/>
        <w:gridCol w:w="6574"/>
      </w:tblGrid>
      <w:tr w:rsidR="00A36A5A" w:rsidRPr="00341696" w14:paraId="4FF95375" w14:textId="77777777" w:rsidTr="00E00BA1">
        <w:trPr>
          <w:cantSplit/>
          <w:trHeight w:val="351"/>
          <w:tblHeader/>
        </w:trPr>
        <w:tc>
          <w:tcPr>
            <w:tcW w:w="2069" w:type="dxa"/>
          </w:tcPr>
          <w:p w14:paraId="32551563" w14:textId="77777777" w:rsidR="00A36A5A" w:rsidRPr="00341696" w:rsidRDefault="00A36A5A" w:rsidP="00077067">
            <w:pPr>
              <w:spacing w:after="120"/>
              <w:rPr>
                <w:b/>
                <w:iCs/>
                <w:sz w:val="20"/>
              </w:rPr>
            </w:pPr>
            <w:r w:rsidRPr="00341696">
              <w:rPr>
                <w:b/>
                <w:iCs/>
                <w:sz w:val="20"/>
              </w:rPr>
              <w:t>Variable</w:t>
            </w:r>
          </w:p>
        </w:tc>
        <w:tc>
          <w:tcPr>
            <w:tcW w:w="739" w:type="dxa"/>
          </w:tcPr>
          <w:p w14:paraId="05224EDC" w14:textId="77777777" w:rsidR="00A36A5A" w:rsidRPr="00341696" w:rsidRDefault="00A36A5A" w:rsidP="00077067">
            <w:pPr>
              <w:spacing w:after="120"/>
              <w:rPr>
                <w:b/>
                <w:iCs/>
                <w:sz w:val="20"/>
              </w:rPr>
            </w:pPr>
            <w:r w:rsidRPr="00341696">
              <w:rPr>
                <w:b/>
                <w:iCs/>
                <w:sz w:val="20"/>
              </w:rPr>
              <w:t>Unit</w:t>
            </w:r>
          </w:p>
        </w:tc>
        <w:tc>
          <w:tcPr>
            <w:tcW w:w="6768" w:type="dxa"/>
          </w:tcPr>
          <w:p w14:paraId="103803E0" w14:textId="77777777" w:rsidR="00A36A5A" w:rsidRPr="00341696" w:rsidRDefault="00A36A5A" w:rsidP="00077067">
            <w:pPr>
              <w:spacing w:after="120"/>
              <w:rPr>
                <w:b/>
                <w:iCs/>
                <w:sz w:val="20"/>
              </w:rPr>
            </w:pPr>
            <w:r w:rsidRPr="00341696">
              <w:rPr>
                <w:b/>
                <w:iCs/>
                <w:sz w:val="20"/>
              </w:rPr>
              <w:t>Description</w:t>
            </w:r>
          </w:p>
        </w:tc>
      </w:tr>
      <w:tr w:rsidR="00A36A5A" w:rsidRPr="00341696" w14:paraId="30BEC859" w14:textId="77777777" w:rsidTr="00E00BA1">
        <w:trPr>
          <w:cantSplit/>
          <w:trHeight w:val="519"/>
        </w:trPr>
        <w:tc>
          <w:tcPr>
            <w:tcW w:w="2069" w:type="dxa"/>
          </w:tcPr>
          <w:p w14:paraId="2B039A5A" w14:textId="77777777" w:rsidR="00A36A5A" w:rsidRPr="00341696" w:rsidRDefault="00A36A5A" w:rsidP="008C0679">
            <w:pPr>
              <w:spacing w:after="60"/>
              <w:rPr>
                <w:iCs/>
                <w:sz w:val="20"/>
              </w:rPr>
            </w:pPr>
            <w:r w:rsidRPr="00341696">
              <w:rPr>
                <w:iCs/>
                <w:sz w:val="20"/>
              </w:rPr>
              <w:t xml:space="preserve">FCEOBL </w:t>
            </w:r>
            <w:r w:rsidR="008C0679">
              <w:rPr>
                <w:i/>
                <w:iCs/>
                <w:sz w:val="20"/>
                <w:vertAlign w:val="subscript"/>
              </w:rPr>
              <w:t>a</w:t>
            </w:r>
          </w:p>
        </w:tc>
        <w:tc>
          <w:tcPr>
            <w:tcW w:w="739" w:type="dxa"/>
          </w:tcPr>
          <w:p w14:paraId="44454949" w14:textId="77777777" w:rsidR="00A36A5A" w:rsidRPr="00341696" w:rsidRDefault="00A36A5A" w:rsidP="00077067">
            <w:pPr>
              <w:spacing w:after="60"/>
              <w:rPr>
                <w:iCs/>
                <w:sz w:val="20"/>
              </w:rPr>
            </w:pPr>
            <w:r w:rsidRPr="00341696">
              <w:rPr>
                <w:iCs/>
                <w:sz w:val="20"/>
              </w:rPr>
              <w:t>$</w:t>
            </w:r>
          </w:p>
        </w:tc>
        <w:tc>
          <w:tcPr>
            <w:tcW w:w="6768" w:type="dxa"/>
          </w:tcPr>
          <w:p w14:paraId="31194026" w14:textId="77777777" w:rsidR="00A36A5A" w:rsidRPr="00341696" w:rsidRDefault="00A36A5A" w:rsidP="008C0679">
            <w:pPr>
              <w:spacing w:after="60"/>
              <w:rPr>
                <w:iCs/>
                <w:sz w:val="20"/>
              </w:rPr>
            </w:pPr>
            <w:r w:rsidRPr="00341696">
              <w:rPr>
                <w:i/>
                <w:iCs/>
                <w:sz w:val="20"/>
              </w:rPr>
              <w:t>Future Credit Exposure for PTP Obligations</w:t>
            </w:r>
            <w:r w:rsidRPr="00341696">
              <w:rPr>
                <w:iCs/>
                <w:sz w:val="20"/>
              </w:rPr>
              <w:t xml:space="preserve"> for all PTP Obligations held by </w:t>
            </w:r>
            <w:r w:rsidR="008C0679" w:rsidRPr="00545E0B">
              <w:rPr>
                <w:sz w:val="20"/>
              </w:rPr>
              <w:t>all CRR Account Holders represented by</w:t>
            </w:r>
            <w:r w:rsidR="008C0679">
              <w:t xml:space="preserve"> </w:t>
            </w:r>
            <w:r w:rsidRPr="00341696">
              <w:rPr>
                <w:iCs/>
                <w:sz w:val="20"/>
              </w:rPr>
              <w:t xml:space="preserve">the Counter-Party as </w:t>
            </w:r>
            <w:r>
              <w:rPr>
                <w:iCs/>
                <w:sz w:val="20"/>
              </w:rPr>
              <w:t>CRR O</w:t>
            </w:r>
            <w:r w:rsidRPr="00341696">
              <w:rPr>
                <w:iCs/>
                <w:sz w:val="20"/>
              </w:rPr>
              <w:t>wner</w:t>
            </w:r>
            <w:r w:rsidRPr="00341696">
              <w:rPr>
                <w:i/>
                <w:iCs/>
                <w:sz w:val="20"/>
              </w:rPr>
              <w:t xml:space="preserve"> </w:t>
            </w:r>
            <w:r w:rsidRPr="00341696">
              <w:rPr>
                <w:iCs/>
                <w:sz w:val="20"/>
              </w:rPr>
              <w:t xml:space="preserve">of record at ERCOT for all Operating Days </w:t>
            </w:r>
            <w:r>
              <w:rPr>
                <w:iCs/>
                <w:sz w:val="20"/>
              </w:rPr>
              <w:t>in the current operating month, Prompt Month, and all Forward Months</w:t>
            </w:r>
            <w:r w:rsidRPr="00341696">
              <w:rPr>
                <w:iCs/>
                <w:sz w:val="20"/>
              </w:rPr>
              <w:t>.</w:t>
            </w:r>
          </w:p>
        </w:tc>
      </w:tr>
      <w:tr w:rsidR="00A36A5A" w:rsidRPr="00341696" w14:paraId="4B82EF2B" w14:textId="77777777" w:rsidTr="00E00BA1">
        <w:tblPrEx>
          <w:tblLook w:val="01E0" w:firstRow="1" w:lastRow="1" w:firstColumn="1" w:lastColumn="1" w:noHBand="0" w:noVBand="0"/>
        </w:tblPrEx>
        <w:trPr>
          <w:cantSplit/>
          <w:trHeight w:val="350"/>
        </w:trPr>
        <w:tc>
          <w:tcPr>
            <w:tcW w:w="2069" w:type="dxa"/>
          </w:tcPr>
          <w:p w14:paraId="2218D04E" w14:textId="77777777" w:rsidR="00A36A5A" w:rsidRPr="00341696" w:rsidRDefault="00A36A5A" w:rsidP="008C0679">
            <w:pPr>
              <w:spacing w:after="60"/>
              <w:rPr>
                <w:iCs/>
                <w:sz w:val="20"/>
              </w:rPr>
            </w:pPr>
            <w:r w:rsidRPr="000433EB">
              <w:rPr>
                <w:sz w:val="20"/>
              </w:rPr>
              <w:t>NAOBLMW</w:t>
            </w:r>
            <w:r w:rsidRPr="000433EB">
              <w:rPr>
                <w:sz w:val="20"/>
                <w:vertAlign w:val="subscript"/>
              </w:rPr>
              <w:t xml:space="preserve"> </w:t>
            </w:r>
            <w:r w:rsidRPr="00D36347">
              <w:rPr>
                <w:i/>
                <w:sz w:val="20"/>
                <w:vertAlign w:val="subscript"/>
              </w:rPr>
              <w:t>m, h, (j, k)</w:t>
            </w:r>
          </w:p>
        </w:tc>
        <w:tc>
          <w:tcPr>
            <w:tcW w:w="739" w:type="dxa"/>
          </w:tcPr>
          <w:p w14:paraId="2CFC0F3D" w14:textId="77777777" w:rsidR="00A36A5A" w:rsidRPr="00341696" w:rsidRDefault="00A36A5A" w:rsidP="00077067">
            <w:pPr>
              <w:spacing w:after="60"/>
              <w:rPr>
                <w:iCs/>
                <w:sz w:val="20"/>
              </w:rPr>
            </w:pPr>
            <w:r w:rsidRPr="000433EB">
              <w:rPr>
                <w:sz w:val="20"/>
              </w:rPr>
              <w:t>MW</w:t>
            </w:r>
          </w:p>
        </w:tc>
        <w:tc>
          <w:tcPr>
            <w:tcW w:w="6768" w:type="dxa"/>
          </w:tcPr>
          <w:p w14:paraId="5CE154E6" w14:textId="77777777" w:rsidR="00A36A5A" w:rsidRPr="00341696" w:rsidRDefault="00A36A5A" w:rsidP="008C0679">
            <w:pPr>
              <w:spacing w:after="60"/>
              <w:rPr>
                <w:iCs/>
                <w:sz w:val="20"/>
              </w:rPr>
            </w:pPr>
            <w:r w:rsidRPr="000433EB">
              <w:rPr>
                <w:i/>
                <w:sz w:val="20"/>
              </w:rPr>
              <w:t>Net Awarded PTP Obligations</w:t>
            </w:r>
            <w:r w:rsidRPr="008C1469">
              <w:rPr>
                <w:iCs/>
                <w:sz w:val="20"/>
              </w:rPr>
              <w:sym w:font="Symbol" w:char="F0BE"/>
            </w:r>
            <w:r>
              <w:rPr>
                <w:sz w:val="20"/>
              </w:rPr>
              <w:t xml:space="preserve">Net awarded PTP Obligations </w:t>
            </w:r>
            <w:r w:rsidRPr="000433EB">
              <w:rPr>
                <w:sz w:val="20"/>
              </w:rPr>
              <w:t xml:space="preserve">with the source </w:t>
            </w:r>
            <w:r w:rsidRPr="000433EB">
              <w:rPr>
                <w:i/>
                <w:sz w:val="20"/>
              </w:rPr>
              <w:t>j</w:t>
            </w:r>
            <w:r w:rsidRPr="000433EB">
              <w:rPr>
                <w:sz w:val="20"/>
              </w:rPr>
              <w:t xml:space="preserve"> and sink </w:t>
            </w:r>
            <w:r w:rsidRPr="000433EB">
              <w:rPr>
                <w:i/>
                <w:sz w:val="20"/>
              </w:rPr>
              <w:t>k</w:t>
            </w:r>
            <w:r w:rsidRPr="000433EB">
              <w:rPr>
                <w:sz w:val="20"/>
              </w:rPr>
              <w:t xml:space="preserve"> for the hour </w:t>
            </w:r>
            <w:r w:rsidRPr="000433EB">
              <w:rPr>
                <w:i/>
                <w:sz w:val="20"/>
              </w:rPr>
              <w:t>h</w:t>
            </w:r>
            <w:r w:rsidRPr="000433EB">
              <w:rPr>
                <w:sz w:val="20"/>
              </w:rPr>
              <w:t xml:space="preserve"> and month </w:t>
            </w:r>
            <w:r w:rsidRPr="000433EB">
              <w:rPr>
                <w:i/>
                <w:sz w:val="20"/>
              </w:rPr>
              <w:t>m</w:t>
            </w:r>
            <w:r w:rsidRPr="000433EB">
              <w:rPr>
                <w:sz w:val="20"/>
              </w:rPr>
              <w:t xml:space="preserve"> owned by </w:t>
            </w:r>
            <w:r w:rsidR="008C0679" w:rsidRPr="00545E0B">
              <w:rPr>
                <w:sz w:val="20"/>
              </w:rPr>
              <w:t>all CRR Account Holders represented by</w:t>
            </w:r>
            <w:r w:rsidR="008C0679">
              <w:t xml:space="preserve"> </w:t>
            </w:r>
            <w:r w:rsidRPr="000433EB">
              <w:rPr>
                <w:sz w:val="20"/>
              </w:rPr>
              <w:t xml:space="preserve">the </w:t>
            </w:r>
            <w:r>
              <w:rPr>
                <w:sz w:val="20"/>
              </w:rPr>
              <w:t xml:space="preserve">Counter-Party as </w:t>
            </w:r>
            <w:r w:rsidRPr="000433EB">
              <w:rPr>
                <w:sz w:val="20"/>
              </w:rPr>
              <w:t xml:space="preserve">CRR Owner </w:t>
            </w:r>
            <w:r>
              <w:rPr>
                <w:sz w:val="20"/>
              </w:rPr>
              <w:t>of record at ERCOT for all Operating Days in the current operating month, Prompt Month, and F</w:t>
            </w:r>
            <w:r w:rsidRPr="000433EB">
              <w:rPr>
                <w:sz w:val="20"/>
              </w:rPr>
              <w:t xml:space="preserve">orward </w:t>
            </w:r>
            <w:r>
              <w:rPr>
                <w:sz w:val="20"/>
              </w:rPr>
              <w:t>M</w:t>
            </w:r>
            <w:r w:rsidRPr="000433EB">
              <w:rPr>
                <w:sz w:val="20"/>
              </w:rPr>
              <w:t>onths</w:t>
            </w:r>
            <w:r>
              <w:rPr>
                <w:sz w:val="20"/>
              </w:rPr>
              <w:t>.</w:t>
            </w:r>
          </w:p>
        </w:tc>
      </w:tr>
      <w:tr w:rsidR="00A36A5A" w:rsidRPr="00341696" w14:paraId="29446FF6" w14:textId="77777777" w:rsidTr="00E00BA1">
        <w:tblPrEx>
          <w:tblLook w:val="01E0" w:firstRow="1" w:lastRow="1" w:firstColumn="1" w:lastColumn="1" w:noHBand="0" w:noVBand="0"/>
        </w:tblPrEx>
        <w:trPr>
          <w:cantSplit/>
          <w:trHeight w:val="350"/>
        </w:trPr>
        <w:tc>
          <w:tcPr>
            <w:tcW w:w="2069" w:type="dxa"/>
          </w:tcPr>
          <w:p w14:paraId="791E28DF" w14:textId="77777777" w:rsidR="00A36A5A" w:rsidRPr="00341696" w:rsidRDefault="00A36A5A" w:rsidP="008C0679">
            <w:pPr>
              <w:spacing w:after="60"/>
              <w:rPr>
                <w:iCs/>
                <w:sz w:val="20"/>
              </w:rPr>
            </w:pPr>
            <w:r w:rsidRPr="000433EB">
              <w:rPr>
                <w:sz w:val="20"/>
              </w:rPr>
              <w:t>PWA</w:t>
            </w:r>
            <w:r w:rsidRPr="000433EB">
              <w:rPr>
                <w:sz w:val="20"/>
                <w:vertAlign w:val="subscript"/>
              </w:rPr>
              <w:t xml:space="preserve"> </w:t>
            </w:r>
            <w:r w:rsidRPr="00D36347">
              <w:rPr>
                <w:i/>
                <w:sz w:val="20"/>
                <w:vertAlign w:val="subscript"/>
              </w:rPr>
              <w:t>ci100, m</w:t>
            </w:r>
          </w:p>
        </w:tc>
        <w:tc>
          <w:tcPr>
            <w:tcW w:w="739" w:type="dxa"/>
          </w:tcPr>
          <w:p w14:paraId="1512F491" w14:textId="77777777" w:rsidR="00A36A5A" w:rsidRPr="00341696" w:rsidRDefault="00A36A5A" w:rsidP="00077067">
            <w:pPr>
              <w:spacing w:after="60"/>
              <w:rPr>
                <w:iCs/>
                <w:sz w:val="20"/>
              </w:rPr>
            </w:pPr>
            <w:r w:rsidRPr="000433EB">
              <w:rPr>
                <w:sz w:val="20"/>
              </w:rPr>
              <w:t>$/MW per hour</w:t>
            </w:r>
          </w:p>
        </w:tc>
        <w:tc>
          <w:tcPr>
            <w:tcW w:w="6768" w:type="dxa"/>
          </w:tcPr>
          <w:p w14:paraId="133D1467" w14:textId="77777777" w:rsidR="00A36A5A" w:rsidRPr="00341696" w:rsidRDefault="00A36A5A" w:rsidP="008C0679">
            <w:pPr>
              <w:spacing w:after="60"/>
              <w:rPr>
                <w:iCs/>
                <w:sz w:val="20"/>
              </w:rPr>
            </w:pPr>
            <w:r w:rsidRPr="000433EB">
              <w:rPr>
                <w:i/>
                <w:iCs/>
                <w:sz w:val="20"/>
              </w:rPr>
              <w:t>Portfolio Weighted Adder</w:t>
            </w:r>
            <w:r w:rsidRPr="008C1469">
              <w:rPr>
                <w:iCs/>
                <w:sz w:val="20"/>
              </w:rPr>
              <w:sym w:font="Symbol" w:char="F0BE"/>
            </w:r>
            <w:r>
              <w:rPr>
                <w:iCs/>
                <w:sz w:val="20"/>
              </w:rPr>
              <w:t xml:space="preserve">The portfolio weighted adder </w:t>
            </w:r>
            <w:r w:rsidRPr="000433EB">
              <w:rPr>
                <w:sz w:val="20"/>
              </w:rPr>
              <w:t>calculated as the 100</w:t>
            </w:r>
            <w:r w:rsidRPr="000433EB">
              <w:rPr>
                <w:sz w:val="20"/>
                <w:vertAlign w:val="superscript"/>
              </w:rPr>
              <w:t>th</w:t>
            </w:r>
            <w:r w:rsidRPr="000433EB">
              <w:rPr>
                <w:sz w:val="20"/>
              </w:rPr>
              <w:t xml:space="preserve"> percentile of a volume weighted average rolling consecutive DAM settled price for </w:t>
            </w:r>
            <w:r w:rsidR="008C0679" w:rsidRPr="00CF238E">
              <w:rPr>
                <w:sz w:val="20"/>
              </w:rPr>
              <w:t>all CRR Account Holders represented by</w:t>
            </w:r>
            <w:r w:rsidR="008C0679">
              <w:t xml:space="preserve"> </w:t>
            </w:r>
            <w:r w:rsidR="008C0679">
              <w:rPr>
                <w:sz w:val="20"/>
              </w:rPr>
              <w:t>the</w:t>
            </w:r>
            <w:r w:rsidRPr="000433EB">
              <w:rPr>
                <w:sz w:val="20"/>
              </w:rPr>
              <w:t xml:space="preserve"> </w:t>
            </w:r>
            <w:r>
              <w:rPr>
                <w:sz w:val="20"/>
              </w:rPr>
              <w:t xml:space="preserve">Counter-Party as </w:t>
            </w:r>
            <w:r w:rsidRPr="000433EB">
              <w:rPr>
                <w:sz w:val="20"/>
              </w:rPr>
              <w:t xml:space="preserve">CRR Owner </w:t>
            </w:r>
            <w:r>
              <w:rPr>
                <w:sz w:val="20"/>
              </w:rPr>
              <w:t xml:space="preserve">of record at ERCOT </w:t>
            </w:r>
            <w:r w:rsidRPr="000433EB">
              <w:rPr>
                <w:sz w:val="20"/>
              </w:rPr>
              <w:t>based on volumes owned for the month</w:t>
            </w:r>
            <w:r w:rsidRPr="000433EB">
              <w:rPr>
                <w:i/>
                <w:sz w:val="20"/>
              </w:rPr>
              <w:t xml:space="preserve"> m</w:t>
            </w:r>
            <w:r w:rsidRPr="000433EB">
              <w:rPr>
                <w:sz w:val="20"/>
              </w:rPr>
              <w:t>, over a period that represents a month for each product type (18</w:t>
            </w:r>
            <w:r>
              <w:rPr>
                <w:sz w:val="20"/>
              </w:rPr>
              <w:t xml:space="preserve"> </w:t>
            </w:r>
            <w:r w:rsidRPr="000433EB">
              <w:rPr>
                <w:sz w:val="20"/>
              </w:rPr>
              <w:t>days for 5*16, 8 days for 2*16, 28 days for 7*8</w:t>
            </w:r>
            <w:r>
              <w:rPr>
                <w:sz w:val="20"/>
              </w:rPr>
              <w:t xml:space="preserve">).  The look-back period for DAM settled prices shall be the lesser of January 1, 2011 to the current time, and the current time minus three years.  </w:t>
            </w:r>
            <w:r w:rsidRPr="00AA4725">
              <w:rPr>
                <w:bCs/>
                <w:iCs/>
                <w:sz w:val="20"/>
              </w:rPr>
              <w:t xml:space="preserve">If historical </w:t>
            </w:r>
            <w:r w:rsidR="00D24ED8">
              <w:rPr>
                <w:bCs/>
                <w:iCs/>
                <w:sz w:val="20"/>
              </w:rPr>
              <w:t>Day-Ahead Settlement Point Prices (</w:t>
            </w:r>
            <w:r>
              <w:rPr>
                <w:bCs/>
                <w:iCs/>
                <w:sz w:val="20"/>
              </w:rPr>
              <w:t>DASPP</w:t>
            </w:r>
            <w:r w:rsidRPr="00AA4725">
              <w:rPr>
                <w:bCs/>
                <w:iCs/>
                <w:sz w:val="20"/>
              </w:rPr>
              <w:t>s</w:t>
            </w:r>
            <w:r w:rsidR="00D24ED8">
              <w:rPr>
                <w:bCs/>
                <w:iCs/>
                <w:sz w:val="20"/>
              </w:rPr>
              <w:t>)</w:t>
            </w:r>
            <w:r w:rsidRPr="00AA4725">
              <w:rPr>
                <w:bCs/>
                <w:iCs/>
                <w:sz w:val="20"/>
              </w:rPr>
              <w:t xml:space="preserve"> are not available for a Settlement Point for one or more Operating Days, ERCOT will designate a proxy Settlement Point for this purpose, and the </w:t>
            </w:r>
            <w:r>
              <w:rPr>
                <w:bCs/>
                <w:iCs/>
                <w:sz w:val="20"/>
              </w:rPr>
              <w:t>DASPP</w:t>
            </w:r>
            <w:r w:rsidRPr="00AA4725">
              <w:rPr>
                <w:bCs/>
                <w:iCs/>
                <w:sz w:val="20"/>
              </w:rPr>
              <w:t>s of the proxy Settlement Point of corresponding Operating Days are used</w:t>
            </w:r>
            <w:r>
              <w:rPr>
                <w:bCs/>
                <w:iCs/>
                <w:sz w:val="20"/>
              </w:rPr>
              <w:t>.</w:t>
            </w:r>
            <w:r>
              <w:rPr>
                <w:sz w:val="20"/>
              </w:rPr>
              <w:t xml:space="preserve"> </w:t>
            </w:r>
            <w:r w:rsidRPr="000433EB">
              <w:rPr>
                <w:sz w:val="20"/>
              </w:rPr>
              <w:t xml:space="preserve"> </w:t>
            </w:r>
          </w:p>
        </w:tc>
      </w:tr>
      <w:tr w:rsidR="00A36A5A" w:rsidRPr="00341696" w14:paraId="3FB83E4E" w14:textId="77777777" w:rsidTr="00E00BA1">
        <w:tblPrEx>
          <w:tblLook w:val="01E0" w:firstRow="1" w:lastRow="1" w:firstColumn="1" w:lastColumn="1" w:noHBand="0" w:noVBand="0"/>
        </w:tblPrEx>
        <w:trPr>
          <w:cantSplit/>
          <w:trHeight w:val="350"/>
        </w:trPr>
        <w:tc>
          <w:tcPr>
            <w:tcW w:w="2069" w:type="dxa"/>
          </w:tcPr>
          <w:p w14:paraId="41880137" w14:textId="77777777" w:rsidR="00A36A5A" w:rsidRPr="00341696" w:rsidRDefault="00A36A5A" w:rsidP="008C0679">
            <w:pPr>
              <w:spacing w:after="60"/>
              <w:rPr>
                <w:iCs/>
                <w:sz w:val="20"/>
              </w:rPr>
            </w:pPr>
            <w:r w:rsidRPr="000433EB">
              <w:rPr>
                <w:sz w:val="20"/>
              </w:rPr>
              <w:t xml:space="preserve">PWACP </w:t>
            </w:r>
            <w:r w:rsidRPr="00D36347">
              <w:rPr>
                <w:i/>
                <w:sz w:val="20"/>
                <w:vertAlign w:val="subscript"/>
              </w:rPr>
              <w:t>m</w:t>
            </w:r>
          </w:p>
        </w:tc>
        <w:tc>
          <w:tcPr>
            <w:tcW w:w="739" w:type="dxa"/>
          </w:tcPr>
          <w:p w14:paraId="19A37473" w14:textId="77777777" w:rsidR="00A36A5A" w:rsidRPr="00341696" w:rsidRDefault="00A36A5A" w:rsidP="00077067">
            <w:pPr>
              <w:spacing w:after="60"/>
              <w:rPr>
                <w:iCs/>
                <w:sz w:val="20"/>
              </w:rPr>
            </w:pPr>
            <w:r w:rsidRPr="000433EB">
              <w:rPr>
                <w:sz w:val="20"/>
              </w:rPr>
              <w:t>$/MW per hour</w:t>
            </w:r>
          </w:p>
        </w:tc>
        <w:tc>
          <w:tcPr>
            <w:tcW w:w="6768" w:type="dxa"/>
          </w:tcPr>
          <w:p w14:paraId="2EB70E9C" w14:textId="77777777" w:rsidR="00A36A5A" w:rsidRPr="00341696" w:rsidRDefault="00A36A5A" w:rsidP="008C0679">
            <w:pPr>
              <w:spacing w:after="60"/>
              <w:rPr>
                <w:iCs/>
                <w:sz w:val="20"/>
              </w:rPr>
            </w:pPr>
            <w:r w:rsidRPr="000433EB">
              <w:rPr>
                <w:i/>
                <w:sz w:val="20"/>
              </w:rPr>
              <w:t>Portfolio Weighted Auction Clearing Price</w:t>
            </w:r>
            <w:r w:rsidRPr="008C1469">
              <w:rPr>
                <w:iCs/>
                <w:sz w:val="20"/>
              </w:rPr>
              <w:sym w:font="Symbol" w:char="F0BE"/>
            </w:r>
            <w:r>
              <w:rPr>
                <w:sz w:val="20"/>
              </w:rPr>
              <w:t xml:space="preserve">The portfolio weighted auction clearing price </w:t>
            </w:r>
            <w:r w:rsidRPr="000433EB">
              <w:rPr>
                <w:sz w:val="20"/>
              </w:rPr>
              <w:t xml:space="preserve">calculated as the volume weighted auction clearing price for </w:t>
            </w:r>
            <w:r w:rsidR="008C0679" w:rsidRPr="00CF238E">
              <w:rPr>
                <w:sz w:val="20"/>
              </w:rPr>
              <w:t>all CRR Account Holders represented by</w:t>
            </w:r>
            <w:r w:rsidR="008C0679">
              <w:rPr>
                <w:sz w:val="20"/>
              </w:rPr>
              <w:t xml:space="preserve"> </w:t>
            </w:r>
            <w:r w:rsidR="008C0679" w:rsidRPr="00545E0B">
              <w:rPr>
                <w:sz w:val="20"/>
              </w:rPr>
              <w:t>the</w:t>
            </w:r>
            <w:r w:rsidRPr="000433EB">
              <w:rPr>
                <w:sz w:val="20"/>
              </w:rPr>
              <w:t xml:space="preserve"> </w:t>
            </w:r>
            <w:r>
              <w:rPr>
                <w:sz w:val="20"/>
              </w:rPr>
              <w:t>Counter-Party as CRR Owner</w:t>
            </w:r>
            <w:r w:rsidRPr="000433EB">
              <w:rPr>
                <w:sz w:val="20"/>
              </w:rPr>
              <w:t xml:space="preserve"> </w:t>
            </w:r>
            <w:r>
              <w:rPr>
                <w:sz w:val="20"/>
              </w:rPr>
              <w:t xml:space="preserve">of record at ERCOT </w:t>
            </w:r>
            <w:r w:rsidRPr="000433EB">
              <w:rPr>
                <w:sz w:val="20"/>
              </w:rPr>
              <w:t xml:space="preserve">based on the most recent </w:t>
            </w:r>
            <w:r>
              <w:rPr>
                <w:sz w:val="20"/>
              </w:rPr>
              <w:t>a</w:t>
            </w:r>
            <w:r w:rsidRPr="000433EB">
              <w:rPr>
                <w:sz w:val="20"/>
              </w:rPr>
              <w:t xml:space="preserve">uction </w:t>
            </w:r>
            <w:r>
              <w:rPr>
                <w:sz w:val="20"/>
              </w:rPr>
              <w:t>c</w:t>
            </w:r>
            <w:r w:rsidRPr="000433EB">
              <w:rPr>
                <w:sz w:val="20"/>
              </w:rPr>
              <w:t>learing price for the month</w:t>
            </w:r>
            <w:r w:rsidRPr="000433EB">
              <w:rPr>
                <w:i/>
                <w:sz w:val="20"/>
              </w:rPr>
              <w:t xml:space="preserve"> m </w:t>
            </w:r>
            <w:r w:rsidRPr="000433EB">
              <w:rPr>
                <w:sz w:val="20"/>
              </w:rPr>
              <w:t>and volumes owned for the month</w:t>
            </w:r>
            <w:r w:rsidRPr="000433EB">
              <w:rPr>
                <w:i/>
                <w:sz w:val="20"/>
              </w:rPr>
              <w:t xml:space="preserve"> m</w:t>
            </w:r>
            <w:r>
              <w:rPr>
                <w:i/>
                <w:sz w:val="20"/>
              </w:rPr>
              <w:t>.</w:t>
            </w:r>
            <w:r w:rsidRPr="000433EB">
              <w:rPr>
                <w:sz w:val="20"/>
              </w:rPr>
              <w:t xml:space="preserve"> </w:t>
            </w:r>
          </w:p>
        </w:tc>
      </w:tr>
      <w:tr w:rsidR="0083787A" w:rsidRPr="00341696" w14:paraId="3F468DAE" w14:textId="77777777" w:rsidTr="00E00BA1">
        <w:tblPrEx>
          <w:tblLook w:val="01E0" w:firstRow="1" w:lastRow="1" w:firstColumn="1" w:lastColumn="1" w:noHBand="0" w:noVBand="0"/>
        </w:tblPrEx>
        <w:trPr>
          <w:cantSplit/>
          <w:trHeight w:val="350"/>
        </w:trPr>
        <w:tc>
          <w:tcPr>
            <w:tcW w:w="2069" w:type="dxa"/>
          </w:tcPr>
          <w:p w14:paraId="1A3B02B1" w14:textId="77777777" w:rsidR="0083787A" w:rsidRPr="00341696" w:rsidRDefault="0083787A" w:rsidP="00077067">
            <w:pPr>
              <w:spacing w:after="60"/>
              <w:rPr>
                <w:iCs/>
                <w:sz w:val="20"/>
              </w:rPr>
            </w:pPr>
            <w:r w:rsidRPr="00920E6B">
              <w:rPr>
                <w:sz w:val="20"/>
              </w:rPr>
              <w:t>EACP</w:t>
            </w:r>
            <w:r w:rsidRPr="00920E6B">
              <w:rPr>
                <w:sz w:val="20"/>
                <w:vertAlign w:val="subscript"/>
              </w:rPr>
              <w:t xml:space="preserve"> </w:t>
            </w:r>
            <w:r w:rsidRPr="00D36347">
              <w:rPr>
                <w:i/>
                <w:sz w:val="20"/>
                <w:vertAlign w:val="subscript"/>
              </w:rPr>
              <w:t>m, h, (j, k)</w:t>
            </w:r>
          </w:p>
        </w:tc>
        <w:tc>
          <w:tcPr>
            <w:tcW w:w="739" w:type="dxa"/>
          </w:tcPr>
          <w:p w14:paraId="64E2F74C" w14:textId="77777777" w:rsidR="0083787A" w:rsidRPr="00341696" w:rsidRDefault="0083787A" w:rsidP="00077067">
            <w:pPr>
              <w:spacing w:after="60"/>
              <w:rPr>
                <w:iCs/>
                <w:sz w:val="20"/>
              </w:rPr>
            </w:pPr>
            <w:r w:rsidRPr="00920E6B">
              <w:rPr>
                <w:sz w:val="20"/>
              </w:rPr>
              <w:t>$/MW per hour</w:t>
            </w:r>
          </w:p>
        </w:tc>
        <w:tc>
          <w:tcPr>
            <w:tcW w:w="6768" w:type="dxa"/>
          </w:tcPr>
          <w:p w14:paraId="723604E2" w14:textId="77777777" w:rsidR="0083787A" w:rsidRPr="00920E6B" w:rsidRDefault="0083787A" w:rsidP="0083787A">
            <w:pPr>
              <w:pStyle w:val="List"/>
              <w:spacing w:after="60"/>
              <w:ind w:left="0" w:firstLine="0"/>
              <w:rPr>
                <w:sz w:val="20"/>
              </w:rPr>
            </w:pPr>
            <w:r w:rsidRPr="00920E6B">
              <w:rPr>
                <w:i/>
                <w:sz w:val="20"/>
              </w:rPr>
              <w:t>Effective Auction Clearing Price</w:t>
            </w:r>
            <w:r w:rsidRPr="00920E6B">
              <w:rPr>
                <w:iCs/>
                <w:sz w:val="20"/>
              </w:rPr>
              <w:t>—</w:t>
            </w:r>
            <w:r>
              <w:rPr>
                <w:iCs/>
                <w:sz w:val="20"/>
              </w:rPr>
              <w:t xml:space="preserve"> </w:t>
            </w:r>
            <w:r w:rsidRPr="00920E6B">
              <w:rPr>
                <w:sz w:val="20"/>
              </w:rPr>
              <w:t xml:space="preserve">The auction clearing price with the source </w:t>
            </w:r>
            <w:r w:rsidRPr="00920E6B">
              <w:rPr>
                <w:i/>
                <w:sz w:val="20"/>
              </w:rPr>
              <w:t>j</w:t>
            </w:r>
            <w:r w:rsidRPr="00920E6B">
              <w:rPr>
                <w:sz w:val="20"/>
              </w:rPr>
              <w:t xml:space="preserve"> and sink </w:t>
            </w:r>
            <w:r w:rsidRPr="00920E6B">
              <w:rPr>
                <w:i/>
                <w:sz w:val="20"/>
              </w:rPr>
              <w:t>k</w:t>
            </w:r>
            <w:r w:rsidRPr="00920E6B">
              <w:rPr>
                <w:sz w:val="20"/>
              </w:rPr>
              <w:t xml:space="preserve"> for the hour</w:t>
            </w:r>
            <w:r w:rsidRPr="00920E6B">
              <w:rPr>
                <w:i/>
                <w:sz w:val="20"/>
              </w:rPr>
              <w:t xml:space="preserve"> h, </w:t>
            </w:r>
            <w:r w:rsidRPr="00920E6B">
              <w:rPr>
                <w:sz w:val="20"/>
              </w:rPr>
              <w:t>and month</w:t>
            </w:r>
            <w:r w:rsidRPr="00920E6B">
              <w:rPr>
                <w:i/>
                <w:sz w:val="20"/>
              </w:rPr>
              <w:t xml:space="preserve"> m</w:t>
            </w:r>
            <w:r w:rsidRPr="00920E6B">
              <w:rPr>
                <w:sz w:val="20"/>
              </w:rPr>
              <w:t xml:space="preserve">. </w:t>
            </w:r>
          </w:p>
          <w:p w14:paraId="1D664FFC" w14:textId="77777777" w:rsidR="0083787A" w:rsidRPr="00920E6B" w:rsidRDefault="0083787A" w:rsidP="0083787A">
            <w:pPr>
              <w:pStyle w:val="List"/>
              <w:spacing w:after="60"/>
              <w:ind w:left="0" w:firstLine="0"/>
              <w:rPr>
                <w:sz w:val="20"/>
              </w:rPr>
            </w:pPr>
            <w:r w:rsidRPr="00920E6B">
              <w:rPr>
                <w:sz w:val="20"/>
              </w:rPr>
              <w:t xml:space="preserve">For each CRR PTP Obligation, this value is equal to the </w:t>
            </w:r>
            <w:r w:rsidR="008779D4">
              <w:rPr>
                <w:sz w:val="20"/>
              </w:rPr>
              <w:t>a</w:t>
            </w:r>
            <w:r w:rsidRPr="00920E6B">
              <w:rPr>
                <w:sz w:val="20"/>
              </w:rPr>
              <w:t xml:space="preserve">uction </w:t>
            </w:r>
            <w:r w:rsidR="008779D4">
              <w:rPr>
                <w:sz w:val="20"/>
              </w:rPr>
              <w:t>c</w:t>
            </w:r>
            <w:r w:rsidRPr="00920E6B">
              <w:rPr>
                <w:sz w:val="20"/>
              </w:rPr>
              <w:t xml:space="preserve">learing </w:t>
            </w:r>
            <w:r w:rsidR="008779D4">
              <w:rPr>
                <w:sz w:val="20"/>
              </w:rPr>
              <w:t>p</w:t>
            </w:r>
            <w:r w:rsidRPr="00920E6B">
              <w:rPr>
                <w:sz w:val="20"/>
              </w:rPr>
              <w:t xml:space="preserve">rice of an awarded CRR selected as follows: </w:t>
            </w:r>
          </w:p>
          <w:p w14:paraId="79173004" w14:textId="77777777" w:rsidR="0083787A" w:rsidRPr="0083787A" w:rsidRDefault="0083787A" w:rsidP="0083787A">
            <w:pPr>
              <w:spacing w:after="60"/>
              <w:ind w:left="792" w:hanging="360"/>
              <w:rPr>
                <w:sz w:val="20"/>
              </w:rPr>
            </w:pPr>
            <w:r w:rsidRPr="0083787A">
              <w:rPr>
                <w:sz w:val="20"/>
              </w:rPr>
              <w:t>(a)</w:t>
            </w:r>
            <w:r w:rsidRPr="0083787A">
              <w:rPr>
                <w:sz w:val="20"/>
              </w:rPr>
              <w:tab/>
              <w:t xml:space="preserve">Awarded CRRs with the source </w:t>
            </w:r>
            <w:r w:rsidRPr="0083787A">
              <w:rPr>
                <w:i/>
                <w:sz w:val="20"/>
              </w:rPr>
              <w:t>j</w:t>
            </w:r>
            <w:r w:rsidRPr="0083787A">
              <w:rPr>
                <w:sz w:val="20"/>
              </w:rPr>
              <w:t xml:space="preserve"> and sink </w:t>
            </w:r>
            <w:r w:rsidRPr="0083787A">
              <w:rPr>
                <w:i/>
                <w:sz w:val="20"/>
              </w:rPr>
              <w:t>k</w:t>
            </w:r>
            <w:r w:rsidRPr="0083787A">
              <w:rPr>
                <w:sz w:val="20"/>
              </w:rPr>
              <w:t xml:space="preserve"> containing hour </w:t>
            </w:r>
            <w:r w:rsidRPr="0083787A">
              <w:rPr>
                <w:i/>
                <w:sz w:val="20"/>
              </w:rPr>
              <w:t>h</w:t>
            </w:r>
            <w:r w:rsidRPr="0083787A">
              <w:rPr>
                <w:sz w:val="20"/>
              </w:rPr>
              <w:t xml:space="preserve"> and operating month </w:t>
            </w:r>
            <w:r w:rsidRPr="0083787A">
              <w:rPr>
                <w:i/>
                <w:sz w:val="20"/>
              </w:rPr>
              <w:t xml:space="preserve">m </w:t>
            </w:r>
            <w:r w:rsidRPr="0083787A">
              <w:rPr>
                <w:sz w:val="20"/>
              </w:rPr>
              <w:t>are selected from the set of unexpired awarded PTP Obligations.  If no awarded CRRs are found the EACP value is zero.</w:t>
            </w:r>
          </w:p>
          <w:p w14:paraId="0999EF82" w14:textId="77777777" w:rsidR="0083787A" w:rsidRPr="0083787A" w:rsidRDefault="0083787A" w:rsidP="0083787A">
            <w:pPr>
              <w:spacing w:after="60"/>
              <w:ind w:left="792" w:hanging="360"/>
              <w:rPr>
                <w:sz w:val="20"/>
              </w:rPr>
            </w:pPr>
            <w:r w:rsidRPr="0083787A">
              <w:rPr>
                <w:sz w:val="20"/>
              </w:rPr>
              <w:t>(b)</w:t>
            </w:r>
            <w:r w:rsidRPr="0083787A">
              <w:rPr>
                <w:sz w:val="20"/>
              </w:rPr>
              <w:tab/>
              <w:t>If (a) results in more than one awarded CRR, awarded CRRs with the most recent award date are selected.</w:t>
            </w:r>
          </w:p>
          <w:p w14:paraId="718610FC" w14:textId="77777777" w:rsidR="0083787A" w:rsidRPr="00341696" w:rsidRDefault="0083787A" w:rsidP="008779D4">
            <w:pPr>
              <w:spacing w:after="60"/>
              <w:ind w:left="792" w:hanging="360"/>
              <w:rPr>
                <w:iCs/>
                <w:sz w:val="20"/>
              </w:rPr>
            </w:pPr>
            <w:r w:rsidRPr="0083787A">
              <w:rPr>
                <w:sz w:val="20"/>
              </w:rPr>
              <w:t>(c)</w:t>
            </w:r>
            <w:r w:rsidRPr="0083787A">
              <w:rPr>
                <w:sz w:val="20"/>
              </w:rPr>
              <w:tab/>
              <w:t xml:space="preserve">If (b) results in more than one awarded CRR, then the awarded CRR with the lowest </w:t>
            </w:r>
            <w:r w:rsidR="008779D4">
              <w:rPr>
                <w:sz w:val="20"/>
              </w:rPr>
              <w:t>a</w:t>
            </w:r>
            <w:r w:rsidRPr="0083787A">
              <w:rPr>
                <w:sz w:val="20"/>
              </w:rPr>
              <w:t xml:space="preserve">uction </w:t>
            </w:r>
            <w:r w:rsidR="008779D4">
              <w:rPr>
                <w:sz w:val="20"/>
              </w:rPr>
              <w:t>c</w:t>
            </w:r>
            <w:r w:rsidRPr="0083787A">
              <w:rPr>
                <w:sz w:val="20"/>
              </w:rPr>
              <w:t xml:space="preserve">learing </w:t>
            </w:r>
            <w:r w:rsidR="008779D4">
              <w:rPr>
                <w:sz w:val="20"/>
              </w:rPr>
              <w:t>p</w:t>
            </w:r>
            <w:r w:rsidRPr="0083787A">
              <w:rPr>
                <w:sz w:val="20"/>
              </w:rPr>
              <w:t>rice</w:t>
            </w:r>
            <w:r w:rsidRPr="007A2782">
              <w:rPr>
                <w:sz w:val="20"/>
              </w:rPr>
              <w:t xml:space="preserve"> </w:t>
            </w:r>
            <w:r w:rsidRPr="008E3E19">
              <w:rPr>
                <w:sz w:val="20"/>
              </w:rPr>
              <w:t>is selected.</w:t>
            </w:r>
          </w:p>
        </w:tc>
      </w:tr>
      <w:tr w:rsidR="00A36A5A" w:rsidRPr="00341696" w14:paraId="7419A9F6" w14:textId="77777777" w:rsidTr="00E00BA1">
        <w:tblPrEx>
          <w:tblLook w:val="01E0" w:firstRow="1" w:lastRow="1" w:firstColumn="1" w:lastColumn="1" w:noHBand="0" w:noVBand="0"/>
        </w:tblPrEx>
        <w:trPr>
          <w:cantSplit/>
          <w:trHeight w:val="350"/>
        </w:trPr>
        <w:tc>
          <w:tcPr>
            <w:tcW w:w="2069" w:type="dxa"/>
          </w:tcPr>
          <w:p w14:paraId="10B6290D" w14:textId="77777777" w:rsidR="00A36A5A" w:rsidRPr="00D36347" w:rsidRDefault="00A36A5A" w:rsidP="00077067">
            <w:pPr>
              <w:spacing w:after="60"/>
              <w:rPr>
                <w:i/>
                <w:iCs/>
                <w:sz w:val="20"/>
              </w:rPr>
            </w:pPr>
            <w:r w:rsidRPr="00D36347">
              <w:rPr>
                <w:i/>
                <w:iCs/>
                <w:sz w:val="20"/>
              </w:rPr>
              <w:t>j</w:t>
            </w:r>
          </w:p>
        </w:tc>
        <w:tc>
          <w:tcPr>
            <w:tcW w:w="739" w:type="dxa"/>
          </w:tcPr>
          <w:p w14:paraId="37518D39" w14:textId="77777777" w:rsidR="00A36A5A" w:rsidRPr="00341696" w:rsidRDefault="00A36A5A" w:rsidP="00077067">
            <w:pPr>
              <w:spacing w:after="60"/>
              <w:rPr>
                <w:iCs/>
                <w:sz w:val="20"/>
              </w:rPr>
            </w:pPr>
            <w:r w:rsidRPr="00341696">
              <w:rPr>
                <w:iCs/>
                <w:sz w:val="20"/>
              </w:rPr>
              <w:t>none</w:t>
            </w:r>
          </w:p>
        </w:tc>
        <w:tc>
          <w:tcPr>
            <w:tcW w:w="6768" w:type="dxa"/>
          </w:tcPr>
          <w:p w14:paraId="4EA391B5" w14:textId="77777777" w:rsidR="00A36A5A" w:rsidRPr="00341696" w:rsidRDefault="00A36A5A" w:rsidP="00077067">
            <w:pPr>
              <w:spacing w:after="60"/>
              <w:rPr>
                <w:iCs/>
                <w:sz w:val="20"/>
              </w:rPr>
            </w:pPr>
            <w:r w:rsidRPr="00341696">
              <w:rPr>
                <w:iCs/>
                <w:sz w:val="20"/>
              </w:rPr>
              <w:t>A source Settlement Point</w:t>
            </w:r>
            <w:r>
              <w:rPr>
                <w:iCs/>
                <w:sz w:val="20"/>
              </w:rPr>
              <w:t>.</w:t>
            </w:r>
          </w:p>
        </w:tc>
      </w:tr>
      <w:tr w:rsidR="00A36A5A" w:rsidRPr="00341696" w14:paraId="32D8BE4A" w14:textId="77777777" w:rsidTr="00E00BA1">
        <w:tblPrEx>
          <w:tblLook w:val="01E0" w:firstRow="1" w:lastRow="1" w:firstColumn="1" w:lastColumn="1" w:noHBand="0" w:noVBand="0"/>
        </w:tblPrEx>
        <w:trPr>
          <w:cantSplit/>
          <w:trHeight w:val="350"/>
        </w:trPr>
        <w:tc>
          <w:tcPr>
            <w:tcW w:w="2069" w:type="dxa"/>
          </w:tcPr>
          <w:p w14:paraId="179A4113" w14:textId="77777777" w:rsidR="00A36A5A" w:rsidRPr="00D36347" w:rsidRDefault="00A36A5A" w:rsidP="00077067">
            <w:pPr>
              <w:spacing w:after="60"/>
              <w:rPr>
                <w:i/>
                <w:iCs/>
                <w:sz w:val="20"/>
              </w:rPr>
            </w:pPr>
            <w:r w:rsidRPr="00D36347">
              <w:rPr>
                <w:i/>
                <w:iCs/>
                <w:sz w:val="20"/>
              </w:rPr>
              <w:t>k</w:t>
            </w:r>
          </w:p>
        </w:tc>
        <w:tc>
          <w:tcPr>
            <w:tcW w:w="739" w:type="dxa"/>
          </w:tcPr>
          <w:p w14:paraId="13BF2F60" w14:textId="77777777" w:rsidR="00A36A5A" w:rsidRPr="00341696" w:rsidRDefault="00A36A5A" w:rsidP="00077067">
            <w:pPr>
              <w:spacing w:after="60"/>
              <w:rPr>
                <w:iCs/>
                <w:sz w:val="20"/>
              </w:rPr>
            </w:pPr>
            <w:r w:rsidRPr="00341696">
              <w:rPr>
                <w:iCs/>
                <w:sz w:val="20"/>
              </w:rPr>
              <w:t>none</w:t>
            </w:r>
          </w:p>
        </w:tc>
        <w:tc>
          <w:tcPr>
            <w:tcW w:w="6768" w:type="dxa"/>
          </w:tcPr>
          <w:p w14:paraId="28893591" w14:textId="77777777" w:rsidR="00A36A5A" w:rsidRPr="00341696" w:rsidRDefault="00A36A5A" w:rsidP="00077067">
            <w:pPr>
              <w:spacing w:after="60"/>
              <w:rPr>
                <w:iCs/>
                <w:sz w:val="20"/>
              </w:rPr>
            </w:pPr>
            <w:r w:rsidRPr="00341696">
              <w:rPr>
                <w:iCs/>
                <w:sz w:val="20"/>
              </w:rPr>
              <w:t>A sink Settlement Point</w:t>
            </w:r>
            <w:r>
              <w:rPr>
                <w:iCs/>
                <w:sz w:val="20"/>
              </w:rPr>
              <w:t>.</w:t>
            </w:r>
          </w:p>
        </w:tc>
      </w:tr>
      <w:tr w:rsidR="00A36A5A" w:rsidRPr="00341696" w14:paraId="2CFDEF14" w14:textId="77777777" w:rsidTr="00E00BA1">
        <w:tblPrEx>
          <w:tblLook w:val="01E0" w:firstRow="1" w:lastRow="1" w:firstColumn="1" w:lastColumn="1" w:noHBand="0" w:noVBand="0"/>
        </w:tblPrEx>
        <w:trPr>
          <w:cantSplit/>
          <w:trHeight w:val="350"/>
        </w:trPr>
        <w:tc>
          <w:tcPr>
            <w:tcW w:w="2069" w:type="dxa"/>
          </w:tcPr>
          <w:p w14:paraId="4008E2B7" w14:textId="77777777" w:rsidR="00A36A5A" w:rsidRPr="00D36347" w:rsidRDefault="00A36A5A" w:rsidP="00077067">
            <w:pPr>
              <w:spacing w:after="60"/>
              <w:rPr>
                <w:i/>
                <w:iCs/>
                <w:sz w:val="20"/>
              </w:rPr>
            </w:pPr>
            <w:r w:rsidRPr="00D36347">
              <w:rPr>
                <w:i/>
                <w:iCs/>
                <w:sz w:val="20"/>
              </w:rPr>
              <w:t>m</w:t>
            </w:r>
          </w:p>
        </w:tc>
        <w:tc>
          <w:tcPr>
            <w:tcW w:w="739" w:type="dxa"/>
          </w:tcPr>
          <w:p w14:paraId="2FEE6B69" w14:textId="77777777" w:rsidR="00A36A5A" w:rsidRPr="00341696" w:rsidRDefault="00A36A5A" w:rsidP="00077067">
            <w:pPr>
              <w:spacing w:after="60"/>
              <w:rPr>
                <w:iCs/>
                <w:sz w:val="20"/>
              </w:rPr>
            </w:pPr>
            <w:r>
              <w:rPr>
                <w:iCs/>
                <w:sz w:val="20"/>
              </w:rPr>
              <w:t>none</w:t>
            </w:r>
          </w:p>
        </w:tc>
        <w:tc>
          <w:tcPr>
            <w:tcW w:w="6768" w:type="dxa"/>
          </w:tcPr>
          <w:p w14:paraId="689B6852" w14:textId="77777777" w:rsidR="00A36A5A" w:rsidRPr="00341696" w:rsidRDefault="00A36A5A" w:rsidP="00077067">
            <w:pPr>
              <w:spacing w:after="60"/>
              <w:rPr>
                <w:iCs/>
                <w:sz w:val="20"/>
              </w:rPr>
            </w:pPr>
            <w:r>
              <w:rPr>
                <w:iCs/>
                <w:sz w:val="20"/>
              </w:rPr>
              <w:t>An operating month.</w:t>
            </w:r>
          </w:p>
        </w:tc>
      </w:tr>
      <w:tr w:rsidR="00A36A5A" w:rsidRPr="00341696" w14:paraId="12F6271E" w14:textId="77777777" w:rsidTr="00E00BA1">
        <w:tblPrEx>
          <w:tblLook w:val="01E0" w:firstRow="1" w:lastRow="1" w:firstColumn="1" w:lastColumn="1" w:noHBand="0" w:noVBand="0"/>
        </w:tblPrEx>
        <w:trPr>
          <w:cantSplit/>
          <w:trHeight w:val="350"/>
        </w:trPr>
        <w:tc>
          <w:tcPr>
            <w:tcW w:w="2069" w:type="dxa"/>
          </w:tcPr>
          <w:p w14:paraId="24C98B37" w14:textId="77777777" w:rsidR="00A36A5A" w:rsidRPr="00D36347" w:rsidRDefault="00A36A5A" w:rsidP="00077067">
            <w:pPr>
              <w:spacing w:after="60"/>
              <w:rPr>
                <w:i/>
                <w:iCs/>
                <w:sz w:val="20"/>
              </w:rPr>
            </w:pPr>
            <w:r w:rsidRPr="00D36347">
              <w:rPr>
                <w:i/>
                <w:iCs/>
                <w:sz w:val="20"/>
              </w:rPr>
              <w:t>h</w:t>
            </w:r>
          </w:p>
        </w:tc>
        <w:tc>
          <w:tcPr>
            <w:tcW w:w="739" w:type="dxa"/>
          </w:tcPr>
          <w:p w14:paraId="62EE7241" w14:textId="77777777" w:rsidR="00A36A5A" w:rsidRPr="00341696" w:rsidRDefault="00A36A5A" w:rsidP="00077067">
            <w:pPr>
              <w:spacing w:after="60"/>
              <w:rPr>
                <w:iCs/>
                <w:sz w:val="20"/>
              </w:rPr>
            </w:pPr>
            <w:r w:rsidRPr="00341696">
              <w:rPr>
                <w:iCs/>
                <w:sz w:val="20"/>
              </w:rPr>
              <w:t>none</w:t>
            </w:r>
          </w:p>
        </w:tc>
        <w:tc>
          <w:tcPr>
            <w:tcW w:w="6768" w:type="dxa"/>
          </w:tcPr>
          <w:p w14:paraId="70A20712" w14:textId="77777777" w:rsidR="00A36A5A" w:rsidRPr="00341696" w:rsidRDefault="00A36A5A" w:rsidP="008C0679">
            <w:pPr>
              <w:spacing w:after="60"/>
              <w:rPr>
                <w:iCs/>
                <w:sz w:val="20"/>
              </w:rPr>
            </w:pPr>
            <w:r w:rsidRPr="00341696">
              <w:rPr>
                <w:iCs/>
                <w:sz w:val="20"/>
              </w:rPr>
              <w:t>An Operating Hour</w:t>
            </w:r>
            <w:r>
              <w:rPr>
                <w:iCs/>
                <w:sz w:val="20"/>
              </w:rPr>
              <w:t>.</w:t>
            </w:r>
          </w:p>
        </w:tc>
      </w:tr>
      <w:tr w:rsidR="00A36A5A" w:rsidRPr="00341696" w14:paraId="46826795" w14:textId="77777777" w:rsidTr="00E00BA1">
        <w:tblPrEx>
          <w:tblLook w:val="01E0" w:firstRow="1" w:lastRow="1" w:firstColumn="1" w:lastColumn="1" w:noHBand="0" w:noVBand="0"/>
        </w:tblPrEx>
        <w:trPr>
          <w:cantSplit/>
          <w:trHeight w:val="350"/>
        </w:trPr>
        <w:tc>
          <w:tcPr>
            <w:tcW w:w="2069" w:type="dxa"/>
          </w:tcPr>
          <w:p w14:paraId="08475AD5" w14:textId="77777777" w:rsidR="00A36A5A" w:rsidRPr="00D36347" w:rsidRDefault="008C0679" w:rsidP="00077067">
            <w:pPr>
              <w:spacing w:after="60"/>
              <w:rPr>
                <w:i/>
                <w:iCs/>
                <w:sz w:val="20"/>
              </w:rPr>
            </w:pPr>
            <w:r>
              <w:rPr>
                <w:i/>
                <w:iCs/>
                <w:sz w:val="20"/>
              </w:rPr>
              <w:t>a</w:t>
            </w:r>
          </w:p>
        </w:tc>
        <w:tc>
          <w:tcPr>
            <w:tcW w:w="739" w:type="dxa"/>
          </w:tcPr>
          <w:p w14:paraId="347441F2" w14:textId="77777777" w:rsidR="00A36A5A" w:rsidRPr="00341696" w:rsidRDefault="00A36A5A" w:rsidP="00077067">
            <w:pPr>
              <w:spacing w:after="60"/>
              <w:rPr>
                <w:iCs/>
                <w:sz w:val="20"/>
              </w:rPr>
            </w:pPr>
            <w:r w:rsidRPr="00341696">
              <w:rPr>
                <w:iCs/>
                <w:sz w:val="20"/>
              </w:rPr>
              <w:t>none</w:t>
            </w:r>
          </w:p>
        </w:tc>
        <w:tc>
          <w:tcPr>
            <w:tcW w:w="6768" w:type="dxa"/>
          </w:tcPr>
          <w:p w14:paraId="6B12ACF7" w14:textId="77777777" w:rsidR="00A36A5A" w:rsidRPr="00341696" w:rsidRDefault="00A36A5A" w:rsidP="008C0679">
            <w:pPr>
              <w:spacing w:after="60"/>
              <w:rPr>
                <w:iCs/>
                <w:sz w:val="20"/>
              </w:rPr>
            </w:pPr>
            <w:r w:rsidRPr="00341696">
              <w:rPr>
                <w:iCs/>
                <w:sz w:val="20"/>
              </w:rPr>
              <w:t>A</w:t>
            </w:r>
            <w:r w:rsidR="008C0679">
              <w:rPr>
                <w:iCs/>
                <w:sz w:val="20"/>
              </w:rPr>
              <w:t>ll</w:t>
            </w:r>
            <w:r w:rsidRPr="00341696">
              <w:rPr>
                <w:iCs/>
                <w:sz w:val="20"/>
              </w:rPr>
              <w:t xml:space="preserve"> </w:t>
            </w:r>
            <w:r>
              <w:rPr>
                <w:iCs/>
                <w:sz w:val="20"/>
              </w:rPr>
              <w:t xml:space="preserve">CRR </w:t>
            </w:r>
            <w:r w:rsidR="008C0679">
              <w:rPr>
                <w:iCs/>
                <w:sz w:val="20"/>
              </w:rPr>
              <w:t>Account Holders represented by the Counter-Party</w:t>
            </w:r>
            <w:r>
              <w:rPr>
                <w:iCs/>
                <w:sz w:val="20"/>
              </w:rPr>
              <w:t>.</w:t>
            </w:r>
          </w:p>
        </w:tc>
      </w:tr>
      <w:tr w:rsidR="00A36A5A" w:rsidRPr="00341696" w14:paraId="2C1F1F4D" w14:textId="77777777" w:rsidTr="00E00BA1">
        <w:tblPrEx>
          <w:tblLook w:val="01E0" w:firstRow="1" w:lastRow="1" w:firstColumn="1" w:lastColumn="1" w:noHBand="0" w:noVBand="0"/>
        </w:tblPrEx>
        <w:trPr>
          <w:cantSplit/>
          <w:trHeight w:val="350"/>
        </w:trPr>
        <w:tc>
          <w:tcPr>
            <w:tcW w:w="2069" w:type="dxa"/>
          </w:tcPr>
          <w:p w14:paraId="13CC8FAE" w14:textId="77777777" w:rsidR="00A36A5A" w:rsidRPr="00D36347" w:rsidRDefault="00A36A5A" w:rsidP="00077067">
            <w:pPr>
              <w:spacing w:after="60"/>
              <w:rPr>
                <w:i/>
                <w:iCs/>
                <w:sz w:val="20"/>
              </w:rPr>
            </w:pPr>
            <w:r w:rsidRPr="00D36347">
              <w:rPr>
                <w:i/>
                <w:iCs/>
                <w:sz w:val="20"/>
              </w:rPr>
              <w:t>ci100</w:t>
            </w:r>
          </w:p>
        </w:tc>
        <w:tc>
          <w:tcPr>
            <w:tcW w:w="739" w:type="dxa"/>
          </w:tcPr>
          <w:p w14:paraId="29B0C3CE" w14:textId="77777777" w:rsidR="00A36A5A" w:rsidRPr="00341696" w:rsidRDefault="00A36A5A" w:rsidP="00077067">
            <w:pPr>
              <w:spacing w:after="60"/>
              <w:rPr>
                <w:iCs/>
                <w:sz w:val="20"/>
              </w:rPr>
            </w:pPr>
            <w:r>
              <w:rPr>
                <w:iCs/>
                <w:sz w:val="20"/>
              </w:rPr>
              <w:t>none</w:t>
            </w:r>
          </w:p>
        </w:tc>
        <w:tc>
          <w:tcPr>
            <w:tcW w:w="6768" w:type="dxa"/>
          </w:tcPr>
          <w:p w14:paraId="7D547526" w14:textId="77777777" w:rsidR="00A36A5A" w:rsidRPr="00341696" w:rsidRDefault="00A36A5A" w:rsidP="00077067">
            <w:pPr>
              <w:spacing w:after="60"/>
              <w:rPr>
                <w:iCs/>
                <w:sz w:val="20"/>
              </w:rPr>
            </w:pPr>
            <w:r>
              <w:rPr>
                <w:iCs/>
                <w:sz w:val="20"/>
              </w:rPr>
              <w:t>100</w:t>
            </w:r>
            <w:r w:rsidRPr="00E85945">
              <w:rPr>
                <w:iCs/>
                <w:sz w:val="20"/>
                <w:vertAlign w:val="superscript"/>
              </w:rPr>
              <w:t>th</w:t>
            </w:r>
            <w:r>
              <w:rPr>
                <w:iCs/>
                <w:sz w:val="20"/>
              </w:rPr>
              <w:t xml:space="preserve"> percentile confidence interval.</w:t>
            </w:r>
          </w:p>
        </w:tc>
      </w:tr>
    </w:tbl>
    <w:p w14:paraId="4100A769" w14:textId="77777777" w:rsidR="00A36A5A" w:rsidRPr="00341696" w:rsidRDefault="00A36A5A" w:rsidP="00A36A5A">
      <w:pPr>
        <w:spacing w:before="240" w:after="240"/>
        <w:ind w:left="720" w:hanging="720"/>
        <w:rPr>
          <w:iCs/>
        </w:rPr>
      </w:pPr>
      <w:r w:rsidRPr="00341696">
        <w:rPr>
          <w:iCs/>
        </w:rPr>
        <w:lastRenderedPageBreak/>
        <w:t>(3)</w:t>
      </w:r>
      <w:r w:rsidRPr="00341696">
        <w:rPr>
          <w:iCs/>
        </w:rPr>
        <w:tab/>
        <w:t xml:space="preserve">The FCE for PTP Options (FCEOPT) held by </w:t>
      </w:r>
      <w:r w:rsidR="008C0679" w:rsidRPr="00545E0B">
        <w:rPr>
          <w:szCs w:val="24"/>
        </w:rPr>
        <w:t>all the CRR Account Holders represented by</w:t>
      </w:r>
      <w:r w:rsidR="008C0679">
        <w:t xml:space="preserve"> </w:t>
      </w:r>
      <w:r w:rsidRPr="00341696">
        <w:rPr>
          <w:iCs/>
        </w:rPr>
        <w:t xml:space="preserve">the Counter-Party as </w:t>
      </w:r>
      <w:r>
        <w:rPr>
          <w:iCs/>
        </w:rPr>
        <w:t>CRR O</w:t>
      </w:r>
      <w:r w:rsidRPr="00341696">
        <w:rPr>
          <w:iCs/>
        </w:rPr>
        <w:t xml:space="preserve">wner of record at </w:t>
      </w:r>
      <w:r>
        <w:rPr>
          <w:iCs/>
        </w:rPr>
        <w:t xml:space="preserve">ERCOT are </w:t>
      </w:r>
      <w:r w:rsidRPr="00341696">
        <w:rPr>
          <w:iCs/>
        </w:rPr>
        <w:t>calculated as follows</w:t>
      </w:r>
      <w:r>
        <w:rPr>
          <w:iCs/>
        </w:rPr>
        <w:t>:</w:t>
      </w:r>
    </w:p>
    <w:p w14:paraId="51234A33" w14:textId="77777777" w:rsidR="00A36A5A" w:rsidRDefault="00A36A5A" w:rsidP="00A36A5A">
      <w:pPr>
        <w:pStyle w:val="Instructions"/>
        <w:spacing w:after="0"/>
        <w:ind w:left="720"/>
        <w:rPr>
          <w:i w:val="0"/>
        </w:rPr>
      </w:pPr>
      <w:r w:rsidRPr="002475CE">
        <w:rPr>
          <w:i w:val="0"/>
          <w:iCs/>
        </w:rPr>
        <w:t>FCEOPT</w:t>
      </w:r>
      <w:r w:rsidRPr="005B6D42">
        <w:rPr>
          <w:iCs/>
        </w:rPr>
        <w:t xml:space="preserve"> </w:t>
      </w:r>
      <w:r w:rsidR="008C0679">
        <w:rPr>
          <w:rFonts w:ascii="Times New Roman Bold" w:hAnsi="Times New Roman Bold"/>
          <w:iCs/>
          <w:vertAlign w:val="subscript"/>
        </w:rPr>
        <w:t>a</w:t>
      </w:r>
      <w:r w:rsidRPr="002475CE">
        <w:rPr>
          <w:i w:val="0"/>
          <w:iCs/>
        </w:rPr>
        <w:t xml:space="preserve"> </w:t>
      </w:r>
      <w:r w:rsidRPr="002475CE">
        <w:rPr>
          <w:i w:val="0"/>
          <w:iCs/>
        </w:rPr>
        <w:tab/>
        <w:t>=</w:t>
      </w:r>
      <w:r w:rsidRPr="002475CE">
        <w:rPr>
          <w:i w:val="0"/>
          <w:iCs/>
        </w:rPr>
        <w:tab/>
      </w:r>
      <w:r>
        <w:rPr>
          <w:i w:val="0"/>
          <w:iCs/>
        </w:rPr>
        <w:t xml:space="preserve">- </w:t>
      </w:r>
      <w:r w:rsidRPr="000054E6">
        <w:rPr>
          <w:i w:val="0"/>
        </w:rPr>
        <w:t>∑</w:t>
      </w:r>
      <w:r w:rsidRPr="005B6D42">
        <w:rPr>
          <w:vertAlign w:val="subscript"/>
        </w:rPr>
        <w:t>m</w:t>
      </w:r>
      <w:r w:rsidRPr="000054E6">
        <w:rPr>
          <w:i w:val="0"/>
        </w:rPr>
        <w:t xml:space="preserve"> </w:t>
      </w:r>
      <w:r w:rsidRPr="00DC2980">
        <w:rPr>
          <w:i w:val="0"/>
        </w:rPr>
        <w:t>∑</w:t>
      </w:r>
      <w:r w:rsidRPr="005B6D42">
        <w:rPr>
          <w:vertAlign w:val="subscript"/>
        </w:rPr>
        <w:t>h</w:t>
      </w:r>
      <w:r w:rsidRPr="00DC2980">
        <w:rPr>
          <w:i w:val="0"/>
          <w:vertAlign w:val="subscript"/>
        </w:rPr>
        <w:t xml:space="preserve"> </w:t>
      </w:r>
      <w:r w:rsidRPr="00DC2980">
        <w:rPr>
          <w:i w:val="0"/>
        </w:rPr>
        <w:t>∑</w:t>
      </w:r>
      <w:r w:rsidRPr="005B6D42">
        <w:rPr>
          <w:vertAlign w:val="subscript"/>
        </w:rPr>
        <w:t>j, k</w:t>
      </w:r>
      <w:r w:rsidRPr="00DC2980">
        <w:rPr>
          <w:i w:val="0"/>
          <w:vertAlign w:val="subscript"/>
        </w:rPr>
        <w:t xml:space="preserve"> </w:t>
      </w:r>
      <w:r w:rsidRPr="00DC2980">
        <w:rPr>
          <w:i w:val="0"/>
        </w:rPr>
        <w:t>[(</w:t>
      </w:r>
      <w:r w:rsidRPr="000054E6">
        <w:rPr>
          <w:i w:val="0"/>
        </w:rPr>
        <w:t>NA</w:t>
      </w:r>
      <w:r w:rsidRPr="00DC2980">
        <w:rPr>
          <w:i w:val="0"/>
        </w:rPr>
        <w:t>O</w:t>
      </w:r>
      <w:r w:rsidRPr="000054E6">
        <w:rPr>
          <w:i w:val="0"/>
        </w:rPr>
        <w:t>PT</w:t>
      </w:r>
      <w:r w:rsidRPr="00DC2980">
        <w:rPr>
          <w:i w:val="0"/>
        </w:rPr>
        <w:t>MW</w:t>
      </w:r>
      <w:r w:rsidRPr="00DC2980">
        <w:rPr>
          <w:i w:val="0"/>
          <w:vertAlign w:val="subscript"/>
        </w:rPr>
        <w:t xml:space="preserve"> </w:t>
      </w:r>
      <w:r w:rsidRPr="005B6D42">
        <w:rPr>
          <w:vertAlign w:val="subscript"/>
        </w:rPr>
        <w:t>m, h, (j, k)</w:t>
      </w:r>
      <w:r w:rsidRPr="00DC2980">
        <w:rPr>
          <w:i w:val="0"/>
        </w:rPr>
        <w:t>)</w:t>
      </w:r>
      <w:r w:rsidRPr="000054E6">
        <w:rPr>
          <w:i w:val="0"/>
        </w:rPr>
        <w:t xml:space="preserve"> * Max(0,</w:t>
      </w:r>
      <w:r w:rsidR="005220DB">
        <w:rPr>
          <w:i w:val="0"/>
        </w:rPr>
        <w:t xml:space="preserve"> </w:t>
      </w:r>
      <w:r w:rsidRPr="000054E6">
        <w:rPr>
          <w:i w:val="0"/>
        </w:rPr>
        <w:t xml:space="preserve">A </w:t>
      </w:r>
      <w:r w:rsidRPr="005B6D42">
        <w:rPr>
          <w:vertAlign w:val="subscript"/>
        </w:rPr>
        <w:t>ci99, ctou, (j, k)</w:t>
      </w:r>
      <w:r w:rsidRPr="000054E6">
        <w:rPr>
          <w:i w:val="0"/>
        </w:rPr>
        <w:t>)]</w:t>
      </w:r>
    </w:p>
    <w:p w14:paraId="51E26550" w14:textId="77777777" w:rsidR="00A36A5A" w:rsidRDefault="00A36A5A" w:rsidP="00A36A5A">
      <w:pPr>
        <w:keepNext/>
        <w:rPr>
          <w:iCs/>
        </w:rPr>
      </w:pPr>
    </w:p>
    <w:p w14:paraId="75557F48" w14:textId="77777777" w:rsidR="00A36A5A" w:rsidRPr="00341696" w:rsidRDefault="00A36A5A" w:rsidP="00DD5BE9">
      <w:pPr>
        <w:keepNext/>
        <w:rPr>
          <w:iCs/>
        </w:rPr>
      </w:pPr>
      <w:r w:rsidRPr="00341696">
        <w:rPr>
          <w:iCs/>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739"/>
        <w:gridCol w:w="6595"/>
      </w:tblGrid>
      <w:tr w:rsidR="00A36A5A" w:rsidRPr="00341696" w14:paraId="613EBDB0" w14:textId="77777777" w:rsidTr="00BC3ACE">
        <w:trPr>
          <w:cantSplit/>
          <w:trHeight w:val="351"/>
          <w:tblHeader/>
        </w:trPr>
        <w:tc>
          <w:tcPr>
            <w:tcW w:w="1998" w:type="dxa"/>
          </w:tcPr>
          <w:p w14:paraId="6C00E976" w14:textId="77777777" w:rsidR="00A36A5A" w:rsidRPr="00341696" w:rsidRDefault="00A36A5A" w:rsidP="00077067">
            <w:pPr>
              <w:spacing w:after="120"/>
              <w:rPr>
                <w:b/>
                <w:iCs/>
                <w:sz w:val="20"/>
              </w:rPr>
            </w:pPr>
            <w:r w:rsidRPr="00341696">
              <w:rPr>
                <w:b/>
                <w:iCs/>
                <w:sz w:val="20"/>
              </w:rPr>
              <w:t>Variable</w:t>
            </w:r>
          </w:p>
        </w:tc>
        <w:tc>
          <w:tcPr>
            <w:tcW w:w="739" w:type="dxa"/>
          </w:tcPr>
          <w:p w14:paraId="7A093AE4" w14:textId="77777777" w:rsidR="00A36A5A" w:rsidRPr="00341696" w:rsidRDefault="00A36A5A" w:rsidP="00077067">
            <w:pPr>
              <w:spacing w:after="120"/>
              <w:rPr>
                <w:b/>
                <w:iCs/>
                <w:sz w:val="20"/>
              </w:rPr>
            </w:pPr>
            <w:r w:rsidRPr="00341696">
              <w:rPr>
                <w:b/>
                <w:iCs/>
                <w:sz w:val="20"/>
              </w:rPr>
              <w:t>Unit</w:t>
            </w:r>
          </w:p>
        </w:tc>
        <w:tc>
          <w:tcPr>
            <w:tcW w:w="6595" w:type="dxa"/>
          </w:tcPr>
          <w:p w14:paraId="4F2533BD" w14:textId="77777777" w:rsidR="00A36A5A" w:rsidRPr="00341696" w:rsidRDefault="00A36A5A" w:rsidP="00077067">
            <w:pPr>
              <w:spacing w:after="120"/>
              <w:rPr>
                <w:b/>
                <w:iCs/>
                <w:sz w:val="20"/>
              </w:rPr>
            </w:pPr>
            <w:r w:rsidRPr="00341696">
              <w:rPr>
                <w:b/>
                <w:iCs/>
                <w:sz w:val="20"/>
              </w:rPr>
              <w:t>Description</w:t>
            </w:r>
          </w:p>
        </w:tc>
      </w:tr>
      <w:tr w:rsidR="00A36A5A" w:rsidRPr="00341696" w14:paraId="742FC461" w14:textId="77777777" w:rsidTr="00BC3ACE">
        <w:trPr>
          <w:cantSplit/>
          <w:trHeight w:val="519"/>
          <w:tblHeader/>
        </w:trPr>
        <w:tc>
          <w:tcPr>
            <w:tcW w:w="1998" w:type="dxa"/>
          </w:tcPr>
          <w:p w14:paraId="3EFFF595" w14:textId="77777777" w:rsidR="00A36A5A" w:rsidRPr="00341696" w:rsidRDefault="00A36A5A" w:rsidP="008C0679">
            <w:pPr>
              <w:spacing w:after="60"/>
              <w:rPr>
                <w:iCs/>
                <w:sz w:val="20"/>
              </w:rPr>
            </w:pPr>
            <w:r w:rsidRPr="00341696">
              <w:rPr>
                <w:iCs/>
                <w:sz w:val="20"/>
              </w:rPr>
              <w:t xml:space="preserve">FCEOPT </w:t>
            </w:r>
            <w:r w:rsidR="008C0679">
              <w:rPr>
                <w:i/>
                <w:iCs/>
                <w:sz w:val="20"/>
                <w:vertAlign w:val="subscript"/>
              </w:rPr>
              <w:t>a</w:t>
            </w:r>
          </w:p>
        </w:tc>
        <w:tc>
          <w:tcPr>
            <w:tcW w:w="739" w:type="dxa"/>
          </w:tcPr>
          <w:p w14:paraId="7C7D3D80" w14:textId="77777777" w:rsidR="00A36A5A" w:rsidRPr="00341696" w:rsidRDefault="00A36A5A" w:rsidP="00077067">
            <w:pPr>
              <w:spacing w:after="60"/>
              <w:rPr>
                <w:iCs/>
                <w:sz w:val="20"/>
              </w:rPr>
            </w:pPr>
            <w:r w:rsidRPr="00341696">
              <w:rPr>
                <w:iCs/>
                <w:sz w:val="20"/>
              </w:rPr>
              <w:t>$</w:t>
            </w:r>
          </w:p>
        </w:tc>
        <w:tc>
          <w:tcPr>
            <w:tcW w:w="6595" w:type="dxa"/>
          </w:tcPr>
          <w:p w14:paraId="6BAD58AD" w14:textId="77777777" w:rsidR="00A36A5A" w:rsidRPr="00341696" w:rsidRDefault="00A36A5A" w:rsidP="008C0679">
            <w:pPr>
              <w:spacing w:after="60"/>
              <w:rPr>
                <w:iCs/>
                <w:sz w:val="20"/>
              </w:rPr>
            </w:pPr>
            <w:r w:rsidRPr="00341696">
              <w:rPr>
                <w:i/>
                <w:iCs/>
                <w:sz w:val="20"/>
              </w:rPr>
              <w:t>Future Credit Exposure for PTP Options</w:t>
            </w:r>
            <w:r w:rsidRPr="008C1469">
              <w:rPr>
                <w:iCs/>
                <w:sz w:val="20"/>
              </w:rPr>
              <w:sym w:font="Symbol" w:char="F0BE"/>
            </w:r>
            <w:r w:rsidRPr="00341696">
              <w:rPr>
                <w:iCs/>
                <w:sz w:val="20"/>
              </w:rPr>
              <w:t xml:space="preserve">FCE for all PTP Options held by </w:t>
            </w:r>
            <w:r w:rsidR="008C0679" w:rsidRPr="00CF238E">
              <w:rPr>
                <w:sz w:val="20"/>
              </w:rPr>
              <w:t>all CRR Account Holders represented by</w:t>
            </w:r>
            <w:r w:rsidR="008C0679">
              <w:t xml:space="preserve"> </w:t>
            </w:r>
            <w:r w:rsidRPr="00341696">
              <w:rPr>
                <w:iCs/>
                <w:sz w:val="20"/>
              </w:rPr>
              <w:t xml:space="preserve">the Counter-Party as </w:t>
            </w:r>
            <w:r>
              <w:rPr>
                <w:iCs/>
                <w:sz w:val="20"/>
              </w:rPr>
              <w:t>CRR O</w:t>
            </w:r>
            <w:r w:rsidRPr="00341696">
              <w:rPr>
                <w:iCs/>
                <w:sz w:val="20"/>
              </w:rPr>
              <w:t>wner</w:t>
            </w:r>
            <w:r w:rsidRPr="00341696">
              <w:rPr>
                <w:i/>
                <w:iCs/>
                <w:sz w:val="20"/>
              </w:rPr>
              <w:t xml:space="preserve"> </w:t>
            </w:r>
            <w:r w:rsidRPr="00341696">
              <w:rPr>
                <w:iCs/>
                <w:sz w:val="20"/>
              </w:rPr>
              <w:t xml:space="preserve">of record at ERCOT </w:t>
            </w:r>
            <w:r>
              <w:rPr>
                <w:iCs/>
                <w:sz w:val="20"/>
              </w:rPr>
              <w:t xml:space="preserve">for all Operating Days remaining in the current operating month and Prompt Month.  </w:t>
            </w:r>
          </w:p>
        </w:tc>
      </w:tr>
      <w:tr w:rsidR="00A36A5A" w:rsidRPr="00341696" w14:paraId="485A7686" w14:textId="77777777" w:rsidTr="00BC3ACE">
        <w:tblPrEx>
          <w:tblLook w:val="01E0" w:firstRow="1" w:lastRow="1" w:firstColumn="1" w:lastColumn="1" w:noHBand="0" w:noVBand="0"/>
        </w:tblPrEx>
        <w:trPr>
          <w:cantSplit/>
          <w:trHeight w:val="350"/>
          <w:tblHeader/>
        </w:trPr>
        <w:tc>
          <w:tcPr>
            <w:tcW w:w="1998" w:type="dxa"/>
          </w:tcPr>
          <w:p w14:paraId="678DADDA" w14:textId="77777777" w:rsidR="00A36A5A" w:rsidRPr="000433EB" w:rsidRDefault="00A36A5A" w:rsidP="00077067">
            <w:pPr>
              <w:spacing w:after="60"/>
              <w:rPr>
                <w:sz w:val="20"/>
              </w:rPr>
            </w:pPr>
            <w:r w:rsidRPr="00DC2980">
              <w:rPr>
                <w:sz w:val="20"/>
              </w:rPr>
              <w:t xml:space="preserve">A </w:t>
            </w:r>
            <w:r w:rsidRPr="005B6D42">
              <w:rPr>
                <w:i/>
                <w:sz w:val="20"/>
                <w:vertAlign w:val="subscript"/>
              </w:rPr>
              <w:t>ci99, ctou, (j, k)</w:t>
            </w:r>
          </w:p>
        </w:tc>
        <w:tc>
          <w:tcPr>
            <w:tcW w:w="739" w:type="dxa"/>
          </w:tcPr>
          <w:p w14:paraId="415384B3" w14:textId="77777777" w:rsidR="00A36A5A" w:rsidRPr="000433EB" w:rsidRDefault="00A36A5A" w:rsidP="00077067">
            <w:pPr>
              <w:spacing w:after="60"/>
              <w:rPr>
                <w:sz w:val="20"/>
              </w:rPr>
            </w:pPr>
            <w:r w:rsidRPr="00DC2980">
              <w:rPr>
                <w:sz w:val="20"/>
              </w:rPr>
              <w:t>$/MW per hour</w:t>
            </w:r>
          </w:p>
        </w:tc>
        <w:tc>
          <w:tcPr>
            <w:tcW w:w="6595" w:type="dxa"/>
          </w:tcPr>
          <w:p w14:paraId="3C168E36" w14:textId="77777777" w:rsidR="00A36A5A" w:rsidRPr="000433EB" w:rsidRDefault="00A36A5A" w:rsidP="005220DB">
            <w:pPr>
              <w:spacing w:after="60"/>
              <w:rPr>
                <w:i/>
                <w:sz w:val="20"/>
              </w:rPr>
            </w:pPr>
            <w:r w:rsidRPr="00DC2980">
              <w:rPr>
                <w:i/>
                <w:iCs/>
                <w:sz w:val="20"/>
              </w:rPr>
              <w:t>Path Specific DAM Based Adder</w:t>
            </w:r>
            <w:r w:rsidRPr="00DC2980">
              <w:rPr>
                <w:iCs/>
                <w:sz w:val="20"/>
              </w:rPr>
              <w:sym w:font="Symbol" w:char="F0BE"/>
            </w:r>
            <w:r w:rsidRPr="00DC2980">
              <w:rPr>
                <w:iCs/>
                <w:sz w:val="20"/>
              </w:rPr>
              <w:t xml:space="preserve">Path specific DAM based adder calculated as 99th percentile of the average rolling consecutive DAM settled price for the CRR source </w:t>
            </w:r>
            <w:r w:rsidRPr="00DC2980">
              <w:rPr>
                <w:i/>
                <w:iCs/>
                <w:sz w:val="20"/>
              </w:rPr>
              <w:t>j</w:t>
            </w:r>
            <w:r w:rsidRPr="00DC2980">
              <w:rPr>
                <w:iCs/>
                <w:sz w:val="20"/>
              </w:rPr>
              <w:t xml:space="preserve"> and sink </w:t>
            </w:r>
            <w:r w:rsidRPr="00DC2980">
              <w:rPr>
                <w:i/>
                <w:iCs/>
                <w:sz w:val="20"/>
              </w:rPr>
              <w:t>k</w:t>
            </w:r>
            <w:r w:rsidRPr="00DC2980">
              <w:rPr>
                <w:iCs/>
                <w:sz w:val="20"/>
              </w:rPr>
              <w:t xml:space="preserve"> over a period that represents a month for each</w:t>
            </w:r>
            <w:r>
              <w:rPr>
                <w:iCs/>
                <w:sz w:val="20"/>
              </w:rPr>
              <w:t xml:space="preserve"> CRR Time Of Use</w:t>
            </w:r>
            <w:r w:rsidRPr="00DC2980">
              <w:rPr>
                <w:iCs/>
                <w:sz w:val="20"/>
              </w:rPr>
              <w:t xml:space="preserve"> </w:t>
            </w:r>
            <w:r w:rsidR="005220DB">
              <w:rPr>
                <w:iCs/>
                <w:sz w:val="20"/>
              </w:rPr>
              <w:t xml:space="preserve">(TOU) </w:t>
            </w:r>
            <w:r w:rsidRPr="00DC2980">
              <w:rPr>
                <w:i/>
                <w:iCs/>
                <w:sz w:val="20"/>
              </w:rPr>
              <w:t>ctou</w:t>
            </w:r>
            <w:r w:rsidRPr="00C82B98">
              <w:rPr>
                <w:iCs/>
                <w:sz w:val="20"/>
              </w:rPr>
              <w:t xml:space="preserve"> </w:t>
            </w:r>
            <w:r w:rsidRPr="00DC2980">
              <w:rPr>
                <w:iCs/>
                <w:sz w:val="20"/>
              </w:rPr>
              <w:t xml:space="preserve">product type (18 days for 5*16, 8 days for 2*16, 28 days for 7*8).  The look-back period for DAM settled prices shall be the lesser of </w:t>
            </w:r>
            <w:r>
              <w:rPr>
                <w:iCs/>
                <w:sz w:val="20"/>
              </w:rPr>
              <w:t>January 1, 2011</w:t>
            </w:r>
            <w:r w:rsidRPr="00DC2980">
              <w:rPr>
                <w:iCs/>
                <w:sz w:val="20"/>
              </w:rPr>
              <w:t xml:space="preserve"> to</w:t>
            </w:r>
            <w:r>
              <w:rPr>
                <w:iCs/>
                <w:sz w:val="20"/>
              </w:rPr>
              <w:t xml:space="preserve"> the</w:t>
            </w:r>
            <w:r w:rsidRPr="00DC2980">
              <w:rPr>
                <w:iCs/>
                <w:sz w:val="20"/>
              </w:rPr>
              <w:t xml:space="preserve"> current time</w:t>
            </w:r>
            <w:r>
              <w:rPr>
                <w:iCs/>
                <w:sz w:val="20"/>
              </w:rPr>
              <w:t>,</w:t>
            </w:r>
            <w:r w:rsidRPr="00DC2980">
              <w:rPr>
                <w:iCs/>
                <w:sz w:val="20"/>
              </w:rPr>
              <w:t xml:space="preserve"> and </w:t>
            </w:r>
            <w:r>
              <w:rPr>
                <w:iCs/>
                <w:sz w:val="20"/>
              </w:rPr>
              <w:t>the</w:t>
            </w:r>
            <w:r w:rsidRPr="008E6150">
              <w:rPr>
                <w:iCs/>
                <w:sz w:val="20"/>
              </w:rPr>
              <w:t xml:space="preserve"> </w:t>
            </w:r>
            <w:r w:rsidRPr="00DC2980">
              <w:rPr>
                <w:iCs/>
                <w:sz w:val="20"/>
              </w:rPr>
              <w:t xml:space="preserve">current time minus </w:t>
            </w:r>
            <w:r>
              <w:rPr>
                <w:iCs/>
                <w:sz w:val="20"/>
              </w:rPr>
              <w:t>three</w:t>
            </w:r>
            <w:r w:rsidRPr="00DC2980">
              <w:rPr>
                <w:iCs/>
                <w:sz w:val="20"/>
              </w:rPr>
              <w:t xml:space="preserve"> years.  If historical DASPPs are not available for a Settlement Point for one or more Operating Days, ERCOT will designate a proxy Settlement Point for this purpose, and the DASPPs of the proxy Settlement Point of corresponding Operating Days are used.</w:t>
            </w:r>
          </w:p>
        </w:tc>
      </w:tr>
      <w:tr w:rsidR="00A36A5A" w:rsidRPr="00341696" w14:paraId="65DED6F9" w14:textId="77777777" w:rsidTr="00BC3ACE">
        <w:tblPrEx>
          <w:tblLook w:val="01E0" w:firstRow="1" w:lastRow="1" w:firstColumn="1" w:lastColumn="1" w:noHBand="0" w:noVBand="0"/>
        </w:tblPrEx>
        <w:trPr>
          <w:cantSplit/>
          <w:trHeight w:val="350"/>
          <w:tblHeader/>
        </w:trPr>
        <w:tc>
          <w:tcPr>
            <w:tcW w:w="1998" w:type="dxa"/>
          </w:tcPr>
          <w:p w14:paraId="5181C267" w14:textId="77777777" w:rsidR="00A36A5A" w:rsidRPr="00341696" w:rsidRDefault="00A36A5A" w:rsidP="008C0679">
            <w:pPr>
              <w:spacing w:after="60"/>
              <w:rPr>
                <w:iCs/>
                <w:sz w:val="20"/>
              </w:rPr>
            </w:pPr>
            <w:r w:rsidRPr="00DC2980">
              <w:rPr>
                <w:sz w:val="20"/>
              </w:rPr>
              <w:t>NAOPTMW</w:t>
            </w:r>
            <w:r>
              <w:rPr>
                <w:sz w:val="20"/>
                <w:vertAlign w:val="subscript"/>
              </w:rPr>
              <w:t xml:space="preserve"> </w:t>
            </w:r>
            <w:r w:rsidRPr="005B6D42">
              <w:rPr>
                <w:i/>
                <w:sz w:val="20"/>
                <w:vertAlign w:val="subscript"/>
              </w:rPr>
              <w:t>m, h, (j, k)</w:t>
            </w:r>
          </w:p>
        </w:tc>
        <w:tc>
          <w:tcPr>
            <w:tcW w:w="739" w:type="dxa"/>
          </w:tcPr>
          <w:p w14:paraId="7A0BCD72" w14:textId="77777777" w:rsidR="00A36A5A" w:rsidRPr="00341696" w:rsidRDefault="00A36A5A" w:rsidP="00077067">
            <w:pPr>
              <w:spacing w:after="60"/>
              <w:rPr>
                <w:iCs/>
                <w:sz w:val="20"/>
              </w:rPr>
            </w:pPr>
            <w:r>
              <w:rPr>
                <w:sz w:val="20"/>
              </w:rPr>
              <w:t>MW</w:t>
            </w:r>
          </w:p>
        </w:tc>
        <w:tc>
          <w:tcPr>
            <w:tcW w:w="6595" w:type="dxa"/>
          </w:tcPr>
          <w:p w14:paraId="31D57B10" w14:textId="77777777" w:rsidR="00A36A5A" w:rsidRPr="00341696" w:rsidRDefault="00A36A5A" w:rsidP="008C0679">
            <w:pPr>
              <w:spacing w:after="60"/>
              <w:rPr>
                <w:iCs/>
                <w:sz w:val="20"/>
              </w:rPr>
            </w:pPr>
            <w:r w:rsidRPr="00DC2980">
              <w:rPr>
                <w:i/>
                <w:sz w:val="20"/>
              </w:rPr>
              <w:t>Net Awarded PTP Options</w:t>
            </w:r>
            <w:r w:rsidRPr="00DC2980">
              <w:rPr>
                <w:iCs/>
                <w:sz w:val="20"/>
              </w:rPr>
              <w:sym w:font="Symbol" w:char="F0BE"/>
            </w:r>
            <w:r w:rsidRPr="00DC2980">
              <w:rPr>
                <w:sz w:val="20"/>
              </w:rPr>
              <w:t xml:space="preserve">Net awarded PTP Options with the source </w:t>
            </w:r>
            <w:r w:rsidRPr="00DC2980">
              <w:rPr>
                <w:i/>
                <w:sz w:val="20"/>
              </w:rPr>
              <w:t>j</w:t>
            </w:r>
            <w:r w:rsidRPr="00DC2980">
              <w:rPr>
                <w:sz w:val="20"/>
              </w:rPr>
              <w:t xml:space="preserve"> and sink </w:t>
            </w:r>
            <w:r w:rsidRPr="00DC2980">
              <w:rPr>
                <w:i/>
                <w:sz w:val="20"/>
              </w:rPr>
              <w:t>k</w:t>
            </w:r>
            <w:r w:rsidRPr="00DC2980">
              <w:rPr>
                <w:sz w:val="20"/>
              </w:rPr>
              <w:t xml:space="preserve"> for the hour </w:t>
            </w:r>
            <w:r w:rsidRPr="00DC2980">
              <w:rPr>
                <w:i/>
                <w:sz w:val="20"/>
              </w:rPr>
              <w:t>h</w:t>
            </w:r>
            <w:r w:rsidRPr="00DC2980">
              <w:rPr>
                <w:sz w:val="20"/>
              </w:rPr>
              <w:t xml:space="preserve"> and month </w:t>
            </w:r>
            <w:r w:rsidRPr="00DC2980">
              <w:rPr>
                <w:i/>
                <w:sz w:val="20"/>
              </w:rPr>
              <w:t>m</w:t>
            </w:r>
            <w:r w:rsidRPr="00DC2980">
              <w:rPr>
                <w:sz w:val="20"/>
              </w:rPr>
              <w:t xml:space="preserve"> owned by </w:t>
            </w:r>
            <w:r w:rsidR="008C0679" w:rsidRPr="00CF238E">
              <w:rPr>
                <w:sz w:val="20"/>
              </w:rPr>
              <w:t>all CRR Account Holders represented by</w:t>
            </w:r>
            <w:r w:rsidR="008C0679">
              <w:t xml:space="preserve"> </w:t>
            </w:r>
            <w:r w:rsidRPr="00DC2980">
              <w:rPr>
                <w:sz w:val="20"/>
              </w:rPr>
              <w:t>the Counter-Party as CRR Owner of record at ERCOT for remaining Operating Days in the current operating month, and Prompt Month.</w:t>
            </w:r>
          </w:p>
        </w:tc>
      </w:tr>
      <w:tr w:rsidR="00A36A5A" w:rsidRPr="00341696" w14:paraId="1F307D70" w14:textId="77777777" w:rsidTr="00BC3ACE">
        <w:tblPrEx>
          <w:tblLook w:val="01E0" w:firstRow="1" w:lastRow="1" w:firstColumn="1" w:lastColumn="1" w:noHBand="0" w:noVBand="0"/>
        </w:tblPrEx>
        <w:trPr>
          <w:cantSplit/>
          <w:trHeight w:val="350"/>
          <w:tblHeader/>
        </w:trPr>
        <w:tc>
          <w:tcPr>
            <w:tcW w:w="1998" w:type="dxa"/>
          </w:tcPr>
          <w:p w14:paraId="30E9F735" w14:textId="77777777" w:rsidR="00A36A5A" w:rsidRPr="005B6D42" w:rsidRDefault="00A36A5A" w:rsidP="00077067">
            <w:pPr>
              <w:spacing w:after="60"/>
              <w:rPr>
                <w:i/>
                <w:iCs/>
                <w:sz w:val="20"/>
              </w:rPr>
            </w:pPr>
            <w:r w:rsidRPr="005B6D42">
              <w:rPr>
                <w:i/>
                <w:iCs/>
                <w:sz w:val="20"/>
              </w:rPr>
              <w:t>j</w:t>
            </w:r>
          </w:p>
        </w:tc>
        <w:tc>
          <w:tcPr>
            <w:tcW w:w="739" w:type="dxa"/>
          </w:tcPr>
          <w:p w14:paraId="1ABD838C" w14:textId="77777777" w:rsidR="00A36A5A" w:rsidRPr="00341696" w:rsidRDefault="00A36A5A" w:rsidP="00077067">
            <w:pPr>
              <w:spacing w:after="60"/>
              <w:rPr>
                <w:iCs/>
                <w:sz w:val="20"/>
              </w:rPr>
            </w:pPr>
            <w:r w:rsidRPr="00341696">
              <w:rPr>
                <w:iCs/>
                <w:sz w:val="20"/>
              </w:rPr>
              <w:t>none</w:t>
            </w:r>
          </w:p>
        </w:tc>
        <w:tc>
          <w:tcPr>
            <w:tcW w:w="6595" w:type="dxa"/>
          </w:tcPr>
          <w:p w14:paraId="736C5CC9" w14:textId="77777777" w:rsidR="00A36A5A" w:rsidRPr="00341696" w:rsidRDefault="00A36A5A" w:rsidP="00077067">
            <w:pPr>
              <w:spacing w:after="60"/>
              <w:rPr>
                <w:iCs/>
                <w:sz w:val="20"/>
              </w:rPr>
            </w:pPr>
            <w:r w:rsidRPr="00341696">
              <w:rPr>
                <w:iCs/>
                <w:sz w:val="20"/>
              </w:rPr>
              <w:t xml:space="preserve">A source </w:t>
            </w:r>
            <w:r>
              <w:rPr>
                <w:iCs/>
                <w:sz w:val="20"/>
              </w:rPr>
              <w:t>S</w:t>
            </w:r>
            <w:r w:rsidRPr="00341696">
              <w:rPr>
                <w:iCs/>
                <w:sz w:val="20"/>
              </w:rPr>
              <w:t xml:space="preserve">ettlement </w:t>
            </w:r>
            <w:r>
              <w:rPr>
                <w:iCs/>
                <w:sz w:val="20"/>
              </w:rPr>
              <w:t>P</w:t>
            </w:r>
            <w:r w:rsidRPr="00341696">
              <w:rPr>
                <w:iCs/>
                <w:sz w:val="20"/>
              </w:rPr>
              <w:t>oint.</w:t>
            </w:r>
          </w:p>
        </w:tc>
      </w:tr>
      <w:tr w:rsidR="00A36A5A" w:rsidRPr="00341696" w14:paraId="3A4B6B8B" w14:textId="77777777" w:rsidTr="00BC3ACE">
        <w:tblPrEx>
          <w:tblLook w:val="01E0" w:firstRow="1" w:lastRow="1" w:firstColumn="1" w:lastColumn="1" w:noHBand="0" w:noVBand="0"/>
        </w:tblPrEx>
        <w:trPr>
          <w:cantSplit/>
          <w:trHeight w:val="350"/>
          <w:tblHeader/>
        </w:trPr>
        <w:tc>
          <w:tcPr>
            <w:tcW w:w="1998" w:type="dxa"/>
          </w:tcPr>
          <w:p w14:paraId="2248F340" w14:textId="77777777" w:rsidR="00A36A5A" w:rsidRPr="005B6D42" w:rsidRDefault="00A36A5A" w:rsidP="00077067">
            <w:pPr>
              <w:spacing w:after="60"/>
              <w:rPr>
                <w:i/>
                <w:iCs/>
                <w:sz w:val="20"/>
              </w:rPr>
            </w:pPr>
            <w:r w:rsidRPr="005B6D42">
              <w:rPr>
                <w:i/>
                <w:iCs/>
                <w:sz w:val="20"/>
              </w:rPr>
              <w:t>k</w:t>
            </w:r>
          </w:p>
        </w:tc>
        <w:tc>
          <w:tcPr>
            <w:tcW w:w="739" w:type="dxa"/>
          </w:tcPr>
          <w:p w14:paraId="63A8B59D" w14:textId="77777777" w:rsidR="00A36A5A" w:rsidRPr="00341696" w:rsidRDefault="00A36A5A" w:rsidP="00077067">
            <w:pPr>
              <w:spacing w:after="60"/>
              <w:rPr>
                <w:iCs/>
                <w:sz w:val="20"/>
              </w:rPr>
            </w:pPr>
            <w:r w:rsidRPr="00341696">
              <w:rPr>
                <w:iCs/>
                <w:sz w:val="20"/>
              </w:rPr>
              <w:t>none</w:t>
            </w:r>
          </w:p>
        </w:tc>
        <w:tc>
          <w:tcPr>
            <w:tcW w:w="6595" w:type="dxa"/>
          </w:tcPr>
          <w:p w14:paraId="5A4C404B" w14:textId="77777777" w:rsidR="00A36A5A" w:rsidRPr="00341696" w:rsidRDefault="00A36A5A" w:rsidP="00077067">
            <w:pPr>
              <w:spacing w:after="60"/>
              <w:rPr>
                <w:iCs/>
                <w:sz w:val="20"/>
              </w:rPr>
            </w:pPr>
            <w:r w:rsidRPr="00341696">
              <w:rPr>
                <w:iCs/>
                <w:sz w:val="20"/>
              </w:rPr>
              <w:t xml:space="preserve">A sink </w:t>
            </w:r>
            <w:r>
              <w:rPr>
                <w:iCs/>
                <w:sz w:val="20"/>
              </w:rPr>
              <w:t>S</w:t>
            </w:r>
            <w:r w:rsidRPr="00341696">
              <w:rPr>
                <w:iCs/>
                <w:sz w:val="20"/>
              </w:rPr>
              <w:t xml:space="preserve">ettlement </w:t>
            </w:r>
            <w:r>
              <w:rPr>
                <w:iCs/>
                <w:sz w:val="20"/>
              </w:rPr>
              <w:t>P</w:t>
            </w:r>
            <w:r w:rsidRPr="00341696">
              <w:rPr>
                <w:iCs/>
                <w:sz w:val="20"/>
              </w:rPr>
              <w:t>oint.</w:t>
            </w:r>
          </w:p>
        </w:tc>
      </w:tr>
      <w:tr w:rsidR="00A36A5A" w:rsidRPr="00341696" w14:paraId="172BAD24" w14:textId="77777777" w:rsidTr="00BC3ACE">
        <w:tblPrEx>
          <w:tblLook w:val="01E0" w:firstRow="1" w:lastRow="1" w:firstColumn="1" w:lastColumn="1" w:noHBand="0" w:noVBand="0"/>
        </w:tblPrEx>
        <w:trPr>
          <w:cantSplit/>
          <w:trHeight w:val="350"/>
          <w:tblHeader/>
        </w:trPr>
        <w:tc>
          <w:tcPr>
            <w:tcW w:w="1998" w:type="dxa"/>
          </w:tcPr>
          <w:p w14:paraId="7A69755B" w14:textId="77777777" w:rsidR="00A36A5A" w:rsidRPr="005B6D42" w:rsidRDefault="00A36A5A" w:rsidP="00077067">
            <w:pPr>
              <w:spacing w:after="60"/>
              <w:rPr>
                <w:i/>
                <w:iCs/>
                <w:sz w:val="20"/>
              </w:rPr>
            </w:pPr>
            <w:r w:rsidRPr="005B6D42">
              <w:rPr>
                <w:i/>
                <w:sz w:val="20"/>
              </w:rPr>
              <w:t>m</w:t>
            </w:r>
          </w:p>
        </w:tc>
        <w:tc>
          <w:tcPr>
            <w:tcW w:w="739" w:type="dxa"/>
          </w:tcPr>
          <w:p w14:paraId="3AC8174D" w14:textId="77777777" w:rsidR="00A36A5A" w:rsidRPr="00341696" w:rsidRDefault="00A36A5A" w:rsidP="00077067">
            <w:pPr>
              <w:spacing w:after="60"/>
              <w:rPr>
                <w:iCs/>
                <w:sz w:val="20"/>
              </w:rPr>
            </w:pPr>
            <w:r w:rsidRPr="000433EB">
              <w:rPr>
                <w:sz w:val="20"/>
              </w:rPr>
              <w:t>none</w:t>
            </w:r>
          </w:p>
        </w:tc>
        <w:tc>
          <w:tcPr>
            <w:tcW w:w="6595" w:type="dxa"/>
          </w:tcPr>
          <w:p w14:paraId="2932A689" w14:textId="77777777" w:rsidR="00A36A5A" w:rsidRPr="00341696" w:rsidRDefault="00A36A5A" w:rsidP="00077067">
            <w:pPr>
              <w:spacing w:after="60"/>
              <w:rPr>
                <w:iCs/>
                <w:sz w:val="20"/>
              </w:rPr>
            </w:pPr>
            <w:r w:rsidRPr="000433EB">
              <w:rPr>
                <w:sz w:val="20"/>
              </w:rPr>
              <w:t>An operating month</w:t>
            </w:r>
            <w:r>
              <w:rPr>
                <w:sz w:val="20"/>
              </w:rPr>
              <w:t>.</w:t>
            </w:r>
          </w:p>
        </w:tc>
      </w:tr>
      <w:tr w:rsidR="00A36A5A" w:rsidRPr="00341696" w14:paraId="256AB962" w14:textId="77777777" w:rsidTr="00BC3ACE">
        <w:tblPrEx>
          <w:tblLook w:val="01E0" w:firstRow="1" w:lastRow="1" w:firstColumn="1" w:lastColumn="1" w:noHBand="0" w:noVBand="0"/>
        </w:tblPrEx>
        <w:trPr>
          <w:cantSplit/>
          <w:trHeight w:val="350"/>
          <w:tblHeader/>
        </w:trPr>
        <w:tc>
          <w:tcPr>
            <w:tcW w:w="1998" w:type="dxa"/>
          </w:tcPr>
          <w:p w14:paraId="019DE99E" w14:textId="77777777" w:rsidR="00A36A5A" w:rsidRPr="005B6D42" w:rsidRDefault="00A36A5A" w:rsidP="00077067">
            <w:pPr>
              <w:spacing w:after="60"/>
              <w:rPr>
                <w:i/>
                <w:iCs/>
                <w:sz w:val="20"/>
              </w:rPr>
            </w:pPr>
            <w:r w:rsidRPr="005B6D42">
              <w:rPr>
                <w:i/>
                <w:sz w:val="20"/>
              </w:rPr>
              <w:t>ctou</w:t>
            </w:r>
          </w:p>
        </w:tc>
        <w:tc>
          <w:tcPr>
            <w:tcW w:w="739" w:type="dxa"/>
          </w:tcPr>
          <w:p w14:paraId="2217F3F8" w14:textId="77777777" w:rsidR="00A36A5A" w:rsidRPr="00341696" w:rsidRDefault="00A36A5A" w:rsidP="00077067">
            <w:pPr>
              <w:spacing w:after="60"/>
              <w:rPr>
                <w:iCs/>
                <w:sz w:val="20"/>
              </w:rPr>
            </w:pPr>
            <w:r w:rsidRPr="00341696">
              <w:rPr>
                <w:iCs/>
                <w:sz w:val="20"/>
              </w:rPr>
              <w:t>none</w:t>
            </w:r>
          </w:p>
        </w:tc>
        <w:tc>
          <w:tcPr>
            <w:tcW w:w="6595" w:type="dxa"/>
          </w:tcPr>
          <w:p w14:paraId="0BF732F6" w14:textId="77777777" w:rsidR="00A36A5A" w:rsidRPr="00341696" w:rsidRDefault="00A36A5A" w:rsidP="00077067">
            <w:pPr>
              <w:spacing w:after="60"/>
              <w:rPr>
                <w:iCs/>
                <w:sz w:val="20"/>
              </w:rPr>
            </w:pPr>
            <w:r w:rsidRPr="003F6636">
              <w:rPr>
                <w:iCs/>
                <w:sz w:val="20"/>
              </w:rPr>
              <w:t xml:space="preserve">CRR </w:t>
            </w:r>
            <w:r w:rsidRPr="008D7F4C">
              <w:rPr>
                <w:iCs/>
                <w:sz w:val="20"/>
              </w:rPr>
              <w:t>Time O</w:t>
            </w:r>
            <w:r w:rsidRPr="007A2BA3">
              <w:rPr>
                <w:iCs/>
                <w:sz w:val="20"/>
              </w:rPr>
              <w:t>f Use block</w:t>
            </w:r>
            <w:r w:rsidRPr="006D333E">
              <w:rPr>
                <w:iCs/>
                <w:sz w:val="20"/>
              </w:rPr>
              <w:t>.</w:t>
            </w:r>
          </w:p>
        </w:tc>
      </w:tr>
      <w:tr w:rsidR="00A36A5A" w:rsidRPr="00341696" w14:paraId="23635963" w14:textId="77777777" w:rsidTr="00BC3ACE">
        <w:tblPrEx>
          <w:tblLook w:val="01E0" w:firstRow="1" w:lastRow="1" w:firstColumn="1" w:lastColumn="1" w:noHBand="0" w:noVBand="0"/>
        </w:tblPrEx>
        <w:trPr>
          <w:cantSplit/>
          <w:trHeight w:val="350"/>
          <w:tblHeader/>
        </w:trPr>
        <w:tc>
          <w:tcPr>
            <w:tcW w:w="1998" w:type="dxa"/>
          </w:tcPr>
          <w:p w14:paraId="0A56B4AB" w14:textId="77777777" w:rsidR="00A36A5A" w:rsidRPr="005B6D42" w:rsidRDefault="00A36A5A" w:rsidP="00077067">
            <w:pPr>
              <w:spacing w:after="60"/>
              <w:rPr>
                <w:i/>
                <w:iCs/>
                <w:sz w:val="20"/>
              </w:rPr>
            </w:pPr>
            <w:r w:rsidRPr="005B6D42">
              <w:rPr>
                <w:i/>
                <w:iCs/>
                <w:sz w:val="20"/>
              </w:rPr>
              <w:t>h</w:t>
            </w:r>
          </w:p>
        </w:tc>
        <w:tc>
          <w:tcPr>
            <w:tcW w:w="739" w:type="dxa"/>
          </w:tcPr>
          <w:p w14:paraId="3B5DA79A" w14:textId="77777777" w:rsidR="00A36A5A" w:rsidRPr="00341696" w:rsidRDefault="00A36A5A" w:rsidP="00077067">
            <w:pPr>
              <w:spacing w:after="60"/>
              <w:rPr>
                <w:iCs/>
                <w:sz w:val="20"/>
              </w:rPr>
            </w:pPr>
            <w:r w:rsidRPr="00341696">
              <w:rPr>
                <w:iCs/>
                <w:sz w:val="20"/>
              </w:rPr>
              <w:t>none</w:t>
            </w:r>
          </w:p>
        </w:tc>
        <w:tc>
          <w:tcPr>
            <w:tcW w:w="6595" w:type="dxa"/>
          </w:tcPr>
          <w:p w14:paraId="12F385DE" w14:textId="77777777" w:rsidR="00A36A5A" w:rsidRPr="00341696" w:rsidRDefault="00A36A5A" w:rsidP="008C0679">
            <w:pPr>
              <w:spacing w:after="60"/>
              <w:rPr>
                <w:iCs/>
                <w:sz w:val="20"/>
              </w:rPr>
            </w:pPr>
            <w:r w:rsidRPr="00341696">
              <w:rPr>
                <w:iCs/>
                <w:sz w:val="20"/>
              </w:rPr>
              <w:t xml:space="preserve">An </w:t>
            </w:r>
            <w:r>
              <w:rPr>
                <w:iCs/>
                <w:sz w:val="20"/>
              </w:rPr>
              <w:t>Operating Hour.</w:t>
            </w:r>
          </w:p>
        </w:tc>
      </w:tr>
      <w:tr w:rsidR="00A36A5A" w:rsidRPr="00341696" w14:paraId="492570E5" w14:textId="77777777" w:rsidTr="00BC3ACE">
        <w:tblPrEx>
          <w:tblLook w:val="01E0" w:firstRow="1" w:lastRow="1" w:firstColumn="1" w:lastColumn="1" w:noHBand="0" w:noVBand="0"/>
        </w:tblPrEx>
        <w:trPr>
          <w:cantSplit/>
          <w:trHeight w:val="350"/>
          <w:tblHeader/>
        </w:trPr>
        <w:tc>
          <w:tcPr>
            <w:tcW w:w="1998" w:type="dxa"/>
          </w:tcPr>
          <w:p w14:paraId="3568E63C" w14:textId="77777777" w:rsidR="00A36A5A" w:rsidRPr="005B6D42" w:rsidRDefault="008C0679" w:rsidP="00077067">
            <w:pPr>
              <w:spacing w:after="60"/>
              <w:rPr>
                <w:i/>
                <w:iCs/>
                <w:sz w:val="20"/>
              </w:rPr>
            </w:pPr>
            <w:r>
              <w:rPr>
                <w:i/>
                <w:iCs/>
                <w:sz w:val="20"/>
              </w:rPr>
              <w:t>a</w:t>
            </w:r>
          </w:p>
        </w:tc>
        <w:tc>
          <w:tcPr>
            <w:tcW w:w="739" w:type="dxa"/>
          </w:tcPr>
          <w:p w14:paraId="14555947" w14:textId="77777777" w:rsidR="00A36A5A" w:rsidRPr="00341696" w:rsidRDefault="00A36A5A" w:rsidP="00077067">
            <w:pPr>
              <w:spacing w:after="60"/>
              <w:rPr>
                <w:iCs/>
                <w:sz w:val="20"/>
              </w:rPr>
            </w:pPr>
            <w:r w:rsidRPr="00341696">
              <w:rPr>
                <w:iCs/>
                <w:sz w:val="20"/>
              </w:rPr>
              <w:t>none</w:t>
            </w:r>
          </w:p>
        </w:tc>
        <w:tc>
          <w:tcPr>
            <w:tcW w:w="6595" w:type="dxa"/>
          </w:tcPr>
          <w:p w14:paraId="294EA53A" w14:textId="77777777" w:rsidR="00A36A5A" w:rsidRPr="00341696" w:rsidRDefault="00A36A5A" w:rsidP="008C0679">
            <w:pPr>
              <w:spacing w:after="60"/>
              <w:rPr>
                <w:iCs/>
                <w:sz w:val="20"/>
              </w:rPr>
            </w:pPr>
            <w:r w:rsidRPr="00341696">
              <w:rPr>
                <w:iCs/>
                <w:sz w:val="20"/>
              </w:rPr>
              <w:t>A</w:t>
            </w:r>
            <w:r w:rsidR="008C0679">
              <w:rPr>
                <w:iCs/>
                <w:sz w:val="20"/>
              </w:rPr>
              <w:t>ll</w:t>
            </w:r>
            <w:r w:rsidRPr="00341696">
              <w:rPr>
                <w:iCs/>
                <w:sz w:val="20"/>
              </w:rPr>
              <w:t xml:space="preserve"> </w:t>
            </w:r>
            <w:r>
              <w:rPr>
                <w:iCs/>
                <w:sz w:val="20"/>
              </w:rPr>
              <w:t xml:space="preserve">CRR </w:t>
            </w:r>
            <w:r w:rsidR="008C0679">
              <w:rPr>
                <w:iCs/>
                <w:sz w:val="20"/>
              </w:rPr>
              <w:t>Account Holders represented by the Counter-Party</w:t>
            </w:r>
            <w:r>
              <w:rPr>
                <w:iCs/>
                <w:sz w:val="20"/>
              </w:rPr>
              <w:t>.</w:t>
            </w:r>
          </w:p>
        </w:tc>
      </w:tr>
      <w:tr w:rsidR="00A36A5A" w:rsidRPr="00341696" w14:paraId="680D8BAD" w14:textId="77777777" w:rsidTr="00BC3ACE">
        <w:tblPrEx>
          <w:tblLook w:val="01E0" w:firstRow="1" w:lastRow="1" w:firstColumn="1" w:lastColumn="1" w:noHBand="0" w:noVBand="0"/>
        </w:tblPrEx>
        <w:trPr>
          <w:cantSplit/>
          <w:trHeight w:val="350"/>
          <w:tblHeader/>
        </w:trPr>
        <w:tc>
          <w:tcPr>
            <w:tcW w:w="1998" w:type="dxa"/>
          </w:tcPr>
          <w:p w14:paraId="3C68DE54" w14:textId="77777777" w:rsidR="00A36A5A" w:rsidRPr="005B6D42" w:rsidRDefault="00A36A5A" w:rsidP="00077067">
            <w:pPr>
              <w:spacing w:after="60"/>
              <w:rPr>
                <w:i/>
                <w:iCs/>
                <w:sz w:val="20"/>
              </w:rPr>
            </w:pPr>
            <w:r w:rsidRPr="005B6D42">
              <w:rPr>
                <w:i/>
                <w:iCs/>
                <w:sz w:val="20"/>
              </w:rPr>
              <w:t>ci99</w:t>
            </w:r>
          </w:p>
        </w:tc>
        <w:tc>
          <w:tcPr>
            <w:tcW w:w="739" w:type="dxa"/>
          </w:tcPr>
          <w:p w14:paraId="1E260DE4" w14:textId="77777777" w:rsidR="00A36A5A" w:rsidRPr="00341696" w:rsidRDefault="00A36A5A" w:rsidP="00077067">
            <w:pPr>
              <w:spacing w:after="60"/>
              <w:rPr>
                <w:iCs/>
                <w:sz w:val="20"/>
              </w:rPr>
            </w:pPr>
            <w:r>
              <w:rPr>
                <w:iCs/>
                <w:sz w:val="20"/>
              </w:rPr>
              <w:t>none</w:t>
            </w:r>
          </w:p>
        </w:tc>
        <w:tc>
          <w:tcPr>
            <w:tcW w:w="6595" w:type="dxa"/>
          </w:tcPr>
          <w:p w14:paraId="34EFA158" w14:textId="77777777" w:rsidR="00A36A5A" w:rsidRPr="00341696" w:rsidRDefault="00A36A5A" w:rsidP="00077067">
            <w:pPr>
              <w:spacing w:after="60"/>
              <w:rPr>
                <w:iCs/>
                <w:sz w:val="20"/>
              </w:rPr>
            </w:pPr>
            <w:r>
              <w:rPr>
                <w:iCs/>
                <w:sz w:val="20"/>
              </w:rPr>
              <w:t>99</w:t>
            </w:r>
            <w:r w:rsidRPr="00E85945">
              <w:rPr>
                <w:iCs/>
                <w:sz w:val="20"/>
                <w:vertAlign w:val="superscript"/>
              </w:rPr>
              <w:t>th</w:t>
            </w:r>
            <w:r>
              <w:rPr>
                <w:iCs/>
                <w:sz w:val="20"/>
              </w:rPr>
              <w:t xml:space="preserve"> percentile confidence interval.</w:t>
            </w:r>
          </w:p>
        </w:tc>
      </w:tr>
    </w:tbl>
    <w:p w14:paraId="6AB45C76" w14:textId="77777777" w:rsidR="00AA6D6D" w:rsidRPr="0002450E" w:rsidRDefault="00AA6D6D" w:rsidP="00DD1960">
      <w:pPr>
        <w:pStyle w:val="H4"/>
        <w:spacing w:before="480"/>
        <w:ind w:left="1267" w:hanging="1267"/>
        <w:rPr>
          <w:b/>
          <w:bCs/>
        </w:rPr>
      </w:pPr>
      <w:bookmarkStart w:id="493" w:name="_Toc390438971"/>
      <w:bookmarkStart w:id="494" w:name="_Toc405897669"/>
      <w:bookmarkStart w:id="495" w:name="_Toc415055773"/>
      <w:bookmarkStart w:id="496" w:name="_Toc415055899"/>
      <w:bookmarkStart w:id="497" w:name="_Toc415055998"/>
      <w:bookmarkStart w:id="498" w:name="_Toc415056099"/>
      <w:bookmarkStart w:id="499" w:name="_Toc70591642"/>
      <w:r w:rsidRPr="0002450E">
        <w:rPr>
          <w:b/>
          <w:bCs/>
        </w:rPr>
        <w:t>16.11.4.6</w:t>
      </w:r>
      <w:r w:rsidRPr="0002450E">
        <w:rPr>
          <w:b/>
          <w:bCs/>
        </w:rPr>
        <w:tab/>
        <w:t>Determination of Counter-Party Available Credit Limits</w:t>
      </w:r>
      <w:bookmarkEnd w:id="493"/>
      <w:bookmarkEnd w:id="494"/>
      <w:bookmarkEnd w:id="495"/>
      <w:bookmarkEnd w:id="496"/>
      <w:bookmarkEnd w:id="497"/>
      <w:bookmarkEnd w:id="498"/>
      <w:bookmarkEnd w:id="499"/>
      <w:r w:rsidRPr="0002450E">
        <w:rPr>
          <w:b/>
          <w:bCs/>
        </w:rPr>
        <w:t xml:space="preserve"> </w:t>
      </w:r>
    </w:p>
    <w:p w14:paraId="244C1B4C" w14:textId="77777777" w:rsidR="00C84EA9" w:rsidRPr="00D75412" w:rsidRDefault="00C84EA9" w:rsidP="00C84EA9">
      <w:pPr>
        <w:spacing w:after="240"/>
        <w:ind w:left="702" w:hanging="702"/>
        <w:rPr>
          <w:iCs/>
        </w:rPr>
      </w:pPr>
      <w:r>
        <w:rPr>
          <w:iCs/>
        </w:rPr>
        <w:t>(1)</w:t>
      </w:r>
      <w:r w:rsidRPr="00D75412">
        <w:rPr>
          <w:iCs/>
        </w:rPr>
        <w:t xml:space="preserve"> </w:t>
      </w:r>
      <w:r w:rsidRPr="00D75412">
        <w:rPr>
          <w:iCs/>
        </w:rPr>
        <w:tab/>
        <w:t>ERCOT shall calculate an Available Credit Limit for the CRR Auction (ACLC) and an Available Credit Limit for the DAM (ACLD) as follows:</w:t>
      </w:r>
    </w:p>
    <w:p w14:paraId="16BFF2D3" w14:textId="77777777" w:rsidR="00C84EA9" w:rsidRPr="00D75412" w:rsidRDefault="00C84EA9" w:rsidP="00C84EA9">
      <w:pPr>
        <w:spacing w:after="240"/>
        <w:ind w:left="720"/>
        <w:rPr>
          <w:iCs/>
        </w:rPr>
      </w:pPr>
      <w:r w:rsidRPr="00D75412">
        <w:rPr>
          <w:iCs/>
        </w:rPr>
        <w:t>(a)</w:t>
      </w:r>
      <w:r w:rsidRPr="00D75412">
        <w:rPr>
          <w:iCs/>
        </w:rPr>
        <w:tab/>
        <w:t>ACLC for each Counter-Party equal to the maximum of zero and the net of its:</w:t>
      </w:r>
    </w:p>
    <w:p w14:paraId="5CD355AD" w14:textId="77777777" w:rsidR="00C84EA9" w:rsidRPr="00D75412" w:rsidRDefault="00C84EA9" w:rsidP="00C84EA9">
      <w:pPr>
        <w:spacing w:after="240"/>
        <w:ind w:left="2160" w:hanging="720"/>
        <w:rPr>
          <w:iCs/>
        </w:rPr>
      </w:pPr>
      <w:r w:rsidRPr="00D75412">
        <w:rPr>
          <w:iCs/>
        </w:rPr>
        <w:t>(i)</w:t>
      </w:r>
      <w:r w:rsidRPr="00D75412">
        <w:rPr>
          <w:iCs/>
        </w:rPr>
        <w:tab/>
        <w:t xml:space="preserve">Secured Financial Security; minus </w:t>
      </w:r>
    </w:p>
    <w:p w14:paraId="328AC390" w14:textId="77777777" w:rsidR="00C84EA9" w:rsidRPr="00D75412" w:rsidRDefault="00C84EA9" w:rsidP="00C84EA9">
      <w:pPr>
        <w:spacing w:after="240"/>
        <w:ind w:left="2160" w:hanging="720"/>
        <w:rPr>
          <w:iCs/>
        </w:rPr>
      </w:pPr>
      <w:r w:rsidRPr="00D75412">
        <w:rPr>
          <w:iCs/>
        </w:rPr>
        <w:t>(ii)</w:t>
      </w:r>
      <w:r w:rsidRPr="00D75412">
        <w:rPr>
          <w:iCs/>
        </w:rPr>
        <w:tab/>
      </w:r>
      <w:r>
        <w:rPr>
          <w:iCs/>
        </w:rPr>
        <w:t xml:space="preserve">(1+ACLIRF) * </w:t>
      </w:r>
      <w:r w:rsidRPr="00D75412">
        <w:rPr>
          <w:iCs/>
        </w:rPr>
        <w:t>TPES; minus</w:t>
      </w:r>
    </w:p>
    <w:p w14:paraId="107D2C81" w14:textId="77777777" w:rsidR="00C84EA9" w:rsidRPr="00D75412" w:rsidRDefault="00C84EA9" w:rsidP="00C84EA9">
      <w:pPr>
        <w:spacing w:after="240"/>
        <w:ind w:left="1440"/>
        <w:rPr>
          <w:iCs/>
        </w:rPr>
      </w:pPr>
      <w:r w:rsidRPr="00D75412">
        <w:rPr>
          <w:iCs/>
        </w:rPr>
        <w:t>(iii)</w:t>
      </w:r>
      <w:r w:rsidRPr="00D75412">
        <w:rPr>
          <w:b/>
          <w:iCs/>
        </w:rPr>
        <w:tab/>
      </w:r>
      <w:r w:rsidRPr="00D75412">
        <w:rPr>
          <w:iCs/>
        </w:rPr>
        <w:t>Net Positive Exposure of approved CRR Bilateral Trades; minus</w:t>
      </w:r>
    </w:p>
    <w:p w14:paraId="2D210564" w14:textId="77777777" w:rsidR="00C84EA9" w:rsidRPr="00D75412" w:rsidRDefault="00C84EA9" w:rsidP="00C84EA9">
      <w:pPr>
        <w:spacing w:after="240"/>
        <w:ind w:left="2160" w:hanging="720"/>
        <w:rPr>
          <w:iCs/>
        </w:rPr>
      </w:pPr>
      <w:r w:rsidRPr="00D75412">
        <w:rPr>
          <w:iCs/>
        </w:rPr>
        <w:lastRenderedPageBreak/>
        <w:t>(iv)</w:t>
      </w:r>
      <w:r w:rsidRPr="00D75412">
        <w:rPr>
          <w:iCs/>
        </w:rPr>
        <w:tab/>
        <w:t xml:space="preserve">Maximum of: </w:t>
      </w:r>
    </w:p>
    <w:p w14:paraId="66D88D77" w14:textId="77777777" w:rsidR="00C84EA9" w:rsidRPr="00D75412" w:rsidRDefault="00C84EA9" w:rsidP="00C84EA9">
      <w:pPr>
        <w:spacing w:after="240"/>
        <w:ind w:left="2880" w:hanging="720"/>
        <w:rPr>
          <w:iCs/>
        </w:rPr>
      </w:pPr>
      <w:r w:rsidRPr="00D75412">
        <w:rPr>
          <w:iCs/>
        </w:rPr>
        <w:t>(A)</w:t>
      </w:r>
      <w:r w:rsidRPr="00D75412">
        <w:rPr>
          <w:iCs/>
        </w:rPr>
        <w:tab/>
        <w:t xml:space="preserve">Zero; and </w:t>
      </w:r>
    </w:p>
    <w:p w14:paraId="1CB7FAA7" w14:textId="77777777" w:rsidR="00C84EA9" w:rsidRPr="00D75412" w:rsidRDefault="00C84EA9" w:rsidP="00C84EA9">
      <w:pPr>
        <w:spacing w:after="240"/>
        <w:ind w:left="2880" w:hanging="720"/>
        <w:rPr>
          <w:iCs/>
        </w:rPr>
      </w:pPr>
      <w:r w:rsidRPr="00D75412">
        <w:rPr>
          <w:iCs/>
        </w:rPr>
        <w:t>(B)</w:t>
      </w:r>
      <w:r w:rsidRPr="00D75412">
        <w:rPr>
          <w:iCs/>
        </w:rPr>
        <w:tab/>
      </w:r>
      <w:r>
        <w:rPr>
          <w:iCs/>
        </w:rPr>
        <w:t xml:space="preserve">((1+ACLIRF) * </w:t>
      </w:r>
      <w:r w:rsidRPr="00D75412">
        <w:rPr>
          <w:iCs/>
        </w:rPr>
        <w:t>TPEA</w:t>
      </w:r>
      <w:r>
        <w:rPr>
          <w:iCs/>
        </w:rPr>
        <w:t>)</w:t>
      </w:r>
      <w:r w:rsidRPr="00D75412">
        <w:rPr>
          <w:iCs/>
        </w:rPr>
        <w:t xml:space="preserve"> minus the Unsecured Credit Limit minus Financial Security defined as guarantees in paragraph </w:t>
      </w:r>
      <w:r w:rsidR="00C42CCF">
        <w:rPr>
          <w:iCs/>
        </w:rPr>
        <w:t>(1)</w:t>
      </w:r>
      <w:r w:rsidRPr="00D75412">
        <w:rPr>
          <w:iCs/>
        </w:rPr>
        <w:t>(a) of Section 16.11.3, Alternative Means of Satisfying ERCOT Creditworthiness Requirements.</w:t>
      </w:r>
    </w:p>
    <w:p w14:paraId="5917AC23" w14:textId="77777777" w:rsidR="00C84EA9" w:rsidRPr="00D75412" w:rsidRDefault="00C84EA9" w:rsidP="00C84EA9">
      <w:pPr>
        <w:spacing w:after="240"/>
        <w:ind w:firstLine="720"/>
        <w:rPr>
          <w:iCs/>
        </w:rPr>
      </w:pPr>
      <w:r w:rsidRPr="00D75412">
        <w:rPr>
          <w:iCs/>
        </w:rPr>
        <w:t>(b)</w:t>
      </w:r>
      <w:r w:rsidRPr="00D75412">
        <w:rPr>
          <w:iCs/>
        </w:rPr>
        <w:tab/>
        <w:t>ACLD for each Counter-Party equal to the maximum of zero and the net of its:</w:t>
      </w:r>
    </w:p>
    <w:p w14:paraId="7C33A1E3" w14:textId="77777777" w:rsidR="00C84EA9" w:rsidRPr="00D75412" w:rsidRDefault="00C84EA9" w:rsidP="00C84EA9">
      <w:pPr>
        <w:spacing w:after="240"/>
        <w:ind w:left="2160" w:hanging="720"/>
        <w:rPr>
          <w:iCs/>
        </w:rPr>
      </w:pPr>
      <w:r w:rsidRPr="00D75412">
        <w:rPr>
          <w:iCs/>
        </w:rPr>
        <w:t>(i)</w:t>
      </w:r>
      <w:r w:rsidRPr="00D75412">
        <w:rPr>
          <w:iCs/>
        </w:rPr>
        <w:tab/>
        <w:t>Unsecured Credit Limit; plus</w:t>
      </w:r>
    </w:p>
    <w:p w14:paraId="63D6863C" w14:textId="77777777" w:rsidR="00C84EA9" w:rsidRPr="00D75412" w:rsidRDefault="00C84EA9" w:rsidP="00C84EA9">
      <w:pPr>
        <w:spacing w:after="240"/>
        <w:ind w:left="2160" w:hanging="720"/>
        <w:rPr>
          <w:iCs/>
        </w:rPr>
      </w:pPr>
      <w:r w:rsidRPr="00D75412">
        <w:rPr>
          <w:iCs/>
        </w:rPr>
        <w:t>(ii)</w:t>
      </w:r>
      <w:r w:rsidRPr="00D75412">
        <w:rPr>
          <w:iCs/>
        </w:rPr>
        <w:tab/>
        <w:t xml:space="preserve">Financial Security defined as guarantees in paragraph </w:t>
      </w:r>
      <w:r w:rsidR="00C42CCF">
        <w:rPr>
          <w:iCs/>
        </w:rPr>
        <w:t>(1)</w:t>
      </w:r>
      <w:r w:rsidRPr="00D75412">
        <w:rPr>
          <w:iCs/>
        </w:rPr>
        <w:t>(a) of Section 16.11.3; plus</w:t>
      </w:r>
    </w:p>
    <w:p w14:paraId="37E8A6E8" w14:textId="77777777" w:rsidR="00C84EA9" w:rsidRPr="00142152" w:rsidRDefault="00C84EA9" w:rsidP="00C84EA9">
      <w:pPr>
        <w:spacing w:after="240"/>
        <w:ind w:left="2160" w:hanging="720"/>
        <w:rPr>
          <w:iCs/>
        </w:rPr>
      </w:pPr>
      <w:r w:rsidRPr="00142152">
        <w:rPr>
          <w:iCs/>
        </w:rPr>
        <w:t>(iii)</w:t>
      </w:r>
      <w:r w:rsidRPr="00142152">
        <w:rPr>
          <w:iCs/>
        </w:rPr>
        <w:tab/>
        <w:t>Remainder Collateral; minus</w:t>
      </w:r>
    </w:p>
    <w:p w14:paraId="7357D677" w14:textId="77777777" w:rsidR="00C84EA9" w:rsidRPr="00142152" w:rsidRDefault="00C84EA9" w:rsidP="00C84EA9">
      <w:pPr>
        <w:spacing w:after="240"/>
        <w:ind w:left="2160" w:hanging="720"/>
        <w:rPr>
          <w:iCs/>
        </w:rPr>
      </w:pPr>
      <w:r w:rsidRPr="00142152">
        <w:rPr>
          <w:iCs/>
        </w:rPr>
        <w:t>(iv)</w:t>
      </w:r>
      <w:r w:rsidRPr="00142152">
        <w:rPr>
          <w:iCs/>
        </w:rPr>
        <w:tab/>
        <w:t>ACLIRF * TPES; minus</w:t>
      </w:r>
    </w:p>
    <w:p w14:paraId="0BCB7850" w14:textId="77777777" w:rsidR="00C84EA9" w:rsidRPr="00D75412" w:rsidRDefault="00C84EA9" w:rsidP="00C84EA9">
      <w:pPr>
        <w:spacing w:after="240"/>
        <w:ind w:left="2160" w:hanging="720"/>
        <w:rPr>
          <w:iCs/>
        </w:rPr>
      </w:pPr>
      <w:r>
        <w:rPr>
          <w:iCs/>
        </w:rPr>
        <w:t>(v)</w:t>
      </w:r>
      <w:r>
        <w:rPr>
          <w:iCs/>
        </w:rPr>
        <w:tab/>
        <w:t xml:space="preserve">(1+ACLIRF) * </w:t>
      </w:r>
      <w:r w:rsidRPr="00D75412">
        <w:rPr>
          <w:iCs/>
        </w:rPr>
        <w:t>TPEA.</w:t>
      </w:r>
    </w:p>
    <w:p w14:paraId="17D349E4" w14:textId="77777777" w:rsidR="00C84EA9" w:rsidRDefault="00C84EA9" w:rsidP="00C84EA9">
      <w:pPr>
        <w:spacing w:after="240"/>
        <w:ind w:left="1440" w:hanging="720"/>
        <w:rPr>
          <w:iCs/>
        </w:rPr>
      </w:pPr>
      <w:r w:rsidRPr="00D75412">
        <w:rPr>
          <w:iCs/>
        </w:rPr>
        <w:t>(c)</w:t>
      </w:r>
      <w:r w:rsidRPr="00D75412">
        <w:rPr>
          <w:iCs/>
        </w:rPr>
        <w:tab/>
        <w:t>If all or part of a Counter-Party’s ACLC and/or ACLD cannot be computed due to an ERCOT computer system failure</w:t>
      </w:r>
      <w:r w:rsidR="000B55EF">
        <w:rPr>
          <w:iCs/>
        </w:rPr>
        <w:t xml:space="preserve"> or Market Suspension</w:t>
      </w:r>
      <w:r w:rsidRPr="00D75412">
        <w:rPr>
          <w:iCs/>
        </w:rPr>
        <w:t>, then ERCOT shall estimate ACLC and/or ACLD for that Counter-Party and provide the information used to determine such estimates to that Counter-Party.  If  all or part of ACLC and/or ACLD cannot be estimated with current data, then the most recently available values shall be used to determine the Counter-Party’s ACLC and/or ACLD.  ERCOT shall provide electronic Notice, as soon as practicable, to Counter-Parties when utilizing this methodology, and shall further provide electronic Notice to Counter-Parties when current data is restored and available to calculate ACLC and ACLD under paragraphs (a) and (b) above.</w:t>
      </w:r>
    </w:p>
    <w:p w14:paraId="1FC6657B" w14:textId="77777777" w:rsidR="00C84EA9" w:rsidRDefault="00C84EA9" w:rsidP="00C42CCF">
      <w:pPr>
        <w:rPr>
          <w:iCs/>
        </w:rPr>
      </w:pPr>
      <w:r>
        <w:rPr>
          <w:iCs/>
        </w:rPr>
        <w:t>The above parameters are defined as follows</w:t>
      </w:r>
      <w:r w:rsidR="000B55EF">
        <w:rPr>
          <w:iCs/>
        </w:rPr>
        <w:t>:</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C84EA9" w:rsidRPr="00D74ADF" w14:paraId="04382915" w14:textId="77777777" w:rsidTr="00C84EA9">
        <w:trPr>
          <w:trHeight w:val="351"/>
          <w:tblHeader/>
        </w:trPr>
        <w:tc>
          <w:tcPr>
            <w:tcW w:w="1571" w:type="dxa"/>
          </w:tcPr>
          <w:p w14:paraId="192FD543" w14:textId="77777777" w:rsidR="00C84EA9" w:rsidRPr="00A8084A" w:rsidRDefault="00C84EA9" w:rsidP="005551AD">
            <w:pPr>
              <w:pStyle w:val="TableHead"/>
            </w:pPr>
            <w:r w:rsidRPr="00E10651">
              <w:t>Parameter</w:t>
            </w:r>
          </w:p>
        </w:tc>
        <w:tc>
          <w:tcPr>
            <w:tcW w:w="1691" w:type="dxa"/>
          </w:tcPr>
          <w:p w14:paraId="5B1519F2" w14:textId="77777777" w:rsidR="00C84EA9" w:rsidRPr="00A8084A" w:rsidRDefault="00C84EA9" w:rsidP="005551AD">
            <w:pPr>
              <w:pStyle w:val="TableHead"/>
            </w:pPr>
            <w:r w:rsidRPr="00A8084A">
              <w:t>Unit</w:t>
            </w:r>
          </w:p>
        </w:tc>
        <w:tc>
          <w:tcPr>
            <w:tcW w:w="5854" w:type="dxa"/>
          </w:tcPr>
          <w:p w14:paraId="53913201" w14:textId="77777777" w:rsidR="00C84EA9" w:rsidRPr="00A8084A" w:rsidRDefault="00C84EA9" w:rsidP="005551AD">
            <w:pPr>
              <w:pStyle w:val="TableHead"/>
            </w:pPr>
            <w:r w:rsidRPr="00A8084A">
              <w:t>Current Value*</w:t>
            </w:r>
          </w:p>
        </w:tc>
      </w:tr>
      <w:tr w:rsidR="00C84EA9" w:rsidRPr="00D74ADF" w14:paraId="0842D05C" w14:textId="77777777" w:rsidTr="00C84EA9">
        <w:trPr>
          <w:trHeight w:val="404"/>
        </w:trPr>
        <w:tc>
          <w:tcPr>
            <w:tcW w:w="1571" w:type="dxa"/>
          </w:tcPr>
          <w:p w14:paraId="798CC080" w14:textId="77777777" w:rsidR="00C84EA9" w:rsidRPr="00A8084A" w:rsidRDefault="00C84EA9" w:rsidP="005551AD">
            <w:pPr>
              <w:pStyle w:val="TableBody"/>
              <w:rPr>
                <w:i/>
              </w:rPr>
            </w:pPr>
            <w:r w:rsidRPr="00E10651">
              <w:rPr>
                <w:i/>
              </w:rPr>
              <w:t>ACLIRF</w:t>
            </w:r>
          </w:p>
        </w:tc>
        <w:tc>
          <w:tcPr>
            <w:tcW w:w="1691" w:type="dxa"/>
          </w:tcPr>
          <w:p w14:paraId="27C1DF58" w14:textId="77777777" w:rsidR="00C84EA9" w:rsidRPr="00A8084A" w:rsidRDefault="00C84EA9" w:rsidP="005551AD">
            <w:pPr>
              <w:pStyle w:val="TableBody"/>
            </w:pPr>
            <w:r w:rsidRPr="00A8084A">
              <w:t>Percentage</w:t>
            </w:r>
          </w:p>
        </w:tc>
        <w:tc>
          <w:tcPr>
            <w:tcW w:w="5854" w:type="dxa"/>
          </w:tcPr>
          <w:p w14:paraId="53A1FBB9" w14:textId="77777777" w:rsidR="00C84EA9" w:rsidRPr="00A8084A" w:rsidRDefault="00C84EA9" w:rsidP="005551AD">
            <w:pPr>
              <w:pStyle w:val="TableBody"/>
            </w:pPr>
            <w:r w:rsidRPr="000E0746">
              <w:t>10%</w:t>
            </w:r>
            <w:r>
              <w:rPr>
                <w:i/>
              </w:rPr>
              <w:t xml:space="preserve"> </w:t>
            </w:r>
            <w:r w:rsidRPr="000E0746">
              <w:rPr>
                <w:i/>
              </w:rPr>
              <w:t>—</w:t>
            </w:r>
            <w:r>
              <w:rPr>
                <w:i/>
              </w:rPr>
              <w:t xml:space="preserve"> </w:t>
            </w:r>
            <w:r w:rsidRPr="00182062">
              <w:rPr>
                <w:i/>
              </w:rPr>
              <w:t>ACL Incremental Risk Factor</w:t>
            </w:r>
            <w:r w:rsidRPr="00A8084A">
              <w:t>.</w:t>
            </w:r>
          </w:p>
        </w:tc>
      </w:tr>
      <w:tr w:rsidR="00C84EA9" w:rsidRPr="00BE4766" w14:paraId="64FEC569" w14:textId="77777777" w:rsidTr="00C84EA9">
        <w:trPr>
          <w:trHeight w:val="519"/>
        </w:trPr>
        <w:tc>
          <w:tcPr>
            <w:tcW w:w="9116" w:type="dxa"/>
            <w:gridSpan w:val="3"/>
          </w:tcPr>
          <w:p w14:paraId="06401F55" w14:textId="77777777" w:rsidR="00C84EA9" w:rsidRPr="00A8084A" w:rsidRDefault="00C84EA9" w:rsidP="005551AD">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1CE83C91" w14:textId="77777777" w:rsidR="00F56ABB" w:rsidRDefault="00727E32" w:rsidP="00853D39">
      <w:pPr>
        <w:pStyle w:val="H5"/>
        <w:spacing w:before="480"/>
        <w:ind w:left="1627" w:hanging="1627"/>
      </w:pPr>
      <w:bookmarkStart w:id="500" w:name="_Toc390438972"/>
      <w:bookmarkStart w:id="501" w:name="_Toc405897670"/>
      <w:bookmarkStart w:id="502" w:name="_Toc415055774"/>
      <w:bookmarkStart w:id="503" w:name="_Toc415055900"/>
      <w:bookmarkStart w:id="504" w:name="_Toc415055999"/>
      <w:bookmarkStart w:id="505" w:name="_Toc415056100"/>
      <w:bookmarkStart w:id="506" w:name="_Toc70591643"/>
      <w:r>
        <w:t>16.11.4.6.1</w:t>
      </w:r>
      <w:r>
        <w:tab/>
        <w:t>Credit Requirements for CRR Auction Participation</w:t>
      </w:r>
      <w:bookmarkEnd w:id="500"/>
      <w:bookmarkEnd w:id="501"/>
      <w:bookmarkEnd w:id="502"/>
      <w:bookmarkEnd w:id="503"/>
      <w:bookmarkEnd w:id="504"/>
      <w:bookmarkEnd w:id="505"/>
      <w:bookmarkEnd w:id="506"/>
    </w:p>
    <w:p w14:paraId="14683DFA" w14:textId="7DFCFE2C" w:rsidR="00FC1C5F" w:rsidRDefault="00891D7E">
      <w:pPr>
        <w:pStyle w:val="List"/>
        <w:ind w:left="720"/>
      </w:pPr>
      <w:r w:rsidRPr="002475CE">
        <w:rPr>
          <w:iCs/>
        </w:rPr>
        <w:t>(1)</w:t>
      </w:r>
      <w:r w:rsidRPr="002475CE">
        <w:rPr>
          <w:iCs/>
        </w:rPr>
        <w:tab/>
      </w:r>
      <w:r w:rsidR="00CB2A95" w:rsidRPr="00B07CBC">
        <w:rPr>
          <w:iCs/>
        </w:rPr>
        <w:t xml:space="preserve">As a requirement for participation in any CRR Auction, </w:t>
      </w:r>
      <w:r w:rsidR="00CB2A95">
        <w:rPr>
          <w:iCs/>
        </w:rPr>
        <w:t>e</w:t>
      </w:r>
      <w:r w:rsidRPr="002475CE">
        <w:rPr>
          <w:iCs/>
        </w:rPr>
        <w:t xml:space="preserve">ach Counter-Party participating in any CRR Auction, including those as permitted by Sections 16.11.6.1.4, Repossession of CRRs by ERCOT, and 16.11.6.1.5, Declaration of Forfeit of CRRs, shall communicate </w:t>
      </w:r>
      <w:r w:rsidRPr="002475CE">
        <w:rPr>
          <w:iCs/>
        </w:rPr>
        <w:lastRenderedPageBreak/>
        <w:t>to ERCOT the credit limit it would like to establish for the CRR Auction prior to the close of the CRR bid submission window.</w:t>
      </w:r>
      <w:r w:rsidR="00727E32" w:rsidRPr="00891D7E">
        <w:t xml:space="preserve"> </w:t>
      </w:r>
    </w:p>
    <w:p w14:paraId="0B3C616F" w14:textId="77777777" w:rsidR="009F0904" w:rsidRPr="00891D7E" w:rsidRDefault="009F0904" w:rsidP="00AC6018">
      <w:pPr>
        <w:pStyle w:val="List"/>
        <w:ind w:left="720"/>
      </w:pPr>
      <w:r>
        <w:rPr>
          <w:iCs/>
        </w:rPr>
        <w:t>(2)</w:t>
      </w:r>
      <w:r>
        <w:rPr>
          <w:iCs/>
        </w:rPr>
        <w:tab/>
        <w:t>Consistent with paragraph (4)(c)(ii) of Section 7.5.1, Nature and Timing, ERCOT shall only modify the credit limit date in paragraph (1) above under a condition in which an ERCOT computer system failure causes Counter-Parties to be delayed or unable in submitting their credit limits for the CRR Auction and ERCOT determines that the successful execution of the CRR Auction would be jeopardized without such modification.</w:t>
      </w:r>
      <w:r w:rsidRPr="00891D7E">
        <w:t xml:space="preserve"> </w:t>
      </w:r>
      <w:r>
        <w:t xml:space="preserve"> </w:t>
      </w:r>
      <w:r>
        <w:rPr>
          <w:iCs/>
        </w:rPr>
        <w:t>In such an event, ERCOT will issue a Market Notice advising of the revised credit limit date and its cause.</w:t>
      </w:r>
    </w:p>
    <w:p w14:paraId="077C9A85" w14:textId="77777777" w:rsidR="00CB2A95" w:rsidRPr="00496C32" w:rsidRDefault="00AA6D6D" w:rsidP="00CB2A95">
      <w:pPr>
        <w:pStyle w:val="BodyTextNumbered"/>
      </w:pPr>
      <w:r w:rsidRPr="00DD1960">
        <w:rPr>
          <w:iCs w:val="0"/>
        </w:rPr>
        <w:t>(</w:t>
      </w:r>
      <w:r w:rsidR="009F0904">
        <w:rPr>
          <w:iCs w:val="0"/>
        </w:rPr>
        <w:t>3</w:t>
      </w:r>
      <w:r w:rsidRPr="00DD1960">
        <w:rPr>
          <w:iCs w:val="0"/>
        </w:rPr>
        <w:t>)</w:t>
      </w:r>
      <w:r w:rsidRPr="00DD1960">
        <w:rPr>
          <w:iCs w:val="0"/>
        </w:rPr>
        <w:tab/>
      </w:r>
      <w:r w:rsidR="00CB2A95" w:rsidRPr="00496C32">
        <w:t>ERCOT shall assign the ACL locked for CRR Auction for each Counter-Party participating in any CRR Auction as the lower of the Counter-Party’s:</w:t>
      </w:r>
    </w:p>
    <w:p w14:paraId="524082A2" w14:textId="77777777" w:rsidR="00CB2A95" w:rsidRPr="00496C32" w:rsidRDefault="00CB2A95" w:rsidP="00CB2A95">
      <w:pPr>
        <w:pStyle w:val="BodyText"/>
        <w:ind w:left="1440" w:hanging="720"/>
      </w:pPr>
      <w:r w:rsidRPr="00496C32">
        <w:t>(a)</w:t>
      </w:r>
      <w:r w:rsidRPr="00496C32">
        <w:tab/>
        <w:t>Requested credit limit, as described in</w:t>
      </w:r>
      <w:r>
        <w:t xml:space="preserve"> paragraph (1) above;</w:t>
      </w:r>
      <w:r w:rsidRPr="00496C32">
        <w:t xml:space="preserve"> </w:t>
      </w:r>
    </w:p>
    <w:p w14:paraId="0FE06209" w14:textId="77777777" w:rsidR="00CB2A95" w:rsidRPr="00496C32" w:rsidRDefault="00CB2A95" w:rsidP="00CB2A95">
      <w:pPr>
        <w:pStyle w:val="BodyText"/>
        <w:ind w:left="1440" w:hanging="720"/>
      </w:pPr>
      <w:r w:rsidRPr="00496C32">
        <w:t>(b)</w:t>
      </w:r>
      <w:r w:rsidRPr="00496C32">
        <w:tab/>
        <w:t>ACLC, calculated in accordance with paragraph (1)(a) of Section 16.11.4.6, Determination of Counter-Party Available Credit Limits, at the time of the closure o</w:t>
      </w:r>
      <w:r>
        <w:t>f the CRR bid submission window;</w:t>
      </w:r>
      <w:r w:rsidRPr="00496C32">
        <w:t xml:space="preserve"> or</w:t>
      </w:r>
    </w:p>
    <w:p w14:paraId="2672A336" w14:textId="1569AA8E" w:rsidR="00FC1C5F" w:rsidRDefault="00CB2A95" w:rsidP="00AC6018">
      <w:pPr>
        <w:pStyle w:val="BodyText"/>
        <w:ind w:left="1440" w:hanging="720"/>
        <w:rPr>
          <w:iCs w:val="0"/>
        </w:rPr>
      </w:pPr>
      <w:r w:rsidRPr="00496C32">
        <w:t>(c)</w:t>
      </w:r>
      <w:r w:rsidRPr="00496C32">
        <w:tab/>
        <w:t>Pre-auction screening credit exposure amount, calculated in accordance with paragraph (2) of Section 7.5.5.3, Auction Process.</w:t>
      </w:r>
      <w:r w:rsidR="00AA6D6D" w:rsidRPr="00DD1960">
        <w:rPr>
          <w:iCs w:val="0"/>
        </w:rPr>
        <w:t xml:space="preserve"> </w:t>
      </w:r>
    </w:p>
    <w:p w14:paraId="51D8B995" w14:textId="11C0BD4A" w:rsidR="00F56ABB" w:rsidRDefault="00727E32" w:rsidP="00AC6018">
      <w:pPr>
        <w:pStyle w:val="BodyTextNumbered"/>
      </w:pPr>
      <w:r>
        <w:t>(</w:t>
      </w:r>
      <w:r w:rsidR="009F0904">
        <w:t>4</w:t>
      </w:r>
      <w:r>
        <w:t>)</w:t>
      </w:r>
      <w:r>
        <w:tab/>
        <w:t xml:space="preserve">ERCOT shall impose a credit limit in awarding bids and offers in the CRR Auction as described in Section 7.5.5.3. </w:t>
      </w:r>
    </w:p>
    <w:p w14:paraId="02547C73" w14:textId="77777777" w:rsidR="00FC1C5F" w:rsidRDefault="00727E32">
      <w:pPr>
        <w:pStyle w:val="H5"/>
      </w:pPr>
      <w:bookmarkStart w:id="507" w:name="_Toc390438973"/>
      <w:bookmarkStart w:id="508" w:name="_Toc405897671"/>
      <w:bookmarkStart w:id="509" w:name="_Toc415055775"/>
      <w:bookmarkStart w:id="510" w:name="_Toc415055901"/>
      <w:bookmarkStart w:id="511" w:name="_Toc415056000"/>
      <w:bookmarkStart w:id="512" w:name="_Toc415056101"/>
      <w:bookmarkStart w:id="513" w:name="_Toc70591644"/>
      <w:r>
        <w:t>16.11.4.6.2</w:t>
      </w:r>
      <w:r>
        <w:tab/>
        <w:t>Credit Requirements for DAM Participation</w:t>
      </w:r>
      <w:bookmarkEnd w:id="507"/>
      <w:bookmarkEnd w:id="508"/>
      <w:bookmarkEnd w:id="509"/>
      <w:bookmarkEnd w:id="510"/>
      <w:bookmarkEnd w:id="511"/>
      <w:bookmarkEnd w:id="512"/>
      <w:bookmarkEnd w:id="513"/>
    </w:p>
    <w:p w14:paraId="7E36E9CB" w14:textId="77777777" w:rsidR="00FC1C5F" w:rsidRPr="00AA6D6D" w:rsidRDefault="00AA6D6D">
      <w:pPr>
        <w:autoSpaceDE w:val="0"/>
        <w:autoSpaceDN w:val="0"/>
        <w:adjustRightInd w:val="0"/>
        <w:spacing w:after="240"/>
        <w:ind w:left="720" w:hanging="720"/>
        <w:rPr>
          <w:color w:val="000000"/>
        </w:rPr>
      </w:pPr>
      <w:r w:rsidRPr="00DD1960">
        <w:rPr>
          <w:iCs/>
          <w:color w:val="000000"/>
        </w:rPr>
        <w:t>(1)</w:t>
      </w:r>
      <w:r w:rsidRPr="00DD1960">
        <w:rPr>
          <w:iCs/>
          <w:color w:val="000000"/>
        </w:rPr>
        <w:tab/>
      </w:r>
      <w:r w:rsidR="00C84EA9" w:rsidRPr="00D75412">
        <w:rPr>
          <w:iCs/>
          <w:color w:val="000000"/>
        </w:rPr>
        <w:t xml:space="preserve">ERCOT shall impose a credit limit </w:t>
      </w:r>
      <w:r w:rsidR="00C84EA9">
        <w:rPr>
          <w:iCs/>
          <w:color w:val="000000"/>
        </w:rPr>
        <w:t xml:space="preserve">of the ACLD </w:t>
      </w:r>
      <w:r w:rsidR="00C84EA9" w:rsidRPr="00D75412">
        <w:rPr>
          <w:iCs/>
          <w:color w:val="000000"/>
        </w:rPr>
        <w:t>on each Counter-Party participating in the DAM.</w:t>
      </w:r>
    </w:p>
    <w:p w14:paraId="1BB3FC6C" w14:textId="77777777" w:rsidR="00F56ABB" w:rsidRDefault="00727E32" w:rsidP="004C4936">
      <w:pPr>
        <w:autoSpaceDE w:val="0"/>
        <w:autoSpaceDN w:val="0"/>
        <w:adjustRightInd w:val="0"/>
        <w:spacing w:after="240"/>
        <w:ind w:left="720" w:hanging="720"/>
        <w:rPr>
          <w:color w:val="000000"/>
        </w:rPr>
      </w:pPr>
      <w:r>
        <w:rPr>
          <w:color w:val="000000"/>
        </w:rPr>
        <w:t>(2)</w:t>
      </w:r>
      <w:r>
        <w:rPr>
          <w:color w:val="000000"/>
        </w:rPr>
        <w:tab/>
        <w:t xml:space="preserve">ERCOT shall impose the credit limit for DAM participation calculated in </w:t>
      </w:r>
      <w:r w:rsidR="00D54104">
        <w:rPr>
          <w:color w:val="000000"/>
        </w:rPr>
        <w:t xml:space="preserve">paragraph </w:t>
      </w:r>
      <w:r>
        <w:rPr>
          <w:color w:val="000000"/>
        </w:rPr>
        <w:t>(1) above on the Counter-Party’s QSEs and all Subordinate QSEs combined participation in the DAM as described in Section 4.4.10, Credit Requirement for DAM Bids and Offers.</w:t>
      </w:r>
    </w:p>
    <w:p w14:paraId="62E78663" w14:textId="77777777" w:rsidR="00727575" w:rsidRDefault="00727575">
      <w:pPr>
        <w:autoSpaceDE w:val="0"/>
        <w:autoSpaceDN w:val="0"/>
        <w:adjustRightInd w:val="0"/>
        <w:spacing w:after="240"/>
        <w:ind w:left="720" w:hanging="720"/>
        <w:rPr>
          <w:color w:val="000000"/>
        </w:rPr>
      </w:pPr>
      <w:r>
        <w:rPr>
          <w:color w:val="000000"/>
        </w:rPr>
        <w:t>(3)</w:t>
      </w:r>
      <w:r>
        <w:rPr>
          <w:color w:val="000000"/>
        </w:rPr>
        <w:tab/>
        <w:t>A new credit limit will be sent to each Counter-Party participating in the DAM daily.</w:t>
      </w:r>
    </w:p>
    <w:p w14:paraId="671B64EC" w14:textId="77777777" w:rsidR="00FC1C5F" w:rsidRPr="00D63F95" w:rsidRDefault="00727E32" w:rsidP="004A233E">
      <w:pPr>
        <w:pStyle w:val="H4"/>
        <w:ind w:left="1267" w:hanging="1267"/>
        <w:rPr>
          <w:b/>
          <w:szCs w:val="24"/>
        </w:rPr>
      </w:pPr>
      <w:bookmarkStart w:id="514" w:name="_Toc191443421"/>
      <w:bookmarkStart w:id="515" w:name="_Toc390438974"/>
      <w:bookmarkStart w:id="516" w:name="_Toc405897672"/>
      <w:bookmarkStart w:id="517" w:name="_Toc415055776"/>
      <w:bookmarkStart w:id="518" w:name="_Toc415055902"/>
      <w:bookmarkStart w:id="519" w:name="_Toc415056001"/>
      <w:bookmarkStart w:id="520" w:name="_Toc415056102"/>
      <w:bookmarkStart w:id="521" w:name="_Toc70591645"/>
      <w:r w:rsidRPr="00D63F95">
        <w:rPr>
          <w:b/>
          <w:szCs w:val="24"/>
        </w:rPr>
        <w:t>16.11.4.7</w:t>
      </w:r>
      <w:r w:rsidRPr="00D63F95">
        <w:rPr>
          <w:b/>
          <w:szCs w:val="24"/>
        </w:rPr>
        <w:tab/>
      </w:r>
      <w:bookmarkEnd w:id="514"/>
      <w:r w:rsidRPr="00D63F95">
        <w:rPr>
          <w:b/>
          <w:szCs w:val="24"/>
        </w:rPr>
        <w:t>Credit Monitoring and Management Reports</w:t>
      </w:r>
      <w:bookmarkEnd w:id="515"/>
      <w:bookmarkEnd w:id="516"/>
      <w:bookmarkEnd w:id="517"/>
      <w:bookmarkEnd w:id="518"/>
      <w:bookmarkEnd w:id="519"/>
      <w:bookmarkEnd w:id="520"/>
      <w:bookmarkEnd w:id="521"/>
    </w:p>
    <w:p w14:paraId="20FB8D39" w14:textId="0D369B45" w:rsidR="005610DA" w:rsidRDefault="005610DA" w:rsidP="005610DA">
      <w:pPr>
        <w:autoSpaceDE w:val="0"/>
        <w:autoSpaceDN w:val="0"/>
        <w:adjustRightInd w:val="0"/>
        <w:spacing w:after="240"/>
        <w:ind w:left="720" w:hanging="720"/>
        <w:rPr>
          <w:szCs w:val="24"/>
        </w:rPr>
      </w:pPr>
      <w:bookmarkStart w:id="522" w:name="_Toc390438975"/>
      <w:bookmarkStart w:id="523" w:name="_Toc405897673"/>
      <w:bookmarkStart w:id="524" w:name="_Toc415055777"/>
      <w:bookmarkStart w:id="525" w:name="_Toc415055903"/>
      <w:bookmarkStart w:id="526" w:name="_Toc415056002"/>
      <w:bookmarkStart w:id="527" w:name="_Toc415056103"/>
      <w:r>
        <w:rPr>
          <w:szCs w:val="24"/>
        </w:rPr>
        <w:t>(1)</w:t>
      </w:r>
      <w:r>
        <w:rPr>
          <w:szCs w:val="24"/>
        </w:rPr>
        <w:tab/>
      </w:r>
      <w:r>
        <w:rPr>
          <w:color w:val="000000"/>
        </w:rPr>
        <w:t>ERCOT</w:t>
      </w:r>
      <w:r>
        <w:rPr>
          <w:szCs w:val="24"/>
        </w:rPr>
        <w:t xml:space="preserve"> shall post twice each Business Day on the Market Information System (MIS) Certified Area each active Counter-Party’s credit monitoring and management related reports as listed below.  The first posting shall be made by 1200 and the second posting shall be made as close as reasonably possible to the close of the Business Day but no later than 2350.  </w:t>
      </w:r>
      <w:r w:rsidRPr="00CB72C4">
        <w:t xml:space="preserve">The reports listed in </w:t>
      </w:r>
      <w:r>
        <w:t xml:space="preserve">items </w:t>
      </w:r>
      <w:r w:rsidRPr="00CB72C4">
        <w:t>(</w:t>
      </w:r>
      <w:r>
        <w:t>f</w:t>
      </w:r>
      <w:r w:rsidRPr="00CB72C4">
        <w:t>)</w:t>
      </w:r>
      <w:r>
        <w:t xml:space="preserve"> and</w:t>
      </w:r>
      <w:r w:rsidRPr="00CB72C4">
        <w:t xml:space="preserve"> (</w:t>
      </w:r>
      <w:r>
        <w:t>g</w:t>
      </w:r>
      <w:r w:rsidRPr="00CB72C4">
        <w:t>)</w:t>
      </w:r>
      <w:r>
        <w:t xml:space="preserve"> below</w:t>
      </w:r>
      <w:r w:rsidRPr="00CB72C4">
        <w:t xml:space="preserve"> are not required to be included in both first and second posting if the Counter-Party has no active CRR ownership.</w:t>
      </w:r>
      <w:r w:rsidRPr="00C24D19">
        <w:t xml:space="preserve"> The reports listed in </w:t>
      </w:r>
      <w:r>
        <w:t xml:space="preserve">items </w:t>
      </w:r>
      <w:r w:rsidRPr="00C24D19">
        <w:t xml:space="preserve">(c), (d), (e), (f), </w:t>
      </w:r>
      <w:r>
        <w:t xml:space="preserve">and </w:t>
      </w:r>
      <w:r w:rsidRPr="00C24D19">
        <w:t xml:space="preserve">(g) below are not required to be included in the </w:t>
      </w:r>
      <w:r w:rsidRPr="00C24D19">
        <w:lastRenderedPageBreak/>
        <w:t>second post if there are no changes to the underlying data.</w:t>
      </w:r>
      <w:r>
        <w:rPr>
          <w:szCs w:val="24"/>
        </w:rPr>
        <w:t xml:space="preserve">  ERCOT shall post one set of these reports on the MIS Certified Area on each non-Business Day for which an ACL is sent.</w:t>
      </w:r>
    </w:p>
    <w:p w14:paraId="6D65953A" w14:textId="77777777" w:rsidR="005610DA" w:rsidRDefault="005610DA" w:rsidP="005610DA">
      <w:pPr>
        <w:pStyle w:val="BodyText"/>
        <w:ind w:left="1440" w:hanging="720"/>
      </w:pPr>
      <w:r>
        <w:rPr>
          <w:bCs/>
        </w:rPr>
        <w:t>(a)</w:t>
      </w:r>
      <w:r>
        <w:rPr>
          <w:bCs/>
        </w:rPr>
        <w:tab/>
        <w:t>Available Credit Limit (ACL) Summary Report;</w:t>
      </w:r>
    </w:p>
    <w:p w14:paraId="6D1AC3E2" w14:textId="77777777" w:rsidR="005610DA" w:rsidRDefault="005610DA" w:rsidP="005610DA">
      <w:pPr>
        <w:pStyle w:val="BodyText"/>
        <w:ind w:left="1440" w:hanging="720"/>
        <w:rPr>
          <w:bCs/>
        </w:rPr>
      </w:pPr>
      <w:r>
        <w:t>(b)</w:t>
      </w:r>
      <w:r>
        <w:tab/>
        <w:t>Total</w:t>
      </w:r>
      <w:r>
        <w:rPr>
          <w:bCs/>
        </w:rPr>
        <w:t xml:space="preserve"> Potential Exposure (TPE) Summary Report;</w:t>
      </w:r>
    </w:p>
    <w:p w14:paraId="36D9B202" w14:textId="77777777" w:rsidR="005610DA" w:rsidRDefault="005610DA" w:rsidP="005610DA">
      <w:pPr>
        <w:pStyle w:val="BodyText"/>
        <w:ind w:left="1440" w:hanging="720"/>
      </w:pPr>
      <w:r>
        <w:rPr>
          <w:bCs/>
        </w:rPr>
        <w:t>(c)</w:t>
      </w:r>
      <w:r>
        <w:rPr>
          <w:bCs/>
        </w:rPr>
        <w:tab/>
        <w:t>Minimum Current Exposure (MCE) Summary Report;</w:t>
      </w:r>
    </w:p>
    <w:p w14:paraId="588EC8C6" w14:textId="77777777" w:rsidR="005610DA" w:rsidRDefault="005610DA" w:rsidP="005610DA">
      <w:pPr>
        <w:pStyle w:val="BodyText"/>
        <w:ind w:left="1440" w:hanging="720"/>
      </w:pPr>
      <w:r>
        <w:t>(d)</w:t>
      </w:r>
      <w:r>
        <w:tab/>
        <w:t>Estimate Aggregate Liability (EAL) Summary Report;</w:t>
      </w:r>
    </w:p>
    <w:p w14:paraId="78B929CB" w14:textId="77777777" w:rsidR="005610DA" w:rsidRDefault="005610DA" w:rsidP="005610DA">
      <w:pPr>
        <w:pStyle w:val="BodyText"/>
        <w:ind w:left="1440" w:hanging="720"/>
      </w:pPr>
      <w:r>
        <w:t>(e)</w:t>
      </w:r>
      <w:r>
        <w:tab/>
        <w:t>Estimated Aggregate Liability (EAL) Detail Report;</w:t>
      </w:r>
    </w:p>
    <w:p w14:paraId="72855717" w14:textId="77777777" w:rsidR="005610DA" w:rsidRDefault="005610DA" w:rsidP="005610DA">
      <w:pPr>
        <w:pStyle w:val="BodyText"/>
        <w:ind w:left="1440" w:hanging="720"/>
      </w:pPr>
      <w:r>
        <w:t>(f)</w:t>
      </w:r>
      <w:r>
        <w:tab/>
        <w:t>Future Credit Exposure for CRR PTP Obligations (FCEOBL) Summary Report; and</w:t>
      </w:r>
    </w:p>
    <w:p w14:paraId="006B016C" w14:textId="77777777" w:rsidR="005610DA" w:rsidRDefault="005610DA" w:rsidP="005610DA">
      <w:pPr>
        <w:pStyle w:val="BodyText"/>
        <w:ind w:left="1440" w:hanging="720"/>
      </w:pPr>
      <w:r>
        <w:t>(g)</w:t>
      </w:r>
      <w:r>
        <w:tab/>
        <w:t>Future Credit Exposure for CRR PTP Options (FCEOPT) Summary Report.</w:t>
      </w:r>
    </w:p>
    <w:p w14:paraId="24224DA6" w14:textId="77777777" w:rsidR="005610DA" w:rsidRDefault="005610DA" w:rsidP="00DF3774">
      <w:pPr>
        <w:autoSpaceDE w:val="0"/>
        <w:autoSpaceDN w:val="0"/>
        <w:adjustRightInd w:val="0"/>
        <w:spacing w:after="240"/>
        <w:ind w:left="720" w:hanging="720"/>
      </w:pPr>
      <w:r>
        <w:t>(2)</w:t>
      </w:r>
      <w:r>
        <w:tab/>
        <w:t>The reports listed in paragraph (1) above will be posted to the MIS Certified Area in Portable Document File (PDF) format and Microsoft Excel (XLS) format.  There shall be a provision to “open”, “save” and “print” each report.</w:t>
      </w:r>
    </w:p>
    <w:p w14:paraId="5309A2BC" w14:textId="77777777" w:rsidR="00FC1C5F" w:rsidRDefault="00727E32" w:rsidP="005610DA">
      <w:pPr>
        <w:pStyle w:val="H3"/>
        <w:ind w:left="0" w:firstLine="0"/>
      </w:pPr>
      <w:bookmarkStart w:id="528" w:name="_Toc70591646"/>
      <w:r>
        <w:t>16.11.5</w:t>
      </w:r>
      <w:r>
        <w:tab/>
        <w:t>Monitoring of a Counter-Party’s Creditworthiness and Credit Exposure by ERCOT</w:t>
      </w:r>
      <w:bookmarkEnd w:id="522"/>
      <w:bookmarkEnd w:id="523"/>
      <w:bookmarkEnd w:id="524"/>
      <w:bookmarkEnd w:id="525"/>
      <w:bookmarkEnd w:id="526"/>
      <w:bookmarkEnd w:id="527"/>
      <w:bookmarkEnd w:id="528"/>
    </w:p>
    <w:p w14:paraId="33B4EBF0" w14:textId="77777777" w:rsidR="00FC1C5F" w:rsidRDefault="00727E32">
      <w:pPr>
        <w:pStyle w:val="BodyTextNumbered"/>
      </w:pPr>
      <w:r>
        <w:t>(1)</w:t>
      </w:r>
      <w:r>
        <w:tab/>
        <w:t xml:space="preserve">ERCOT shall monitor the creditworthiness and credit exposure of each Counter-Party or its guarantor, if any.  To enable ERCOT to monitor creditworthiness, each Counter-Party shall provide to ERCOT:  </w:t>
      </w:r>
    </w:p>
    <w:p w14:paraId="3ECC2C0E" w14:textId="77777777" w:rsidR="00FC1C5F" w:rsidRDefault="00727E32">
      <w:pPr>
        <w:pStyle w:val="List"/>
      </w:pPr>
      <w:r>
        <w:t>(a)</w:t>
      </w:r>
      <w:r>
        <w:tab/>
        <w:t xml:space="preserve">Its own or its guarantor’s quarterly (semi-annually, if the guarantor is foreign and rated by a rating agency acceptable to ERCOT) unaudited financial statements not later than 60 days (90 days if the guarantor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t>
      </w:r>
    </w:p>
    <w:p w14:paraId="39C2F512" w14:textId="77777777" w:rsidR="00FC1C5F" w:rsidRDefault="00727E32">
      <w:pPr>
        <w:pStyle w:val="List"/>
      </w:pPr>
      <w:r>
        <w:t>(b)</w:t>
      </w:r>
      <w:r>
        <w:tab/>
        <w:t>Its own or its guarantor’s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w:t>
      </w:r>
      <w:r w:rsidR="00E80D94">
        <w:t xml:space="preserve">  </w:t>
      </w:r>
      <w:r w:rsidR="00E80D94" w:rsidRPr="00CC731E">
        <w:t xml:space="preserve">Annual audited financial statements must be prepared in accordance with </w:t>
      </w:r>
      <w:r w:rsidR="00E80D94" w:rsidRPr="00CC731E">
        <w:rPr>
          <w:szCs w:val="24"/>
        </w:rPr>
        <w:t xml:space="preserve">U.S. Generally Accepted Accounting Principles </w:t>
      </w:r>
      <w:r w:rsidR="00E80D94">
        <w:rPr>
          <w:szCs w:val="24"/>
        </w:rPr>
        <w:t>(</w:t>
      </w:r>
      <w:r w:rsidR="00E80D94" w:rsidRPr="00CC731E">
        <w:t>GAAP</w:t>
      </w:r>
      <w:r w:rsidR="00E80D94">
        <w:t>)</w:t>
      </w:r>
      <w:r w:rsidR="00E80D94" w:rsidRPr="00CC731E">
        <w:t xml:space="preserve"> or </w:t>
      </w:r>
      <w:r w:rsidR="00E80D94">
        <w:t>International Accounting Standards (</w:t>
      </w:r>
      <w:r w:rsidR="00E80D94" w:rsidRPr="00CC731E">
        <w:t>IAS</w:t>
      </w:r>
      <w:r w:rsidR="00E80D94">
        <w:t>)</w:t>
      </w:r>
      <w:r w:rsidR="00E80D94" w:rsidRPr="00CC731E">
        <w:t>.</w:t>
      </w:r>
    </w:p>
    <w:p w14:paraId="0740812B" w14:textId="77777777" w:rsidR="002635D3" w:rsidRDefault="00727E32" w:rsidP="002635D3">
      <w:pPr>
        <w:pStyle w:val="List"/>
      </w:pPr>
      <w:r>
        <w:lastRenderedPageBreak/>
        <w:t>(c)</w:t>
      </w:r>
      <w:r>
        <w:tab/>
      </w:r>
      <w:r w:rsidR="002635D3">
        <w:t xml:space="preserve">For paragraphs (a) and (b) above, financial statements shall include the Counter-Party’s or its guarantor’s:  </w:t>
      </w:r>
    </w:p>
    <w:p w14:paraId="50A808FD" w14:textId="77777777" w:rsidR="002635D3" w:rsidRPr="00531AE3" w:rsidRDefault="002635D3" w:rsidP="002635D3">
      <w:pPr>
        <w:pStyle w:val="List"/>
        <w:ind w:left="2160"/>
      </w:pPr>
      <w:r w:rsidRPr="00731279">
        <w:t>(i</w:t>
      </w:r>
      <w:r w:rsidRPr="003810B8">
        <w:t>)</w:t>
      </w:r>
      <w:r w:rsidRPr="003810B8">
        <w:tab/>
        <w:t>Statement of Financial Position (balance sheet) as of the applicable quarterly or annual ending date</w:t>
      </w:r>
      <w:r w:rsidRPr="00531AE3">
        <w:t xml:space="preserve">; </w:t>
      </w:r>
    </w:p>
    <w:p w14:paraId="596DBEDB" w14:textId="77777777" w:rsidR="002635D3" w:rsidRPr="00150365" w:rsidRDefault="002635D3" w:rsidP="002635D3">
      <w:pPr>
        <w:pStyle w:val="List"/>
        <w:ind w:left="2160"/>
      </w:pPr>
      <w:r w:rsidRPr="00F96E9E">
        <w:t>(</w:t>
      </w:r>
      <w:r w:rsidRPr="007B2D98">
        <w:t>ii</w:t>
      </w:r>
      <w:r w:rsidRPr="002B725C">
        <w:t>)</w:t>
      </w:r>
      <w:r w:rsidRPr="002B725C">
        <w:tab/>
        <w:t>Statement of Income (or Profit and Loss);</w:t>
      </w:r>
      <w:r w:rsidRPr="00150365">
        <w:t xml:space="preserve"> and </w:t>
      </w:r>
    </w:p>
    <w:p w14:paraId="623FB571" w14:textId="77777777" w:rsidR="002635D3" w:rsidRDefault="002635D3" w:rsidP="000E7458">
      <w:pPr>
        <w:pStyle w:val="List"/>
        <w:ind w:left="2160"/>
      </w:pPr>
      <w:r w:rsidRPr="00150365">
        <w:t>(</w:t>
      </w:r>
      <w:r w:rsidRPr="00650961">
        <w:t>iii)</w:t>
      </w:r>
      <w:r w:rsidRPr="00650961">
        <w:tab/>
        <w:t>Statement of Cash Flows</w:t>
      </w:r>
      <w:r>
        <w:t>.</w:t>
      </w:r>
    </w:p>
    <w:p w14:paraId="4120A0BE" w14:textId="77777777" w:rsidR="00FC1C5F" w:rsidRDefault="002635D3" w:rsidP="002635D3">
      <w:pPr>
        <w:pStyle w:val="List"/>
      </w:pPr>
      <w:r>
        <w:t>(d)</w:t>
      </w:r>
      <w:r>
        <w:tab/>
      </w:r>
      <w:r w:rsidR="00727E32">
        <w:t xml:space="preserve">Notice of a material change.  A Counter-Party that has been granted an Unsecured Credit Limit pursuant to Section 16.11.2, Requirements for Setting a Counter-Party’s Unsecured Credit Limit, shall inform ERCOT within one Business Day if it has experienced a material change in its operations, financial condition or prospects that might adversely affect the Counter-Party and require a revision to its Unsecured Credit Limit.  ERCOT may require the Counter-Party to meet one of the credit requirements of Section 16.11.3, Alternative Means of Satisfying ERCOT Creditworthiness Requirements.  </w:t>
      </w:r>
    </w:p>
    <w:p w14:paraId="1BC37A0F" w14:textId="77777777" w:rsidR="00AF167A" w:rsidRDefault="00AF167A" w:rsidP="00AF167A">
      <w:pPr>
        <w:pStyle w:val="BodyText"/>
        <w:ind w:left="720" w:hanging="720"/>
      </w:pPr>
      <w:r>
        <w:t>(2)</w:t>
      </w:r>
      <w:r>
        <w:tab/>
        <w:t>A Counter-Party is responsible at all times for maintaining:</w:t>
      </w:r>
    </w:p>
    <w:p w14:paraId="352E4D8B" w14:textId="77777777" w:rsidR="00AF167A" w:rsidRDefault="00AF167A" w:rsidP="00AF167A">
      <w:pPr>
        <w:pStyle w:val="BodyText"/>
        <w:ind w:left="1440" w:hanging="720"/>
      </w:pPr>
      <w:r>
        <w:t>(a)</w:t>
      </w:r>
      <w:r>
        <w:tab/>
        <w:t>Secured Collateral in an amount equal to or greater than that Counter-Party’s</w:t>
      </w:r>
    </w:p>
    <w:p w14:paraId="4C619AE6" w14:textId="77777777" w:rsidR="00AF167A" w:rsidRPr="00D34E3B" w:rsidRDefault="00AF167A" w:rsidP="00AF167A">
      <w:pPr>
        <w:pStyle w:val="BodyText"/>
        <w:ind w:left="1440"/>
      </w:pPr>
      <w:r w:rsidRPr="00D34E3B">
        <w:t>(i)</w:t>
      </w:r>
      <w:r w:rsidRPr="00D34E3B">
        <w:tab/>
        <w:t>TPES</w:t>
      </w:r>
      <w:r>
        <w:t>;</w:t>
      </w:r>
      <w:r w:rsidRPr="00D34E3B">
        <w:t xml:space="preserve"> plus</w:t>
      </w:r>
    </w:p>
    <w:p w14:paraId="57803562" w14:textId="77777777" w:rsidR="00AF167A" w:rsidRPr="00D34E3B" w:rsidRDefault="00AF167A" w:rsidP="00AF167A">
      <w:pPr>
        <w:pStyle w:val="BodyText"/>
        <w:ind w:left="720" w:firstLine="720"/>
      </w:pPr>
      <w:r w:rsidRPr="00D34E3B">
        <w:t>(ii)</w:t>
      </w:r>
      <w:r w:rsidRPr="00D34E3B">
        <w:tab/>
        <w:t>Net Positive Exposure of approved CRR Bilateral Trades; plus</w:t>
      </w:r>
    </w:p>
    <w:p w14:paraId="6C8CC38B" w14:textId="77777777" w:rsidR="00AF167A" w:rsidRDefault="00AF167A" w:rsidP="00AF167A">
      <w:pPr>
        <w:pStyle w:val="BodyText"/>
        <w:ind w:left="2160" w:hanging="720"/>
      </w:pPr>
      <w:r w:rsidRPr="00D34E3B">
        <w:t>(iii)</w:t>
      </w:r>
      <w:r w:rsidRPr="00D34E3B">
        <w:tab/>
        <w:t>ACL locked for CRR Auction, if any; and</w:t>
      </w:r>
    </w:p>
    <w:p w14:paraId="6F36AE9E" w14:textId="77777777" w:rsidR="00AF167A" w:rsidRDefault="00AF167A" w:rsidP="00AF167A">
      <w:pPr>
        <w:pStyle w:val="BodyText"/>
        <w:ind w:left="1440" w:hanging="720"/>
      </w:pPr>
      <w:r>
        <w:t>(b)</w:t>
      </w:r>
      <w:r>
        <w:tab/>
        <w:t xml:space="preserve">Remainder Collateral </w:t>
      </w:r>
      <w:r w:rsidR="00665DAD">
        <w:t xml:space="preserve">plus Financial Security defined as guarantees in paragraph (a) of Section 16.11.3 </w:t>
      </w:r>
      <w:r>
        <w:t xml:space="preserve">in an amount equal to or greater than that Counter-Party’s </w:t>
      </w:r>
    </w:p>
    <w:p w14:paraId="1FD5DECF" w14:textId="77777777" w:rsidR="00AF167A" w:rsidRDefault="00AF167A" w:rsidP="00AF167A">
      <w:pPr>
        <w:pStyle w:val="BodyText"/>
        <w:ind w:left="2160" w:hanging="720"/>
      </w:pPr>
      <w:r>
        <w:t>(i)</w:t>
      </w:r>
      <w:r>
        <w:tab/>
        <w:t xml:space="preserve">TPEA; minus </w:t>
      </w:r>
    </w:p>
    <w:p w14:paraId="6AD164F7" w14:textId="77777777" w:rsidR="00AF167A" w:rsidRDefault="00AF167A" w:rsidP="00131A66">
      <w:pPr>
        <w:pStyle w:val="BodyText"/>
        <w:ind w:left="2160" w:hanging="720"/>
      </w:pPr>
      <w:r>
        <w:t>(ii)</w:t>
      </w:r>
      <w:r>
        <w:tab/>
        <w:t>Unsecured Credit Limit</w:t>
      </w:r>
      <w:r w:rsidR="00665DAD">
        <w:t>.</w:t>
      </w:r>
    </w:p>
    <w:p w14:paraId="7E1B59A7" w14:textId="77777777" w:rsidR="00AF167A" w:rsidRDefault="00AF167A" w:rsidP="00AF167A">
      <w:pPr>
        <w:pStyle w:val="BodyText"/>
        <w:ind w:left="720" w:hanging="720"/>
      </w:pPr>
      <w:r>
        <w:t>(3)</w:t>
      </w:r>
      <w:r>
        <w:tab/>
        <w:t xml:space="preserve">ERCOT shall promptly notify each Counter-Party of the need to increase its Financial Security, including whether Secured Collateral must be provided, and allow the Counter-Party time, as defined in paragraph (6)(a) below, to provide additional Financial Security to maintain compliance with this Section. </w:t>
      </w:r>
    </w:p>
    <w:p w14:paraId="7A4B5AAB" w14:textId="77777777" w:rsidR="00AF167A" w:rsidRDefault="00AF167A" w:rsidP="00AF167A">
      <w:pPr>
        <w:pStyle w:val="BodyText"/>
        <w:ind w:left="720" w:hanging="720"/>
      </w:pPr>
      <w:r>
        <w:t>(4)</w:t>
      </w:r>
      <w:r>
        <w:tab/>
        <w:t>When either the Counter-Party’s TPEA or TPES as defined in Section 16.11.4, Determination and Monitoring of Counter-Party Credit Exposure, reaches 90% of its requirement, ERCOT shall use reasonable efforts to electronically issue a warning to the 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37E24DD4" w14:textId="77777777" w:rsidR="00AF167A" w:rsidRDefault="00AF167A" w:rsidP="00AF167A">
      <w:pPr>
        <w:pStyle w:val="BodyText"/>
        <w:ind w:left="720" w:hanging="720"/>
      </w:pPr>
      <w:r>
        <w:lastRenderedPageBreak/>
        <w:t>(5)</w:t>
      </w:r>
      <w:r>
        <w:tab/>
        <w:t>ERCOT may suspend a Counter-Party when:</w:t>
      </w:r>
    </w:p>
    <w:p w14:paraId="7FD093A8" w14:textId="77777777" w:rsidR="00AF167A" w:rsidRDefault="00AF167A" w:rsidP="00AF167A">
      <w:pPr>
        <w:pStyle w:val="BodyText"/>
        <w:ind w:left="1440" w:hanging="720"/>
      </w:pPr>
      <w:r>
        <w:t>(a)</w:t>
      </w:r>
      <w:r>
        <w:tab/>
        <w:t>That Counter-Party’s TPES as defined in Section 16.11.4, equals or exceeds 100% of its Secured Collateral; or</w:t>
      </w:r>
    </w:p>
    <w:p w14:paraId="7FBD8578" w14:textId="77777777" w:rsidR="00AF167A" w:rsidRDefault="00AF167A" w:rsidP="00AF167A">
      <w:pPr>
        <w:pStyle w:val="BodyText"/>
        <w:ind w:left="1440" w:hanging="720"/>
      </w:pPr>
      <w:r>
        <w:t>(b)</w:t>
      </w:r>
      <w:r>
        <w:tab/>
        <w:t xml:space="preserve">That Counter-Party’s TPEA as defined in Section 16.11.4 equals or exceeds 100% of the sum of its Unsecured Credit Limit and its Remainder Collateral. </w:t>
      </w:r>
    </w:p>
    <w:p w14:paraId="24B64D19" w14:textId="77777777" w:rsidR="00AF167A" w:rsidRDefault="00AF167A" w:rsidP="00AF167A">
      <w:pPr>
        <w:pStyle w:val="BodyText"/>
        <w:ind w:left="720"/>
      </w:pPr>
      <w:r>
        <w:t xml:space="preserve">The Counter-Party is responsible at all times for managing its activity within both its TPEA and its TPES or increasing its Financial Security to avoid reaching its limits.  Any failure by ERCOT to send a Notice as set forth in this Section does not relieve the Counter-Party from the obligation to maintain appropriate Financial Security in amounts equal to or greater than that Counter-Party’s TPES and TPEA as defined in Section 16.11.4. </w:t>
      </w:r>
    </w:p>
    <w:p w14:paraId="00B87F58" w14:textId="77777777" w:rsidR="00AF167A" w:rsidRDefault="00AF167A" w:rsidP="00AF167A">
      <w:pPr>
        <w:pStyle w:val="BodyText"/>
        <w:ind w:left="720" w:hanging="720"/>
      </w:pPr>
      <w:r>
        <w:t>(6)</w:t>
      </w:r>
      <w:r>
        <w:tab/>
        <w:t>To the extent that a Counter-Party fails to maintain Secured Collateral in amounts equal to or greater than its TPES or Remainder Collateral in amounts equal to or greater than its TPEA, each as defined in Section 16.11.4:</w:t>
      </w:r>
    </w:p>
    <w:p w14:paraId="40F9FC7B" w14:textId="77777777" w:rsidR="00AF167A" w:rsidRDefault="00AF167A" w:rsidP="00AF167A">
      <w:pPr>
        <w:pStyle w:val="List"/>
      </w:pPr>
      <w:r>
        <w:t>(a)</w:t>
      </w:r>
      <w:r>
        <w:tab/>
        <w:t xml:space="preserve">ERCOT shall promptly notify the Counter-Party of the amount by which its Financial Security must be increased, including whether Secured Collateral must be provided and allow it: </w:t>
      </w:r>
    </w:p>
    <w:p w14:paraId="5157C649" w14:textId="77777777" w:rsidR="00AF167A" w:rsidRDefault="00AF167A" w:rsidP="00AF167A">
      <w:pPr>
        <w:pStyle w:val="List"/>
        <w:ind w:left="2160"/>
      </w:pPr>
      <w:r>
        <w:t>(i)</w:t>
      </w:r>
      <w:r>
        <w:tab/>
        <w:t xml:space="preserve">Until 1500 on the second Bank Business Day from the date on which ERCOT delivered the Notice to increase its Financial Security if ERCOT delivered its Notice before 1500; or </w:t>
      </w:r>
    </w:p>
    <w:p w14:paraId="2F5ECE64" w14:textId="77777777" w:rsidR="00AF167A" w:rsidRDefault="00AF167A" w:rsidP="00AF167A">
      <w:pPr>
        <w:pStyle w:val="List"/>
        <w:ind w:left="2160"/>
      </w:pPr>
      <w:r>
        <w:t>(ii)</w:t>
      </w:r>
      <w:r>
        <w:tab/>
        <w:t xml:space="preserve">Until 1700 on the second Bank Business Day from the date on which ERCOT delivered Notification to increase its Financial Security if ERCOT delivered its Notice after 1500 but prior to 1700.  </w:t>
      </w:r>
    </w:p>
    <w:p w14:paraId="63208D12" w14:textId="77777777" w:rsidR="00AF167A" w:rsidRDefault="00AF167A" w:rsidP="00AF167A">
      <w:pPr>
        <w:pStyle w:val="List"/>
        <w:ind w:firstLine="0"/>
      </w:pPr>
      <w:r>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72D0D4F6" w14:textId="77777777" w:rsidR="00AF167A" w:rsidRDefault="00AF167A" w:rsidP="00AF167A">
      <w:pPr>
        <w:pStyle w:val="List"/>
      </w:pPr>
      <w:r>
        <w:t>(b)</w:t>
      </w:r>
      <w:r>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5086D102" w14:textId="77777777" w:rsidR="00AF167A" w:rsidRDefault="00AF167A" w:rsidP="00AF167A">
      <w:pPr>
        <w:pStyle w:val="List"/>
      </w:pPr>
      <w:r>
        <w:t>(c)</w:t>
      </w:r>
      <w:r>
        <w:tab/>
        <w:t xml:space="preserve">ERCOT is not required to make any payment to that Counter-Party unless and until the Counter-Party increases its Financial Security, including any Secured Collateral required.  The payments that ERCOT will not make to a Counter-Party include Invoice receipts, CRR revenues, </w:t>
      </w:r>
      <w:smartTag w:uri="urn:schemas-microsoft-com:office:smarttags" w:element="stockticker">
        <w:r>
          <w:t>CRR</w:t>
        </w:r>
      </w:smartTag>
      <w:r>
        <w:t xml:space="preserve"> credits, reimbursements for short payments, and any other reimbursements or credits under any other agreement between the Market Participant and ERCOT.  ERCOT may retain all such </w:t>
      </w:r>
      <w:r>
        <w:lastRenderedPageBreak/>
        <w:t xml:space="preserve">amounts until the Counter-Party has fully discharged all payment obligations owed to ERCOT under the Counter-Party Agreement, other agreements, and these Protocols. </w:t>
      </w:r>
    </w:p>
    <w:p w14:paraId="5F0D2C71" w14:textId="77777777" w:rsidR="00AF167A" w:rsidRDefault="00AF167A" w:rsidP="00AF167A">
      <w:pPr>
        <w:pStyle w:val="List"/>
      </w:pPr>
      <w:r>
        <w:t>(d)</w:t>
      </w:r>
      <w:r>
        <w:tab/>
        <w:t>ERCOT may reject any bids or offers in a CRR Auction from the Counter-Party until it has increased its Financial Security, including any Secured Collateral required.  ERCOT may reject any bids or offers from the Counter-Party in the DAM until it has increased its Financial Security.</w:t>
      </w:r>
    </w:p>
    <w:p w14:paraId="176EC86A" w14:textId="77777777" w:rsidR="00AF167A" w:rsidRDefault="00AF167A" w:rsidP="00AF167A">
      <w:pPr>
        <w:pStyle w:val="List"/>
        <w:ind w:left="720"/>
      </w:pPr>
      <w:r>
        <w:t>(7)</w:t>
      </w:r>
      <w:r>
        <w:tab/>
        <w:t>If a Counter-Party increases its Financial Security as required by ERCOT by the deadline in paragraph (6)(a) above, then ERCOT may notify each LSE and Resource represented by the Counter-Party.</w:t>
      </w:r>
    </w:p>
    <w:p w14:paraId="100B4A6D" w14:textId="77777777" w:rsidR="00F56ABB" w:rsidRDefault="00AF167A">
      <w:pPr>
        <w:pStyle w:val="List"/>
        <w:ind w:left="720"/>
      </w:pPr>
      <w:r>
        <w:t>(8)</w:t>
      </w:r>
      <w:r>
        <w:tab/>
        <w:t>If a Counter-Party increases its Financial Security as required by ERCOT by the deadline in paragraph (6)(a) above, then ERCOT shall release any payments held.</w:t>
      </w:r>
    </w:p>
    <w:p w14:paraId="1C32E8C1" w14:textId="77777777" w:rsidR="00F56ABB" w:rsidRDefault="00727E32" w:rsidP="00DD1960">
      <w:pPr>
        <w:pStyle w:val="H3"/>
      </w:pPr>
      <w:bookmarkStart w:id="529" w:name="_Toc390438976"/>
      <w:bookmarkStart w:id="530" w:name="_Toc405897674"/>
      <w:bookmarkStart w:id="531" w:name="_Toc415055778"/>
      <w:bookmarkStart w:id="532" w:name="_Toc415055904"/>
      <w:bookmarkStart w:id="533" w:name="_Toc415056003"/>
      <w:bookmarkStart w:id="534" w:name="_Toc415056104"/>
      <w:bookmarkStart w:id="535" w:name="_Toc70591647"/>
      <w:r>
        <w:t>16.11.6</w:t>
      </w:r>
      <w:r>
        <w:tab/>
        <w:t>Payment Breach and Late Payments by Market Participants</w:t>
      </w:r>
      <w:bookmarkEnd w:id="529"/>
      <w:bookmarkEnd w:id="530"/>
      <w:bookmarkEnd w:id="531"/>
      <w:bookmarkEnd w:id="532"/>
      <w:bookmarkEnd w:id="533"/>
      <w:bookmarkEnd w:id="534"/>
      <w:bookmarkEnd w:id="535"/>
    </w:p>
    <w:p w14:paraId="6817ED95" w14:textId="3F7C5DD6" w:rsidR="00FC1C5F" w:rsidRDefault="00727E32">
      <w:pPr>
        <w:pStyle w:val="BodyTextNumbered"/>
      </w:pPr>
      <w:r>
        <w:t>(1)</w:t>
      </w:r>
      <w:r>
        <w:tab/>
        <w:t xml:space="preserve">It is the sole responsibility of each Market Participant to ensure that the full amounts due to ERCOT, or its designee, if applicable, by that Market Participant, </w:t>
      </w:r>
      <w:r w:rsidR="002F409F">
        <w:t>are</w:t>
      </w:r>
      <w:r>
        <w:t xml:space="preserve"> paid to ERCOT by </w:t>
      </w:r>
      <w:r w:rsidR="002F409F">
        <w:t>the applicable time and date specified in the Protocols.  If no time is specified in the Protocols for a particular type of payment, then payment must be made by the close of the Bank Business Day on which payment is due</w:t>
      </w:r>
      <w:r>
        <w:t xml:space="preserve">. </w:t>
      </w:r>
    </w:p>
    <w:p w14:paraId="7902532E" w14:textId="2128BDD6" w:rsidR="00FC1C5F" w:rsidRDefault="00727E32">
      <w:pPr>
        <w:pStyle w:val="BodyTextNumbered"/>
      </w:pPr>
      <w:r>
        <w:t>(2)</w:t>
      </w:r>
      <w:r>
        <w:tab/>
        <w:t xml:space="preserve">If a Market Participant </w:t>
      </w:r>
      <w:r>
        <w:rPr>
          <w:color w:val="000000"/>
        </w:rPr>
        <w:t xml:space="preserve">receives separate Invoices for Subordinate QSE or various </w:t>
      </w:r>
      <w:smartTag w:uri="urn:schemas-microsoft-com:office:smarttags" w:element="stockticker">
        <w:r>
          <w:rPr>
            <w:color w:val="000000"/>
          </w:rPr>
          <w:t>CRR</w:t>
        </w:r>
      </w:smartTag>
      <w:r>
        <w:rPr>
          <w:color w:val="000000"/>
        </w:rPr>
        <w:t xml:space="preserve"> Account Holder activity,</w:t>
      </w:r>
      <w:r>
        <w:t xml:space="preserve"> netting by the Market Participant of the amounts due to ERCOT with amounts due to the Market Participant among those Invoices for payment purposes is not permitted.  The amounts due to ERCOT on the separate Invoices for each Market Participant must be paid by the </w:t>
      </w:r>
      <w:r w:rsidR="002F409F">
        <w:t>applicable time and date specified in the Protocols</w:t>
      </w:r>
      <w:r>
        <w:t>.  If a Market Participant does not pay the full amount due to ERCOT for all such Invoices by the required time, ERCOT shall deduct any and all amounts due and unpaid from any amounts due to the same Market Participant before allocating short payments to other Market Participants.</w:t>
      </w:r>
    </w:p>
    <w:p w14:paraId="693DF4AF" w14:textId="330789DE" w:rsidR="00FC1C5F" w:rsidRDefault="00727E32">
      <w:pPr>
        <w:pStyle w:val="BodyTextNumbered"/>
      </w:pPr>
      <w:r>
        <w:t>(3)</w:t>
      </w:r>
      <w:r>
        <w:tab/>
      </w:r>
      <w:r w:rsidR="006B2812" w:rsidRPr="007F3EB6">
        <w:t xml:space="preserve">The failure of a Market Participant to pay when due any payment or Financial Security obligation owed to ERCOT or its designee, if applicable, under any </w:t>
      </w:r>
      <w:r w:rsidR="002F409F">
        <w:t>A</w:t>
      </w:r>
      <w:r w:rsidR="006B2812" w:rsidRPr="007F3EB6">
        <w:t xml:space="preserve">greement with ERCOT, is a Late Payment and constitutes an event of “Payment Breach.”  For purposes of designating a Late Payment, ERCOT shall consider multiple Invoices unpaid when due on a single Business Day by a single Market Participant as constituting one Late Payment.  Any Payment Breach by a Market Participant under any agreement with ERCOT is a Default under all other agreements between ERCOT and the Market Participant unless cured within one Bank Business Day after ERCOT delivers to the Market Participant written notice of the Payment Breach.  </w:t>
      </w:r>
    </w:p>
    <w:p w14:paraId="08E0C9D9" w14:textId="6BBE7AC4" w:rsidR="00FC1C5F" w:rsidRDefault="00727E32" w:rsidP="00FC544E">
      <w:pPr>
        <w:pStyle w:val="BodyTextNumbered"/>
      </w:pPr>
      <w:r>
        <w:t>(4)</w:t>
      </w:r>
      <w:r>
        <w:tab/>
      </w:r>
      <w:r w:rsidR="006B2812" w:rsidRPr="007F3EB6">
        <w:t xml:space="preserve">Upon a Payment Breach, ERCOT shall immediately attempt to contact the Market Participant’s Authorized Representative and/or Credit Contact </w:t>
      </w:r>
      <w:r w:rsidR="002F409F">
        <w:t>named in the Counter-Party Credit Application</w:t>
      </w:r>
      <w:r w:rsidR="002F409F" w:rsidRPr="007F3EB6">
        <w:t xml:space="preserve"> </w:t>
      </w:r>
      <w:r w:rsidR="006B2812" w:rsidRPr="007F3EB6">
        <w:t xml:space="preserve">telephonically to inform the Market Participant of the Payment </w:t>
      </w:r>
      <w:r w:rsidR="006B2812" w:rsidRPr="007F3EB6">
        <w:lastRenderedPageBreak/>
        <w:t xml:space="preserve">Breach, and demand payment of the past due amount. ERCOT shall also provide the Market Participant with written notice of the Payment Breach via email.  Upon a Payment Breach, ERCOT may impose remedies for Payment Breach, as set forth in Section 16.11.6.1, ERCOT’s Remedies, in addition to any other rights or remedies ERCOT has under any agreement, these Protocols or at common law.  </w:t>
      </w:r>
    </w:p>
    <w:p w14:paraId="441E35F5" w14:textId="65859C21" w:rsidR="002F409F" w:rsidRDefault="006B2812" w:rsidP="002F409F">
      <w:pPr>
        <w:pStyle w:val="BodyTextNumbered"/>
      </w:pPr>
      <w:bookmarkStart w:id="536" w:name="_Toc415055779"/>
      <w:bookmarkStart w:id="537" w:name="_Toc415055905"/>
      <w:bookmarkStart w:id="538" w:name="_Toc415056004"/>
      <w:bookmarkStart w:id="539" w:name="_Toc390438977"/>
      <w:bookmarkStart w:id="540" w:name="_Toc405897675"/>
      <w:r w:rsidRPr="000B62BB">
        <w:t>(5)</w:t>
      </w:r>
      <w:r w:rsidRPr="000B62BB">
        <w:tab/>
        <w:t xml:space="preserve">If a Market Participant makes a payment </w:t>
      </w:r>
      <w:r w:rsidR="002F409F">
        <w:t>(</w:t>
      </w:r>
      <w:r w:rsidRPr="000B62BB">
        <w:t>or a partial payment</w:t>
      </w:r>
      <w:r w:rsidR="002F409F">
        <w:t>,</w:t>
      </w:r>
      <w:r w:rsidRPr="000B62BB">
        <w:t xml:space="preserve"> </w:t>
      </w:r>
      <w:r w:rsidR="002F409F">
        <w:t>if</w:t>
      </w:r>
      <w:r w:rsidRPr="000B62BB">
        <w:t xml:space="preserve"> allowed by these Protocols</w:t>
      </w:r>
      <w:r w:rsidR="002F409F">
        <w:t>)</w:t>
      </w:r>
      <w:r w:rsidRPr="000B62BB">
        <w:t xml:space="preserve"> or </w:t>
      </w:r>
      <w:r w:rsidR="002F409F">
        <w:t xml:space="preserve">satisfies </w:t>
      </w:r>
      <w:r w:rsidRPr="000B62BB">
        <w:t xml:space="preserve">a collateral call to ERCOT after the </w:t>
      </w:r>
      <w:r w:rsidR="002F409F">
        <w:t xml:space="preserve">required </w:t>
      </w:r>
      <w:r w:rsidRPr="000B62BB">
        <w:t xml:space="preserve">due date and time, or if a short-paid Invoice is settled by a draw on available security greater than the amount of Market Participant’s cash collateral held in excess of that required </w:t>
      </w:r>
      <w:r w:rsidRPr="00B7034E">
        <w:t xml:space="preserve">to cover its TPE (“Excess Collateral”), then that payment </w:t>
      </w:r>
      <w:r w:rsidR="002F409F">
        <w:t>will be deemed</w:t>
      </w:r>
      <w:r w:rsidRPr="00B7034E">
        <w:t xml:space="preserve"> a “Late Payment.”  </w:t>
      </w:r>
    </w:p>
    <w:p w14:paraId="6586710E" w14:textId="5608C122" w:rsidR="002F409F" w:rsidRDefault="002F409F" w:rsidP="002F409F">
      <w:pPr>
        <w:pStyle w:val="BodyTextNumbered"/>
      </w:pPr>
      <w:r>
        <w:t>(6)</w:t>
      </w:r>
      <w:r>
        <w:tab/>
        <w:t>For purposes of assessing if a payment is a Late Payment, the time of receipt of a payment will be determined as follows:</w:t>
      </w:r>
    </w:p>
    <w:p w14:paraId="71AC1474" w14:textId="77777777" w:rsidR="002F409F" w:rsidRDefault="002F409F" w:rsidP="002F409F">
      <w:pPr>
        <w:pStyle w:val="BodyTextNumbered"/>
        <w:ind w:left="1440"/>
      </w:pPr>
      <w:r>
        <w:t>(a)</w:t>
      </w:r>
      <w:r>
        <w:tab/>
        <w:t>For cash payments, the timestamp for when funds are credited to ERCOT’s bank account, or;</w:t>
      </w:r>
    </w:p>
    <w:p w14:paraId="71999555" w14:textId="77777777" w:rsidR="002F409F" w:rsidRDefault="002F409F" w:rsidP="002F409F">
      <w:pPr>
        <w:pStyle w:val="BodyTextNumbered"/>
        <w:ind w:left="1440"/>
      </w:pPr>
      <w:r>
        <w:t>(b)</w:t>
      </w:r>
      <w:r>
        <w:tab/>
        <w:t>For non-cash Financial Security,</w:t>
      </w:r>
    </w:p>
    <w:p w14:paraId="2C02CD00" w14:textId="77777777" w:rsidR="002F409F" w:rsidRDefault="002F409F" w:rsidP="002F409F">
      <w:pPr>
        <w:pStyle w:val="BodyTextNumbered"/>
        <w:ind w:left="2160"/>
      </w:pPr>
      <w:r>
        <w:t>(i)</w:t>
      </w:r>
      <w:r>
        <w:tab/>
        <w:t>The timestamp of the email or facsimile, if the required documentation is delivered to ERCOT by email or facsimile, or;</w:t>
      </w:r>
    </w:p>
    <w:p w14:paraId="027F3ADE" w14:textId="77777777" w:rsidR="002F409F" w:rsidRDefault="002F409F" w:rsidP="002F409F">
      <w:pPr>
        <w:pStyle w:val="BodyTextNumbered"/>
        <w:ind w:left="2160"/>
      </w:pPr>
      <w:r>
        <w:t>(ii)</w:t>
      </w:r>
      <w:r>
        <w:tab/>
        <w:t xml:space="preserve">The timestamp of the delivery receipt, if the required documentation is mailed or physically delivered to ERCOT. </w:t>
      </w:r>
    </w:p>
    <w:p w14:paraId="0E9C5419" w14:textId="77944193" w:rsidR="002F409F" w:rsidRDefault="002F409F" w:rsidP="002F409F">
      <w:pPr>
        <w:pStyle w:val="BodyTextNumbered"/>
      </w:pPr>
      <w:r>
        <w:t>(7)</w:t>
      </w:r>
      <w:r>
        <w:tab/>
      </w:r>
      <w:r w:rsidR="006B2812" w:rsidRPr="00B7034E">
        <w:t xml:space="preserve">ERCOT may, in its sole discretion, and upon a Market Participant’s showing that the failure to pay when due was not within the control of the Market Participant, </w:t>
      </w:r>
      <w:r>
        <w:t>deem that a failure to pay when due was neither a</w:t>
      </w:r>
      <w:r w:rsidR="006B2812" w:rsidRPr="00B7034E">
        <w:t xml:space="preserve"> Payment Breach </w:t>
      </w:r>
      <w:r>
        <w:t>nor</w:t>
      </w:r>
      <w:r w:rsidR="006B2812" w:rsidRPr="00B7034E">
        <w:t xml:space="preserve"> a Late Payment.  </w:t>
      </w:r>
    </w:p>
    <w:p w14:paraId="32AC4F5E" w14:textId="736733FA" w:rsidR="00130D6C" w:rsidRPr="00B7034E" w:rsidRDefault="002F409F" w:rsidP="002F409F">
      <w:pPr>
        <w:pStyle w:val="BodyTextNumbered"/>
      </w:pPr>
      <w:r>
        <w:t>(8)</w:t>
      </w:r>
      <w:r>
        <w:tab/>
      </w:r>
      <w:r w:rsidR="006B2812" w:rsidRPr="00B7034E">
        <w:t>ERCOT shall track the number of Late Payments received from each Market Participant in each rolling 12-month period for purposes of imposing the Late Payment remedies set forth in Section 16.11.6.2</w:t>
      </w:r>
      <w:r w:rsidR="00FC544E" w:rsidRPr="00B7034E">
        <w:t>, ERCOT’s Remedies for Late Payments by a Market Participant</w:t>
      </w:r>
      <w:r w:rsidR="006B2812" w:rsidRPr="00B7034E">
        <w:t>.</w:t>
      </w:r>
      <w:bookmarkEnd w:id="536"/>
      <w:bookmarkEnd w:id="537"/>
      <w:bookmarkEnd w:id="538"/>
    </w:p>
    <w:p w14:paraId="4267E51F" w14:textId="77777777" w:rsidR="00FC1C5F" w:rsidRPr="00D63F95" w:rsidRDefault="00727E32" w:rsidP="0078184C">
      <w:pPr>
        <w:pStyle w:val="H4"/>
        <w:rPr>
          <w:b/>
        </w:rPr>
      </w:pPr>
      <w:bookmarkStart w:id="541" w:name="_Toc415055780"/>
      <w:bookmarkStart w:id="542" w:name="_Toc415055906"/>
      <w:bookmarkStart w:id="543" w:name="_Toc415056005"/>
      <w:bookmarkStart w:id="544" w:name="_Toc415056105"/>
      <w:bookmarkStart w:id="545" w:name="_Toc70591648"/>
      <w:r w:rsidRPr="00D63F95">
        <w:rPr>
          <w:b/>
        </w:rPr>
        <w:t>16.11.6.1</w:t>
      </w:r>
      <w:r w:rsidRPr="00D63F95">
        <w:rPr>
          <w:b/>
        </w:rPr>
        <w:tab/>
        <w:t>ERCOT’s Remedies</w:t>
      </w:r>
      <w:bookmarkEnd w:id="539"/>
      <w:bookmarkEnd w:id="540"/>
      <w:bookmarkEnd w:id="541"/>
      <w:bookmarkEnd w:id="542"/>
      <w:bookmarkEnd w:id="543"/>
      <w:bookmarkEnd w:id="544"/>
      <w:bookmarkEnd w:id="545"/>
      <w:r w:rsidRPr="00D63F95">
        <w:rPr>
          <w:b/>
        </w:rPr>
        <w:t xml:space="preserve"> </w:t>
      </w:r>
    </w:p>
    <w:p w14:paraId="26CDB798" w14:textId="77777777" w:rsidR="00FC1C5F" w:rsidRDefault="00853D39" w:rsidP="003E09AF">
      <w:pPr>
        <w:pStyle w:val="BodyText"/>
        <w:ind w:left="720" w:hanging="720"/>
      </w:pPr>
      <w:r>
        <w:t>(1)</w:t>
      </w:r>
      <w:r>
        <w:tab/>
      </w:r>
      <w:r w:rsidR="006B2812">
        <w:t>In addition to all other remedies that ERCOT has under any agreement, common law or these Protocols, for Payment Breaches or other Defaults by a Market Participant, ERCOT has the following additional remedies.</w:t>
      </w:r>
    </w:p>
    <w:p w14:paraId="3D091A2F" w14:textId="77777777" w:rsidR="00FC1C5F" w:rsidRDefault="00727E32">
      <w:pPr>
        <w:pStyle w:val="H5"/>
      </w:pPr>
      <w:bookmarkStart w:id="546" w:name="_Toc390438978"/>
      <w:bookmarkStart w:id="547" w:name="_Toc405897677"/>
      <w:bookmarkStart w:id="548" w:name="_Toc415055781"/>
      <w:bookmarkStart w:id="549" w:name="_Toc415055907"/>
      <w:bookmarkStart w:id="550" w:name="_Toc415056006"/>
      <w:bookmarkStart w:id="551" w:name="_Toc415056106"/>
      <w:bookmarkStart w:id="552" w:name="_Toc70591649"/>
      <w:r>
        <w:t>16.11.6.1.1</w:t>
      </w:r>
      <w:r>
        <w:tab/>
        <w:t>No Payments by ERCOT to Market Participant</w:t>
      </w:r>
      <w:bookmarkEnd w:id="546"/>
      <w:bookmarkEnd w:id="547"/>
      <w:bookmarkEnd w:id="548"/>
      <w:bookmarkEnd w:id="549"/>
      <w:bookmarkEnd w:id="550"/>
      <w:bookmarkEnd w:id="551"/>
      <w:bookmarkEnd w:id="552"/>
    </w:p>
    <w:p w14:paraId="213E605B" w14:textId="77777777" w:rsidR="00FC1C5F" w:rsidRDefault="00853D39" w:rsidP="003E09AF">
      <w:pPr>
        <w:pStyle w:val="BodyText"/>
        <w:ind w:left="720" w:hanging="720"/>
      </w:pPr>
      <w:r>
        <w:t>(1)</w:t>
      </w:r>
      <w:r>
        <w:tab/>
      </w:r>
      <w:r w:rsidR="006B2812">
        <w:t xml:space="preserve">ERCOT is not required to make any payment to a Market Participant unless and until the Market Participant satisfies the Payment Breach by paying the past due amount in full, including amounts due under Section 16.11.6.1.3, Aggregate Amount Owed by </w:t>
      </w:r>
      <w:r w:rsidR="006B2812">
        <w:lastRenderedPageBreak/>
        <w:t>Breaching Market Participant Immediately Due.  The payments that ERCOT will not make include Invoice receipts, CRR Auction revenues, CRR credits, reimbursements for short payments and any other reimbursements or credits under any and all other agreements between ERCOT and the Market Participant.  ERCOT shall retain all such amounts, and may apply all withheld funds toward the payment of the delinquent amount(s), until the Market Participant has fully paid all amounts owed to ERCOT under any agreements and these Protocols.  If the Market Participant should fail to pay the full amount due within the cure period, ERCOT may apply all funds it withheld toward the payment of the delinquent amount(s).</w:t>
      </w:r>
    </w:p>
    <w:p w14:paraId="71035062" w14:textId="77777777" w:rsidR="00FC1C5F" w:rsidRDefault="00727E32">
      <w:pPr>
        <w:pStyle w:val="H5"/>
      </w:pPr>
      <w:bookmarkStart w:id="553" w:name="_Toc390438979"/>
      <w:bookmarkStart w:id="554" w:name="_Toc405897679"/>
      <w:bookmarkStart w:id="555" w:name="_Toc415055782"/>
      <w:bookmarkStart w:id="556" w:name="_Toc415055908"/>
      <w:bookmarkStart w:id="557" w:name="_Toc415056007"/>
      <w:bookmarkStart w:id="558" w:name="_Toc415056107"/>
      <w:bookmarkStart w:id="559" w:name="_Toc70591650"/>
      <w:r>
        <w:t>16.11.6.1.2</w:t>
      </w:r>
      <w:r>
        <w:tab/>
        <w:t>ERCOT May Draw On, Hold or Distribute Funds</w:t>
      </w:r>
      <w:bookmarkEnd w:id="553"/>
      <w:bookmarkEnd w:id="554"/>
      <w:bookmarkEnd w:id="555"/>
      <w:bookmarkEnd w:id="556"/>
      <w:bookmarkEnd w:id="557"/>
      <w:bookmarkEnd w:id="558"/>
      <w:bookmarkEnd w:id="559"/>
    </w:p>
    <w:p w14:paraId="272FAAD3" w14:textId="77777777" w:rsidR="00FC1C5F" w:rsidRDefault="00853D39" w:rsidP="003E09AF">
      <w:pPr>
        <w:pStyle w:val="BodyText"/>
        <w:ind w:left="720" w:hanging="720"/>
      </w:pPr>
      <w:r>
        <w:t>(1)</w:t>
      </w:r>
      <w:r>
        <w:tab/>
      </w:r>
      <w:r w:rsidR="006B2812">
        <w:t xml:space="preserve">Upon a Payment </w:t>
      </w:r>
      <w:r w:rsidR="006B2812" w:rsidRPr="007F3EB6">
        <w:t>Breach, ERCOT, at its option, without notice to the Market Participant and in its sole discretion, may immediately, or at any time before the Market Participant pays the past due amount in full, including amounts due under Section 16.11.6.1.3, Aggregate Amount Owed by Breaching Market Participant Immediately Due, draw on, hold or distribute to other Market Participants any Financial Security or other funds of the Market Participant in ERCOT’s possession.  If the funds drawn exceed the amount applied to any Payment Breach, then ERCOT may hold those funds as Financial Security.</w:t>
      </w:r>
    </w:p>
    <w:p w14:paraId="6AB937CB" w14:textId="77777777" w:rsidR="00FC1C5F" w:rsidRDefault="00727E32">
      <w:pPr>
        <w:pStyle w:val="H5"/>
      </w:pPr>
      <w:bookmarkStart w:id="560" w:name="_Toc390438980"/>
      <w:bookmarkStart w:id="561" w:name="_Toc405897681"/>
      <w:bookmarkStart w:id="562" w:name="_Toc415055783"/>
      <w:bookmarkStart w:id="563" w:name="_Toc415055909"/>
      <w:bookmarkStart w:id="564" w:name="_Toc415056008"/>
      <w:bookmarkStart w:id="565" w:name="_Toc415056108"/>
      <w:bookmarkStart w:id="566" w:name="_Toc70591651"/>
      <w:r>
        <w:t>16.11.6.1.3</w:t>
      </w:r>
      <w:r>
        <w:tab/>
        <w:t>Aggregate Amount Owed by Breaching Market Participant Immediately Due</w:t>
      </w:r>
      <w:bookmarkEnd w:id="560"/>
      <w:bookmarkEnd w:id="561"/>
      <w:bookmarkEnd w:id="562"/>
      <w:bookmarkEnd w:id="563"/>
      <w:bookmarkEnd w:id="564"/>
      <w:bookmarkEnd w:id="565"/>
      <w:bookmarkEnd w:id="566"/>
    </w:p>
    <w:p w14:paraId="5E9E4A19" w14:textId="77777777" w:rsidR="00FC1C5F" w:rsidRDefault="00853D39" w:rsidP="003E09AF">
      <w:pPr>
        <w:pStyle w:val="BodyText"/>
        <w:ind w:left="720" w:hanging="720"/>
      </w:pPr>
      <w:r>
        <w:t>(1)</w:t>
      </w:r>
      <w:r>
        <w:tab/>
      </w:r>
      <w:r w:rsidR="006B2812" w:rsidRPr="007F3EB6">
        <w:t>ERCOT shall aggregate all amounts due it by the Market Participant under any agreement with ERCOT and these Protocols into a single amount to the fullest extent allowed by law.  The entire unpaid net balance owed to ERCOT by the Market Participant, at ERCOT’s option, and its sole discretion, is immediately due and payable without further notice and demand for payment.  Any such notice and demand for payment are expressly waived by the Market Participant.</w:t>
      </w:r>
    </w:p>
    <w:p w14:paraId="798D9BBD" w14:textId="77777777" w:rsidR="00FC1C5F" w:rsidRDefault="00727E32">
      <w:pPr>
        <w:pStyle w:val="H5"/>
      </w:pPr>
      <w:bookmarkStart w:id="567" w:name="_Toc390438981"/>
      <w:bookmarkStart w:id="568" w:name="_Toc405897683"/>
      <w:bookmarkStart w:id="569" w:name="_Toc415055784"/>
      <w:bookmarkStart w:id="570" w:name="_Toc415055910"/>
      <w:bookmarkStart w:id="571" w:name="_Toc415056009"/>
      <w:bookmarkStart w:id="572" w:name="_Toc415056109"/>
      <w:bookmarkStart w:id="573" w:name="_Toc70591652"/>
      <w:r>
        <w:t>16.11.6.1.4</w:t>
      </w:r>
      <w:r>
        <w:tab/>
        <w:t>Repossession of CRRs by ERCOT</w:t>
      </w:r>
      <w:bookmarkEnd w:id="567"/>
      <w:bookmarkEnd w:id="568"/>
      <w:bookmarkEnd w:id="569"/>
      <w:bookmarkEnd w:id="570"/>
      <w:bookmarkEnd w:id="571"/>
      <w:bookmarkEnd w:id="572"/>
      <w:bookmarkEnd w:id="573"/>
    </w:p>
    <w:p w14:paraId="7CD2B9E7" w14:textId="77777777" w:rsidR="004E603E" w:rsidRDefault="00853D39" w:rsidP="003E09AF">
      <w:pPr>
        <w:pStyle w:val="BodyText"/>
        <w:ind w:left="720" w:hanging="720"/>
      </w:pPr>
      <w:r>
        <w:t>(1)</w:t>
      </w:r>
      <w:r>
        <w:tab/>
      </w:r>
      <w:r w:rsidR="006B2812" w:rsidRPr="002D2785">
        <w:t>ERCOT, at its sole discretion, may repossess CRRs held by a Market Participant with a Payment Breach</w:t>
      </w:r>
      <w:r w:rsidR="00EF495A">
        <w:t xml:space="preserve"> or other Default</w:t>
      </w:r>
      <w:r w:rsidR="006B2812" w:rsidRPr="002D2785">
        <w:t xml:space="preserve">.  ERCOT shall effect that repossession by sending a written notice to the Market Participant of the repossession and by removing the CRRs from the Market Participant’s CRR account.  </w:t>
      </w:r>
      <w:r w:rsidR="00EF495A">
        <w:rPr>
          <w:iCs w:val="0"/>
        </w:rPr>
        <w:t xml:space="preserve">CRRs that settle in the same calendar month as the repossession but subsequent to the effective date of the repossession shall be voided.  The Market Participant will neither be charged, nor entitled to credit, for the voided CRRs in the DAM Settlement.  </w:t>
      </w:r>
      <w:r w:rsidR="006B2812" w:rsidRPr="002D2785">
        <w:t xml:space="preserve">ERCOT shall offer </w:t>
      </w:r>
      <w:r w:rsidR="00EF495A">
        <w:rPr>
          <w:iCs w:val="0"/>
        </w:rPr>
        <w:t>a portfolio of CRRs containing</w:t>
      </w:r>
      <w:r w:rsidR="00EF495A" w:rsidRPr="002D2785">
        <w:t xml:space="preserve"> </w:t>
      </w:r>
      <w:r w:rsidR="006B2812" w:rsidRPr="002D2785">
        <w:t>all of th</w:t>
      </w:r>
      <w:r w:rsidR="00EF495A">
        <w:t>e</w:t>
      </w:r>
      <w:r w:rsidR="006B2812" w:rsidRPr="002D2785">
        <w:t xml:space="preserve"> </w:t>
      </w:r>
      <w:r w:rsidR="00EF495A">
        <w:rPr>
          <w:iCs w:val="0"/>
        </w:rPr>
        <w:t>remaining unvoided</w:t>
      </w:r>
      <w:r w:rsidR="00EF495A" w:rsidRPr="002D2785">
        <w:t xml:space="preserve"> </w:t>
      </w:r>
      <w:r w:rsidR="006B2812" w:rsidRPr="002D2785">
        <w:t>repossessed CRRs, with each repossessed CRR in its existing configuration, in a one-time auction to Market Participants (other than the Market Participant(s) in Payment Breach</w:t>
      </w:r>
      <w:r w:rsidR="00EF495A" w:rsidRPr="00EF495A">
        <w:rPr>
          <w:iCs w:val="0"/>
        </w:rPr>
        <w:t xml:space="preserve"> </w:t>
      </w:r>
      <w:r w:rsidR="00EF495A">
        <w:rPr>
          <w:iCs w:val="0"/>
        </w:rPr>
        <w:t>or other Default</w:t>
      </w:r>
      <w:r w:rsidR="006B2812" w:rsidRPr="002D2785">
        <w:t>) for sale to the highest bidder</w:t>
      </w:r>
      <w:r w:rsidR="00EF495A" w:rsidRPr="00EF495A">
        <w:rPr>
          <w:iCs w:val="0"/>
        </w:rPr>
        <w:t xml:space="preserve"> </w:t>
      </w:r>
      <w:r w:rsidR="00EF495A">
        <w:rPr>
          <w:iCs w:val="0"/>
        </w:rPr>
        <w:t>with a positive bid price for the entire portfolio</w:t>
      </w:r>
      <w:r w:rsidR="006B2812" w:rsidRPr="002D2785">
        <w:t xml:space="preserve">.  </w:t>
      </w:r>
      <w:r w:rsidR="00EF495A">
        <w:rPr>
          <w:iCs w:val="0"/>
        </w:rPr>
        <w:t xml:space="preserve">PTP Options with Refund and PTP Obligations with Refund will be voided and will not be included in the portfolio of repossessed CRRs available in the one-time auction.  </w:t>
      </w:r>
      <w:r w:rsidR="006B2812" w:rsidRPr="002D2785">
        <w:t xml:space="preserve">ERCOT shall offset net revenues from that sale against amounts owed to ERCOT by the Market Participant.  </w:t>
      </w:r>
      <w:r w:rsidR="00EF495A">
        <w:t xml:space="preserve">If revenues </w:t>
      </w:r>
      <w:r w:rsidR="00EF495A">
        <w:lastRenderedPageBreak/>
        <w:t xml:space="preserve">from the sale exceed amounts owed to ERCOT then the excess shall be remitted to the Market Participant.  </w:t>
      </w:r>
      <w:r w:rsidR="006B2812" w:rsidRPr="002D2785">
        <w:t xml:space="preserve">If ERCOT receives no </w:t>
      </w:r>
      <w:r w:rsidR="00EF495A">
        <w:t xml:space="preserve">positive </w:t>
      </w:r>
      <w:r w:rsidR="006B2812" w:rsidRPr="002D2785">
        <w:t xml:space="preserve">bids for </w:t>
      </w:r>
      <w:r w:rsidR="00EF495A">
        <w:rPr>
          <w:iCs w:val="0"/>
        </w:rPr>
        <w:t xml:space="preserve">the portfolio of </w:t>
      </w:r>
      <w:r w:rsidR="006B2812" w:rsidRPr="002D2785">
        <w:t>CRR</w:t>
      </w:r>
      <w:r w:rsidR="00EF495A">
        <w:t>s</w:t>
      </w:r>
      <w:r w:rsidR="006B2812" w:rsidRPr="002D2785">
        <w:t xml:space="preserve"> in th</w:t>
      </w:r>
      <w:r w:rsidR="00EF495A">
        <w:t>e</w:t>
      </w:r>
      <w:r w:rsidR="006B2812" w:rsidRPr="002D2785">
        <w:t xml:space="preserve"> </w:t>
      </w:r>
      <w:r w:rsidR="00EF495A">
        <w:t xml:space="preserve">one-time </w:t>
      </w:r>
      <w:r w:rsidR="006B2812" w:rsidRPr="002D2785">
        <w:t xml:space="preserve">auction, ERCOT shall void </w:t>
      </w:r>
      <w:r w:rsidR="00EF495A">
        <w:rPr>
          <w:iCs w:val="0"/>
        </w:rPr>
        <w:t xml:space="preserve">all of </w:t>
      </w:r>
      <w:r w:rsidR="006B2812" w:rsidRPr="002D2785">
        <w:t xml:space="preserve">the </w:t>
      </w:r>
      <w:r w:rsidR="00EF495A">
        <w:rPr>
          <w:iCs w:val="0"/>
        </w:rPr>
        <w:t>repossessed</w:t>
      </w:r>
      <w:r w:rsidR="00EF495A" w:rsidRPr="002D2785">
        <w:t xml:space="preserve"> </w:t>
      </w:r>
      <w:r w:rsidR="006B2812" w:rsidRPr="002D2785">
        <w:t>CRR</w:t>
      </w:r>
      <w:r w:rsidR="00EF495A">
        <w:t>s</w:t>
      </w:r>
      <w:r w:rsidR="006B2812" w:rsidRPr="002D2785">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603E" w14:paraId="6055D1F4" w14:textId="77777777" w:rsidTr="004E603E">
        <w:tc>
          <w:tcPr>
            <w:tcW w:w="9558" w:type="dxa"/>
            <w:shd w:val="pct12" w:color="auto" w:fill="auto"/>
          </w:tcPr>
          <w:p w14:paraId="3B32C8EE" w14:textId="07CE042D" w:rsidR="004E603E" w:rsidRPr="0002450E" w:rsidRDefault="004E603E" w:rsidP="004E603E">
            <w:pPr>
              <w:pStyle w:val="Instructions"/>
              <w:spacing w:before="120"/>
              <w:rPr>
                <w:iCs/>
              </w:rPr>
            </w:pPr>
            <w:r>
              <w:rPr>
                <w:iCs/>
              </w:rPr>
              <w:t>[NPRR1023</w:t>
            </w:r>
            <w:r w:rsidRPr="0002450E">
              <w:rPr>
                <w:iCs/>
              </w:rPr>
              <w:t xml:space="preserve">:  Replace </w:t>
            </w:r>
            <w:r>
              <w:rPr>
                <w:iCs/>
              </w:rPr>
              <w:t xml:space="preserve">paragraph (1) </w:t>
            </w:r>
            <w:r w:rsidRPr="0002450E">
              <w:rPr>
                <w:iCs/>
              </w:rPr>
              <w:t xml:space="preserve">above with the following upon system implementation:] </w:t>
            </w:r>
          </w:p>
          <w:p w14:paraId="26532F99" w14:textId="11B9EB51" w:rsidR="004E603E" w:rsidRPr="008D69E1" w:rsidRDefault="004E603E" w:rsidP="004E603E">
            <w:pPr>
              <w:pStyle w:val="BodyText"/>
              <w:ind w:left="720" w:hanging="720"/>
            </w:pPr>
            <w:r>
              <w:t>(1)</w:t>
            </w:r>
            <w:r>
              <w:tab/>
            </w:r>
            <w:r w:rsidRPr="002D2785">
              <w:t xml:space="preserve">ERCOT, at its sole discretion, may repossess CRRs held by a Market Participant </w:t>
            </w:r>
            <w:r>
              <w:t>in</w:t>
            </w:r>
            <w:r w:rsidRPr="002D2785">
              <w:t xml:space="preserve"> </w:t>
            </w:r>
            <w:r>
              <w:t>Default under an Agreement with ERCOT</w:t>
            </w:r>
            <w:r w:rsidRPr="002D2785">
              <w:t xml:space="preserve">.  ERCOT shall effect that repossession by sending a written notice to the Market Participant of the repossession and by removing the Market Participant’s </w:t>
            </w:r>
            <w:r>
              <w:t>access to the repossessed CRRs.</w:t>
            </w:r>
            <w:r w:rsidRPr="002D2785">
              <w:t xml:space="preserve">  </w:t>
            </w:r>
            <w:r>
              <w:t>The repossessed CRRs will be handled as specified in Section 16.11.6.1.6, Liquidation of Repossessed or Forfeited CRRs.</w:t>
            </w:r>
          </w:p>
        </w:tc>
      </w:tr>
    </w:tbl>
    <w:p w14:paraId="38377848" w14:textId="77777777" w:rsidR="00FC1C5F" w:rsidRDefault="00727E32" w:rsidP="00974AFC">
      <w:pPr>
        <w:pStyle w:val="H5"/>
        <w:spacing w:before="480"/>
      </w:pPr>
      <w:bookmarkStart w:id="574" w:name="_Toc390438982"/>
      <w:bookmarkStart w:id="575" w:name="_Toc405897685"/>
      <w:bookmarkStart w:id="576" w:name="_Toc415055785"/>
      <w:bookmarkStart w:id="577" w:name="_Toc415055911"/>
      <w:bookmarkStart w:id="578" w:name="_Toc415056010"/>
      <w:bookmarkStart w:id="579" w:name="_Toc415056110"/>
      <w:bookmarkStart w:id="580" w:name="_Toc70591653"/>
      <w:r>
        <w:t>16.11.6.1.5</w:t>
      </w:r>
      <w:r>
        <w:tab/>
        <w:t>Declaration of Forfeit of CRRs</w:t>
      </w:r>
      <w:bookmarkEnd w:id="574"/>
      <w:bookmarkEnd w:id="575"/>
      <w:bookmarkEnd w:id="576"/>
      <w:bookmarkEnd w:id="577"/>
      <w:bookmarkEnd w:id="578"/>
      <w:bookmarkEnd w:id="579"/>
      <w:bookmarkEnd w:id="580"/>
    </w:p>
    <w:p w14:paraId="4D2CE207" w14:textId="77777777" w:rsidR="004E603E" w:rsidRDefault="00727E32">
      <w:pPr>
        <w:pStyle w:val="BodyText"/>
        <w:ind w:left="720" w:hanging="720"/>
      </w:pPr>
      <w:r>
        <w:t>(1)</w:t>
      </w:r>
      <w:r>
        <w:tab/>
        <w:t xml:space="preserve">At ERCOT’s sole discretion, if it does not receive full payment on the due date of a CRR Auction Invoice, may declare any of the CRR bids cleared and Pre-Assigned Congestion Revenue Rights (PCRRs) allocated to the </w:t>
      </w:r>
      <w:r>
        <w:rPr>
          <w:color w:val="000000"/>
        </w:rPr>
        <w:t xml:space="preserve">Market Participant </w:t>
      </w:r>
      <w:r>
        <w:t xml:space="preserve">forfeited. ERCOT shall effect that forfeiture by sending a written notice to the </w:t>
      </w:r>
      <w:r>
        <w:rPr>
          <w:color w:val="000000"/>
        </w:rPr>
        <w:t>Market Participant</w:t>
      </w:r>
      <w:r>
        <w:t xml:space="preserve"> of the forfeiture and of not delivering the CRRs or PCRRs to the </w:t>
      </w:r>
      <w:r>
        <w:rPr>
          <w:color w:val="000000"/>
        </w:rPr>
        <w:t>Market Participant</w:t>
      </w:r>
      <w:r>
        <w:t xml:space="preserve">’s CRR account.  ERCOT shall </w:t>
      </w:r>
      <w:r w:rsidR="00EF495A">
        <w:rPr>
          <w:iCs w:val="0"/>
        </w:rPr>
        <w:t xml:space="preserve">either (a) </w:t>
      </w:r>
      <w:r>
        <w:t xml:space="preserve">offer all forfeited CRRs, with each forfeited CRR in its existing configuration, in a one-time auction to Market Participants (other than the </w:t>
      </w:r>
      <w:r>
        <w:rPr>
          <w:color w:val="000000"/>
        </w:rPr>
        <w:t>Market Participant(s)</w:t>
      </w:r>
      <w:r>
        <w:t xml:space="preserve"> in Payment Breach</w:t>
      </w:r>
      <w:r w:rsidR="00EF495A">
        <w:rPr>
          <w:iCs w:val="0"/>
        </w:rPr>
        <w:t xml:space="preserve"> or other Default</w:t>
      </w:r>
      <w:r>
        <w:t xml:space="preserve">) for sale to the highest bidder </w:t>
      </w:r>
      <w:r w:rsidR="00EF495A">
        <w:rPr>
          <w:iCs w:val="0"/>
        </w:rPr>
        <w:t>with a positive bid price</w:t>
      </w:r>
      <w:r w:rsidR="00EF495A" w:rsidRPr="00646059">
        <w:rPr>
          <w:iCs w:val="0"/>
        </w:rPr>
        <w:t xml:space="preserve"> </w:t>
      </w:r>
      <w:r>
        <w:t xml:space="preserve">or </w:t>
      </w:r>
      <w:r w:rsidR="00EF495A">
        <w:t xml:space="preserve">(b) </w:t>
      </w:r>
      <w:r>
        <w:t xml:space="preserve">ERCOT shall make the related capacity available in subsequent CRR Auctions.  Revenue from that sale shall be considered as CRR Auction revenue and distributed to QSEs based on Load Ratio Share as specified in </w:t>
      </w:r>
      <w:bookmarkStart w:id="581" w:name="_Toc149469980"/>
      <w:r>
        <w:t xml:space="preserve">Section 7.5.7, Method for Distributing </w:t>
      </w:r>
      <w:smartTag w:uri="urn:schemas-microsoft-com:office:smarttags" w:element="stockticker">
        <w:r>
          <w:t>CRR</w:t>
        </w:r>
      </w:smartTag>
      <w:r>
        <w:t xml:space="preserve"> Auction Revenues</w:t>
      </w:r>
      <w:bookmarkEnd w:id="581"/>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603E" w14:paraId="62CFD33D" w14:textId="77777777" w:rsidTr="004E603E">
        <w:tc>
          <w:tcPr>
            <w:tcW w:w="9558" w:type="dxa"/>
            <w:shd w:val="pct12" w:color="auto" w:fill="auto"/>
          </w:tcPr>
          <w:p w14:paraId="4DE7FF68" w14:textId="77777777" w:rsidR="004E603E" w:rsidRPr="0002450E" w:rsidRDefault="004E603E" w:rsidP="004E603E">
            <w:pPr>
              <w:pStyle w:val="Instructions"/>
              <w:spacing w:before="120"/>
              <w:rPr>
                <w:iCs/>
              </w:rPr>
            </w:pPr>
            <w:r>
              <w:rPr>
                <w:iCs/>
              </w:rPr>
              <w:t>[NPRR1023</w:t>
            </w:r>
            <w:r w:rsidRPr="0002450E">
              <w:rPr>
                <w:iCs/>
              </w:rPr>
              <w:t xml:space="preserve">:  Replace </w:t>
            </w:r>
            <w:r>
              <w:rPr>
                <w:iCs/>
              </w:rPr>
              <w:t xml:space="preserve">paragraph (1) </w:t>
            </w:r>
            <w:r w:rsidRPr="0002450E">
              <w:rPr>
                <w:iCs/>
              </w:rPr>
              <w:t xml:space="preserve">above with the following upon system implementation:] </w:t>
            </w:r>
          </w:p>
          <w:p w14:paraId="583E22F4" w14:textId="235890D4" w:rsidR="004E603E" w:rsidRPr="008D69E1" w:rsidRDefault="004E603E" w:rsidP="004E603E">
            <w:pPr>
              <w:pStyle w:val="BodyText"/>
              <w:ind w:left="720" w:hanging="720"/>
            </w:pPr>
            <w:r>
              <w:t>(1)</w:t>
            </w:r>
            <w:r>
              <w:tab/>
              <w:t xml:space="preserve">At ERCOT’s sole discretion, if it does not receive full payment on the due date of a CRR Auction Invoice, it may declare any of the CRR bids cleared and Pre-Assigned Congestion Revenue Rights (PCRRs) allocated to the </w:t>
            </w:r>
            <w:r>
              <w:rPr>
                <w:color w:val="000000"/>
              </w:rPr>
              <w:t xml:space="preserve">Market Participant </w:t>
            </w:r>
            <w:r>
              <w:t xml:space="preserve">forfeited. ERCOT shall effect that forfeiture by sending a written Notice to the </w:t>
            </w:r>
            <w:r>
              <w:rPr>
                <w:color w:val="000000"/>
              </w:rPr>
              <w:t>Market Participant</w:t>
            </w:r>
            <w:r>
              <w:t xml:space="preserve"> of the forfeiture and by not delivering the CRRs or PCRRs to the </w:t>
            </w:r>
            <w:r>
              <w:rPr>
                <w:color w:val="000000"/>
              </w:rPr>
              <w:t>Market Participant</w:t>
            </w:r>
            <w:r>
              <w:t>’s CRR account.  The forfeited CRRs or PCRRs will be liquidated as specified in Section 16.11.6.1.6, Liquidation of Repossessed or Forfeited CRRs.</w:t>
            </w:r>
          </w:p>
        </w:tc>
      </w:tr>
    </w:tbl>
    <w:p w14:paraId="13FB18FE" w14:textId="77777777" w:rsidR="00FC1C5F" w:rsidRDefault="00727E32" w:rsidP="00974AFC">
      <w:pPr>
        <w:pStyle w:val="BodyText"/>
        <w:spacing w:before="240"/>
        <w:ind w:left="720" w:hanging="720"/>
      </w:pPr>
      <w:r>
        <w:t>(2)</w:t>
      </w:r>
      <w:r>
        <w:tab/>
        <w:t xml:space="preserve">ERCOT may also, at its sole discretion, honor any of the offers from Market Participants that were cleared in the CRR Auction by removing the CRRs from the Market Participant’s CRR account.  ERCOT shall offset net revenues due to the Market </w:t>
      </w:r>
      <w:r>
        <w:lastRenderedPageBreak/>
        <w:t xml:space="preserve">Participant from CRRs offered and cleared against amounts owed to ERCOT by the </w:t>
      </w:r>
      <w:r>
        <w:rPr>
          <w:color w:val="000000"/>
        </w:rPr>
        <w:t>Market Participant</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603E" w14:paraId="6D184061" w14:textId="77777777" w:rsidTr="004E603E">
        <w:tc>
          <w:tcPr>
            <w:tcW w:w="9558" w:type="dxa"/>
            <w:shd w:val="pct12" w:color="auto" w:fill="auto"/>
          </w:tcPr>
          <w:p w14:paraId="49139DB6" w14:textId="5699EA02" w:rsidR="004E603E" w:rsidRPr="0002450E" w:rsidRDefault="004E603E" w:rsidP="004E603E">
            <w:pPr>
              <w:pStyle w:val="Instructions"/>
              <w:spacing w:before="120"/>
              <w:rPr>
                <w:iCs/>
              </w:rPr>
            </w:pPr>
            <w:bookmarkStart w:id="582" w:name="_Toc390438983"/>
            <w:bookmarkStart w:id="583" w:name="_Toc405897686"/>
            <w:bookmarkStart w:id="584" w:name="_Toc415055786"/>
            <w:bookmarkStart w:id="585" w:name="_Toc415055912"/>
            <w:bookmarkStart w:id="586" w:name="_Toc415056011"/>
            <w:bookmarkStart w:id="587" w:name="_Toc415056111"/>
            <w:r>
              <w:rPr>
                <w:iCs/>
              </w:rPr>
              <w:t>[NPRR1023</w:t>
            </w:r>
            <w:r w:rsidRPr="0002450E">
              <w:rPr>
                <w:iCs/>
              </w:rPr>
              <w:t xml:space="preserve">:  Replace </w:t>
            </w:r>
            <w:r>
              <w:rPr>
                <w:iCs/>
              </w:rPr>
              <w:t xml:space="preserve">paragraph (2) </w:t>
            </w:r>
            <w:r w:rsidRPr="0002450E">
              <w:rPr>
                <w:iCs/>
              </w:rPr>
              <w:t xml:space="preserve">above with the following upon system implementation:] </w:t>
            </w:r>
          </w:p>
          <w:p w14:paraId="10963267" w14:textId="1C6316A1" w:rsidR="004E603E" w:rsidRPr="008D69E1" w:rsidRDefault="004E603E" w:rsidP="004E603E">
            <w:pPr>
              <w:pStyle w:val="BodyText"/>
              <w:ind w:left="720" w:hanging="720"/>
            </w:pPr>
            <w:r>
              <w:t>(2)</w:t>
            </w:r>
            <w:r>
              <w:tab/>
              <w:t xml:space="preserve">ERCOT may also, at its sole discretion, honor any of the sell offers that were cleared in the CRR Auction made by a Market Participant who fails to fully pay the CRR Auction Invoice when due.  ERCOT shall offset net revenues due to the Market Participant from CRRs offered and cleared against amounts owed to ERCOT by the </w:t>
            </w:r>
            <w:r>
              <w:rPr>
                <w:color w:val="000000"/>
              </w:rPr>
              <w:t>Market Participant</w:t>
            </w:r>
            <w:r>
              <w:t>.</w:t>
            </w:r>
          </w:p>
        </w:tc>
      </w:tr>
    </w:tbl>
    <w:p w14:paraId="566A6FBC" w14:textId="77777777" w:rsidR="004E603E" w:rsidRDefault="004E603E" w:rsidP="004E603E">
      <w:pPr>
        <w:pStyle w:val="H5"/>
        <w:spacing w:before="0" w:after="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603E" w14:paraId="35E4FEF6" w14:textId="77777777" w:rsidTr="004E603E">
        <w:tc>
          <w:tcPr>
            <w:tcW w:w="9558" w:type="dxa"/>
            <w:shd w:val="pct12" w:color="auto" w:fill="auto"/>
          </w:tcPr>
          <w:p w14:paraId="46676B98" w14:textId="605251F2" w:rsidR="004E603E" w:rsidRPr="0002450E" w:rsidRDefault="004E603E" w:rsidP="004E603E">
            <w:pPr>
              <w:pStyle w:val="Instructions"/>
              <w:spacing w:before="120"/>
              <w:rPr>
                <w:iCs/>
              </w:rPr>
            </w:pPr>
            <w:r>
              <w:rPr>
                <w:iCs/>
              </w:rPr>
              <w:t>[NPRR1023</w:t>
            </w:r>
            <w:r w:rsidRPr="0002450E">
              <w:rPr>
                <w:iCs/>
              </w:rPr>
              <w:t xml:space="preserve">:  </w:t>
            </w:r>
            <w:r>
              <w:rPr>
                <w:iCs/>
              </w:rPr>
              <w:t>Insert Section 16.11.6.1.6 below</w:t>
            </w:r>
            <w:r w:rsidRPr="0002450E">
              <w:rPr>
                <w:iCs/>
              </w:rPr>
              <w:t xml:space="preserve"> upon system implementation</w:t>
            </w:r>
            <w:r>
              <w:rPr>
                <w:iCs/>
              </w:rPr>
              <w:t xml:space="preserve"> and renumber accordingly</w:t>
            </w:r>
            <w:r w:rsidRPr="0002450E">
              <w:rPr>
                <w:iCs/>
              </w:rPr>
              <w:t xml:space="preserve">:] </w:t>
            </w:r>
          </w:p>
          <w:p w14:paraId="0F4C41C5" w14:textId="77777777" w:rsidR="004E603E" w:rsidRPr="004E603E" w:rsidRDefault="004E603E" w:rsidP="004E603E">
            <w:pPr>
              <w:keepNext/>
              <w:tabs>
                <w:tab w:val="left" w:pos="1620"/>
              </w:tabs>
              <w:spacing w:after="240"/>
              <w:ind w:left="1620" w:hanging="1620"/>
              <w:outlineLvl w:val="4"/>
              <w:rPr>
                <w:b/>
                <w:bCs/>
                <w:i/>
                <w:iCs/>
                <w:szCs w:val="26"/>
              </w:rPr>
            </w:pPr>
            <w:bookmarkStart w:id="588" w:name="_Toc70591654"/>
            <w:r w:rsidRPr="004E603E">
              <w:rPr>
                <w:b/>
                <w:bCs/>
                <w:i/>
                <w:iCs/>
                <w:szCs w:val="26"/>
              </w:rPr>
              <w:t>16.11.6.1.6</w:t>
            </w:r>
            <w:r w:rsidRPr="004E603E">
              <w:rPr>
                <w:b/>
                <w:bCs/>
                <w:i/>
                <w:iCs/>
                <w:szCs w:val="26"/>
              </w:rPr>
              <w:tab/>
              <w:t>Liquidation of Repossessed or Forfeited CRRs</w:t>
            </w:r>
            <w:bookmarkEnd w:id="588"/>
          </w:p>
          <w:p w14:paraId="7B83ED0B" w14:textId="77777777" w:rsidR="004E603E" w:rsidRPr="004E603E" w:rsidRDefault="004E603E" w:rsidP="004E603E">
            <w:pPr>
              <w:spacing w:before="120" w:after="120"/>
              <w:ind w:left="720" w:hanging="720"/>
              <w:rPr>
                <w:szCs w:val="24"/>
              </w:rPr>
            </w:pPr>
            <w:r w:rsidRPr="004E603E">
              <w:rPr>
                <w:szCs w:val="24"/>
              </w:rPr>
              <w:t>(1)</w:t>
            </w:r>
            <w:r w:rsidRPr="004E603E">
              <w:rPr>
                <w:szCs w:val="24"/>
              </w:rPr>
              <w:tab/>
              <w:t>If any repossessed or forfeited CRRs have the following characteristics, they will be irrevocably voided, the capacity will be dissolved, and they will not settle in the DAM beyond the effective date of the repossession or forfeiture nor be offered into any future CRR Auctions:</w:t>
            </w:r>
          </w:p>
          <w:p w14:paraId="0F29ADF8" w14:textId="77777777" w:rsidR="004E603E" w:rsidRPr="004E603E" w:rsidRDefault="004E603E" w:rsidP="004E603E">
            <w:pPr>
              <w:spacing w:before="120" w:after="120"/>
              <w:ind w:left="1440" w:hanging="720"/>
              <w:rPr>
                <w:szCs w:val="24"/>
              </w:rPr>
            </w:pPr>
            <w:r w:rsidRPr="004E603E">
              <w:rPr>
                <w:szCs w:val="24"/>
              </w:rPr>
              <w:t xml:space="preserve">(a) </w:t>
            </w:r>
            <w:r w:rsidRPr="004E603E">
              <w:rPr>
                <w:szCs w:val="24"/>
              </w:rPr>
              <w:tab/>
              <w:t xml:space="preserve">PTP Options with Refund and PTP Obligations with Refund; </w:t>
            </w:r>
          </w:p>
          <w:p w14:paraId="4D03B705" w14:textId="77777777" w:rsidR="004E603E" w:rsidRPr="004E603E" w:rsidRDefault="004E603E" w:rsidP="004E603E">
            <w:pPr>
              <w:spacing w:before="120" w:after="120"/>
              <w:ind w:left="1440" w:hanging="720"/>
              <w:rPr>
                <w:szCs w:val="24"/>
              </w:rPr>
            </w:pPr>
            <w:r w:rsidRPr="004E603E">
              <w:rPr>
                <w:szCs w:val="24"/>
              </w:rPr>
              <w:t xml:space="preserve">(b) </w:t>
            </w:r>
            <w:r w:rsidRPr="004E603E">
              <w:rPr>
                <w:szCs w:val="24"/>
              </w:rPr>
              <w:tab/>
              <w:t>Awarded PCRRs that have not yet been priced in a CRR Auction and paid for by the breaching or defaulting Market Participant; and</w:t>
            </w:r>
          </w:p>
          <w:p w14:paraId="22910FF0" w14:textId="77777777" w:rsidR="004E603E" w:rsidRPr="004E603E" w:rsidRDefault="004E603E" w:rsidP="004E603E">
            <w:pPr>
              <w:spacing w:before="120" w:after="120"/>
              <w:ind w:left="1440" w:hanging="720"/>
              <w:rPr>
                <w:szCs w:val="24"/>
              </w:rPr>
            </w:pPr>
            <w:r w:rsidRPr="004E603E">
              <w:rPr>
                <w:szCs w:val="24"/>
              </w:rPr>
              <w:t>(c)</w:t>
            </w:r>
            <w:r w:rsidRPr="004E603E">
              <w:rPr>
                <w:szCs w:val="24"/>
              </w:rPr>
              <w:tab/>
              <w:t>Partial-month CRRs resulting from bilateral trades.</w:t>
            </w:r>
          </w:p>
          <w:p w14:paraId="321D2ADA" w14:textId="77777777" w:rsidR="004E603E" w:rsidRPr="004E603E" w:rsidRDefault="004E603E" w:rsidP="004E603E">
            <w:pPr>
              <w:spacing w:before="120" w:after="120"/>
              <w:ind w:left="720" w:hanging="720"/>
              <w:rPr>
                <w:szCs w:val="24"/>
              </w:rPr>
            </w:pPr>
            <w:r w:rsidRPr="004E603E">
              <w:rPr>
                <w:szCs w:val="24"/>
              </w:rPr>
              <w:t>(2)</w:t>
            </w:r>
            <w:r w:rsidRPr="004E603E">
              <w:rPr>
                <w:szCs w:val="24"/>
              </w:rPr>
              <w:tab/>
              <w:t>The remaining unvoided CRRs in the repossessed or forfeited portfolio will be liquidated in the following manner, based on the characteristics of the CRRs:</w:t>
            </w:r>
          </w:p>
          <w:p w14:paraId="2401BDAC" w14:textId="77777777" w:rsidR="004E603E" w:rsidRPr="004E603E" w:rsidRDefault="004E603E" w:rsidP="004E603E">
            <w:pPr>
              <w:spacing w:before="120" w:after="120"/>
              <w:ind w:left="1440" w:hanging="720"/>
              <w:rPr>
                <w:szCs w:val="24"/>
              </w:rPr>
            </w:pPr>
            <w:r w:rsidRPr="004E603E">
              <w:rPr>
                <w:szCs w:val="24"/>
              </w:rPr>
              <w:t xml:space="preserve">(a) </w:t>
            </w:r>
            <w:r w:rsidRPr="004E603E">
              <w:rPr>
                <w:szCs w:val="24"/>
              </w:rPr>
              <w:tab/>
              <w:t>For CRRs that settle in the same month as the effective date of the repossession or forfeiture, for CRRs where the timing of the Market Participant Payment Breach or Default does not allow for the repossessed or forfeited CRRs to be offered into the CRR Monthly Auction in the calendar month following the Payment Breach or Default, for forfeited CRRs that were awarded in a CRR Monthly Auction, and for repossessed CRRs that have been offered into every available auction but were not fully awarded, the CRRs will settle in the DAM and may result in net payments or charges accruing for Operating Days throughout the month, as follows:</w:t>
            </w:r>
          </w:p>
          <w:p w14:paraId="71D6261B" w14:textId="77777777" w:rsidR="004E603E" w:rsidRPr="004E603E" w:rsidRDefault="004E603E" w:rsidP="004E603E">
            <w:pPr>
              <w:spacing w:before="120" w:after="120"/>
              <w:ind w:left="2160" w:hanging="720"/>
              <w:rPr>
                <w:szCs w:val="24"/>
              </w:rPr>
            </w:pPr>
            <w:r w:rsidRPr="004E603E">
              <w:rPr>
                <w:szCs w:val="24"/>
              </w:rPr>
              <w:t>(i)</w:t>
            </w:r>
            <w:r w:rsidRPr="004E603E">
              <w:rPr>
                <w:szCs w:val="24"/>
              </w:rPr>
              <w:tab/>
              <w:t xml:space="preserve">If the CRR portfolio results in a net charge in the DAM, the payment will, to the extent possible, be made by drawing on any available Financial Security of the Market Participant from whom the CRRs were </w:t>
            </w:r>
            <w:r w:rsidRPr="004E603E">
              <w:rPr>
                <w:szCs w:val="24"/>
              </w:rPr>
              <w:lastRenderedPageBreak/>
              <w:t>repossessed or forfeited.  If this is insufficient to pay the charge in full, the remainder due will be short-paid for the Operating Day in accordance with Section 9.7.3, Enforcing the Financial Security of a Short-Paying Invoice Recipient.  Regardless of the short pay, any Market Participant from whom CRRs were repossessed or forfeited shall remain liable for any charges associated with the liquidation of its CRRs in accordance with paragraph (4) of Section 16.11.6.1.7, Revocation of a Market Participant’s Rights and Termination of Agreements.</w:t>
            </w:r>
          </w:p>
          <w:p w14:paraId="3F80C39C" w14:textId="77777777" w:rsidR="004E603E" w:rsidRPr="004E603E" w:rsidRDefault="004E603E" w:rsidP="004E603E">
            <w:pPr>
              <w:spacing w:before="120" w:after="120"/>
              <w:ind w:left="2160" w:hanging="720"/>
              <w:rPr>
                <w:szCs w:val="24"/>
              </w:rPr>
            </w:pPr>
            <w:r w:rsidRPr="004E603E">
              <w:rPr>
                <w:szCs w:val="24"/>
              </w:rPr>
              <w:t>(ii)</w:t>
            </w:r>
            <w:r w:rsidRPr="004E603E">
              <w:rPr>
                <w:szCs w:val="24"/>
              </w:rPr>
              <w:tab/>
              <w:t xml:space="preserve">If the CRR portfolio results in a net payment in the DAM, the payment amount will be added to the cash collateral held by ERCOT for the Market Participant from whom the CRRs were repossessed or forfeited. </w:t>
            </w:r>
          </w:p>
          <w:p w14:paraId="49DCFD6E" w14:textId="77777777" w:rsidR="004E603E" w:rsidRPr="004E603E" w:rsidRDefault="004E603E" w:rsidP="004E603E">
            <w:pPr>
              <w:spacing w:before="120" w:after="120"/>
              <w:ind w:left="1440" w:hanging="720"/>
              <w:rPr>
                <w:szCs w:val="24"/>
              </w:rPr>
            </w:pPr>
            <w:r w:rsidRPr="004E603E">
              <w:rPr>
                <w:szCs w:val="24"/>
              </w:rPr>
              <w:t xml:space="preserve">(b) </w:t>
            </w:r>
            <w:r w:rsidRPr="004E603E">
              <w:rPr>
                <w:szCs w:val="24"/>
              </w:rPr>
              <w:tab/>
              <w:t xml:space="preserve">For any remaining unvoided repossessed or forfeited CRRs for one-month or multi-month strips, ERCOT will offer each CRR into the next available auction for the effective time period of the repossessed or forfeited CRR.   </w:t>
            </w:r>
          </w:p>
          <w:p w14:paraId="3DF342EC" w14:textId="77777777" w:rsidR="004E603E" w:rsidRPr="004E603E" w:rsidRDefault="004E603E" w:rsidP="004E603E">
            <w:pPr>
              <w:spacing w:before="120" w:after="120"/>
              <w:ind w:left="2160" w:hanging="720"/>
              <w:rPr>
                <w:szCs w:val="24"/>
              </w:rPr>
            </w:pPr>
            <w:r w:rsidRPr="004E603E">
              <w:rPr>
                <w:szCs w:val="24"/>
              </w:rPr>
              <w:t>(i)</w:t>
            </w:r>
            <w:r w:rsidRPr="004E603E">
              <w:rPr>
                <w:szCs w:val="24"/>
              </w:rPr>
              <w:tab/>
              <w:t>CRRs will be offered into auctions at -$0.01 for PTP Options and -$500.00 for PTP Obligations.</w:t>
            </w:r>
          </w:p>
          <w:p w14:paraId="385B2908" w14:textId="77777777" w:rsidR="004E603E" w:rsidRPr="004E603E" w:rsidRDefault="004E603E" w:rsidP="004E603E">
            <w:pPr>
              <w:spacing w:before="120" w:after="120"/>
              <w:ind w:left="2160" w:hanging="720"/>
              <w:rPr>
                <w:szCs w:val="24"/>
              </w:rPr>
            </w:pPr>
            <w:r w:rsidRPr="004E603E">
              <w:rPr>
                <w:szCs w:val="24"/>
              </w:rPr>
              <w:t>(ii)</w:t>
            </w:r>
            <w:r w:rsidRPr="004E603E">
              <w:rPr>
                <w:szCs w:val="24"/>
              </w:rPr>
              <w:tab/>
              <w:t>If a CRR is offered into an auction but is not fully awarded, the remaining MW of the CRR will be offered into the next available auction for the effective time period of the repossessed or forfeited CRR.  ERCOT may adjust the offer price for a PTP Obligation in subsequent auctions to increase the likelihood of the sell offer being fully awarded.</w:t>
            </w:r>
          </w:p>
          <w:p w14:paraId="1C41F4D2" w14:textId="77777777" w:rsidR="004E603E" w:rsidRPr="004E603E" w:rsidRDefault="004E603E" w:rsidP="004E603E">
            <w:pPr>
              <w:spacing w:before="120" w:after="120"/>
              <w:ind w:left="2160"/>
              <w:rPr>
                <w:szCs w:val="24"/>
              </w:rPr>
            </w:pPr>
            <w:r w:rsidRPr="004E603E">
              <w:rPr>
                <w:szCs w:val="24"/>
              </w:rPr>
              <w:t xml:space="preserve">If another auction will not be held for the effective time period of the repossessed or forfeited CRRs, the remaining unawarded MW of each CRR will settle in the DAM and may result in net payments or charges accruing for Operating Days throughout the month, as noted in paragraph (2)(a) above. </w:t>
            </w:r>
          </w:p>
          <w:p w14:paraId="2959D8C2" w14:textId="77777777" w:rsidR="004E603E" w:rsidRPr="004E603E" w:rsidRDefault="004E603E" w:rsidP="004E603E">
            <w:pPr>
              <w:spacing w:before="120" w:after="120"/>
              <w:ind w:left="2160" w:hanging="720"/>
              <w:rPr>
                <w:szCs w:val="24"/>
              </w:rPr>
            </w:pPr>
            <w:r w:rsidRPr="004E603E">
              <w:rPr>
                <w:szCs w:val="24"/>
              </w:rPr>
              <w:t>(iii)</w:t>
            </w:r>
            <w:r w:rsidRPr="004E603E">
              <w:rPr>
                <w:szCs w:val="24"/>
              </w:rPr>
              <w:tab/>
              <w:t xml:space="preserve">Prior to offering repossessed or forfeited CRRs into an auction, ERCOT will calculate the value of all PTP Obligations for each CRR Account Holder associated with the defaulting Counter-Party by summing the value of all existing PTP Obligations for which the most recent auction clearing price for the effective time period of the auction was negative.  The value of each CRR will be calculated per the following formula: (MW amount) x (TOU hours) x (auction clearing price).  The total value of the PTP Obligations for the defaulting Counter-Party will be evaluated to determine if it exceeds 10% of the value of all existing PTP Obligations for which the most recent auction clearing prices for the effective time period of the auction were negative.  If the total value of the PTP Obligations for the defaulting Counter-Party to be offered into an auction exceeds the 10% threshold, ERCOT will prorate the CRR </w:t>
            </w:r>
            <w:r w:rsidRPr="004E603E">
              <w:rPr>
                <w:szCs w:val="24"/>
              </w:rPr>
              <w:lastRenderedPageBreak/>
              <w:t xml:space="preserve">MW amounts to be offered into the auction to reduce the total portfolio value to be below the 10% threshold.  The remaining CRR MW will be offered into the next available auction for the effective time period of the repossessed or forfeited CRRs or will settle in DAM if there will not be another auction for the effective time period. </w:t>
            </w:r>
            <w:r w:rsidRPr="004E603E" w:rsidDel="00FD6948">
              <w:rPr>
                <w:szCs w:val="24"/>
              </w:rPr>
              <w:t xml:space="preserve"> </w:t>
            </w:r>
          </w:p>
          <w:p w14:paraId="76DD545A" w14:textId="77777777" w:rsidR="004E603E" w:rsidRPr="004E603E" w:rsidRDefault="004E603E" w:rsidP="004E603E">
            <w:pPr>
              <w:spacing w:before="120" w:after="120"/>
              <w:ind w:left="2160" w:hanging="720"/>
              <w:rPr>
                <w:szCs w:val="24"/>
              </w:rPr>
            </w:pPr>
            <w:r w:rsidRPr="004E603E">
              <w:rPr>
                <w:szCs w:val="24"/>
              </w:rPr>
              <w:t>(iv)</w:t>
            </w:r>
            <w:r w:rsidRPr="004E603E">
              <w:rPr>
                <w:szCs w:val="24"/>
              </w:rPr>
              <w:tab/>
              <w:t>A charge resulting from the sale of the CRRs into an auction will, to the extent possible, be paid by drawing on any available Financial Security of the Market Participant from whom the CRRs were repossessed or forfeited.  If this is insufficient to pay the charge in full, the remainder due will be short-paid in accordance with Section 9.7.3.  Regardless of the short pay, any Market Participant from whom CRRs were repossessed or forfeited shall remain liable for any charges associated with the liquidation of its CRRs in accordance with paragraph (4) of Section 16.11.6.1.7.</w:t>
            </w:r>
          </w:p>
          <w:p w14:paraId="0897780B" w14:textId="499102D6" w:rsidR="004E603E" w:rsidRPr="004E603E" w:rsidRDefault="004E603E" w:rsidP="004E603E">
            <w:pPr>
              <w:spacing w:before="120" w:after="120"/>
              <w:ind w:left="2160" w:hanging="720"/>
              <w:rPr>
                <w:szCs w:val="24"/>
              </w:rPr>
            </w:pPr>
            <w:r w:rsidRPr="004E603E">
              <w:rPr>
                <w:szCs w:val="24"/>
              </w:rPr>
              <w:t>(v)</w:t>
            </w:r>
            <w:r w:rsidRPr="004E603E">
              <w:rPr>
                <w:szCs w:val="24"/>
              </w:rPr>
              <w:tab/>
              <w:t xml:space="preserve">A payment resulting from the sale of the CRRs into an auction will be added to the Financial Security of the Market Participant from whom the CRRs were repossessed or forfeited. </w:t>
            </w:r>
          </w:p>
        </w:tc>
      </w:tr>
    </w:tbl>
    <w:p w14:paraId="22FA8A83" w14:textId="77777777" w:rsidR="00FC1C5F" w:rsidRDefault="00727E32" w:rsidP="00974AFC">
      <w:pPr>
        <w:pStyle w:val="H5"/>
        <w:spacing w:before="480"/>
      </w:pPr>
      <w:bookmarkStart w:id="589" w:name="_Toc70591655"/>
      <w:r>
        <w:lastRenderedPageBreak/>
        <w:t>16.11.6.1.6</w:t>
      </w:r>
      <w:r>
        <w:tab/>
        <w:t>Revocation of a Market Participant’s Rights and Termination of Agreements</w:t>
      </w:r>
      <w:bookmarkEnd w:id="582"/>
      <w:bookmarkEnd w:id="583"/>
      <w:bookmarkEnd w:id="584"/>
      <w:bookmarkEnd w:id="585"/>
      <w:bookmarkEnd w:id="586"/>
      <w:bookmarkEnd w:id="587"/>
      <w:bookmarkEnd w:id="589"/>
    </w:p>
    <w:p w14:paraId="00A08CF3" w14:textId="77777777" w:rsidR="00FC1C5F" w:rsidRDefault="00727E32">
      <w:pPr>
        <w:pStyle w:val="BodyTextNumbered"/>
      </w:pPr>
      <w:r>
        <w:t>(1)</w:t>
      </w:r>
      <w:r>
        <w:tab/>
        <w:t xml:space="preserve">ERCOT may revoke a breaching Market Participant’s rights to conduct activities </w:t>
      </w:r>
      <w:r>
        <w:rPr>
          <w:szCs w:val="24"/>
        </w:rPr>
        <w:t>under these Protocols</w:t>
      </w:r>
      <w:r>
        <w:t xml:space="preserve">.  ERCOT </w:t>
      </w:r>
      <w:r>
        <w:rPr>
          <w:szCs w:val="24"/>
        </w:rPr>
        <w:t xml:space="preserve">may also </w:t>
      </w:r>
      <w:r>
        <w:t>terminate the breaching Market Participant’s agreements with ERCOT.</w:t>
      </w:r>
    </w:p>
    <w:p w14:paraId="2A4BF316" w14:textId="5F4525E7" w:rsidR="00FC1C5F" w:rsidRDefault="00727E32">
      <w:pPr>
        <w:pStyle w:val="BodyTextNumbered"/>
      </w:pPr>
      <w:r>
        <w:t>(2)</w:t>
      </w:r>
      <w:r>
        <w:tab/>
        <w:t xml:space="preserve">If ERCOT revokes a Market Participant’s rights or terminates the Market Participant’s agreements, then the provisions of Section 16.2.5, Suspended </w:t>
      </w:r>
      <w:r w:rsidR="00826ED4">
        <w:t xml:space="preserve">or Terminated </w:t>
      </w:r>
      <w:r>
        <w:t>Qualified Scheduling Entity – Notification to LSEs and Resource Entities Represented, and Section 16.2.6.1, Designation as an Emergency Qualified Scheduling Entity or Virtual Qualified Scheduling Entity, apply.</w:t>
      </w:r>
    </w:p>
    <w:p w14:paraId="3EB95E4C" w14:textId="77777777" w:rsidR="006B2812" w:rsidRPr="002D2785" w:rsidRDefault="006B2812" w:rsidP="006B2812">
      <w:pPr>
        <w:spacing w:after="240"/>
        <w:ind w:left="720" w:hanging="720"/>
      </w:pPr>
      <w:r w:rsidRPr="002D2785">
        <w:t>(3)</w:t>
      </w:r>
      <w:r w:rsidRPr="002D2785">
        <w:tab/>
        <w:t>If a breaching Market Participant is also an LSE (whether or not the Default occurred pursuant to the Market Participant’s activities as an LSE), then:</w:t>
      </w:r>
    </w:p>
    <w:p w14:paraId="68635DA4" w14:textId="0D8F203F" w:rsidR="006B2812" w:rsidRPr="002D2785" w:rsidRDefault="006B2812" w:rsidP="006B2812">
      <w:pPr>
        <w:spacing w:after="240"/>
        <w:ind w:left="1440" w:hanging="720"/>
      </w:pPr>
      <w:r w:rsidRPr="002D2785">
        <w:t xml:space="preserve">(a) </w:t>
      </w:r>
      <w:r w:rsidRPr="002D2785">
        <w:tab/>
        <w:t xml:space="preserve">Within 24 hours of receiving notice of the Payment Breach, the Market Participant shall provide to ERCOT all the information regarding its ESI IDs set forth in the ERCOT Retail Market Guide; and </w:t>
      </w:r>
    </w:p>
    <w:p w14:paraId="470C3E6F" w14:textId="77777777" w:rsidR="00FC1C5F" w:rsidRDefault="006B2812">
      <w:pPr>
        <w:pStyle w:val="BodyTextNumbered"/>
        <w:ind w:left="1440"/>
      </w:pPr>
      <w:r w:rsidRPr="002D2785">
        <w:t>(b)</w:t>
      </w:r>
      <w:r w:rsidRPr="002D2785">
        <w:tab/>
        <w:t xml:space="preserve">On revocation of some or all of the Market Participant’s rights or termination of the Market Participant’s agreements and on notice to the Market Participant and the Public Utility Commission of Texas (PUCT), ERCOT shall initiate a Mass Transition of the Market Participant’s ESI IDs pursuant to Section 15.1.3.1, Mass Transition Process, without the necessity of obtaining any order from or other action by the PUCT.  </w:t>
      </w:r>
    </w:p>
    <w:p w14:paraId="3BC40AB5" w14:textId="77777777" w:rsidR="00FC1C5F" w:rsidRDefault="00727E32" w:rsidP="00FC544E">
      <w:pPr>
        <w:pStyle w:val="BodyTextNumbered"/>
      </w:pPr>
      <w:r>
        <w:lastRenderedPageBreak/>
        <w:t>(4)</w:t>
      </w:r>
      <w:r>
        <w:tab/>
        <w:t>After revocation of its rights or termination of its Agreement with ERCOT, the Market Participant will remain liable for all charges or costs associated with any continued activity related to the Counter-Party’s relationship with ERCOT and any expenses arising from the consequences of such termination or revocation.</w:t>
      </w:r>
    </w:p>
    <w:p w14:paraId="6ADB882F" w14:textId="77777777" w:rsidR="00FC1C5F" w:rsidRPr="00D63F95" w:rsidRDefault="00727E32">
      <w:pPr>
        <w:pStyle w:val="H4"/>
        <w:rPr>
          <w:b/>
        </w:rPr>
      </w:pPr>
      <w:bookmarkStart w:id="590" w:name="_Toc390438984"/>
      <w:bookmarkStart w:id="591" w:name="_Toc405897687"/>
      <w:bookmarkStart w:id="592" w:name="_Toc415055787"/>
      <w:bookmarkStart w:id="593" w:name="_Toc415055913"/>
      <w:bookmarkStart w:id="594" w:name="_Toc415056012"/>
      <w:bookmarkStart w:id="595" w:name="_Toc415056112"/>
      <w:bookmarkStart w:id="596" w:name="_Toc70591656"/>
      <w:r w:rsidRPr="00D63F95">
        <w:rPr>
          <w:b/>
        </w:rPr>
        <w:t>16.11.6.2</w:t>
      </w:r>
      <w:r w:rsidRPr="00D63F95">
        <w:rPr>
          <w:b/>
        </w:rPr>
        <w:tab/>
        <w:t>ERCOT’s Remedies for Late Payments by a Market Participant</w:t>
      </w:r>
      <w:bookmarkEnd w:id="590"/>
      <w:bookmarkEnd w:id="591"/>
      <w:bookmarkEnd w:id="592"/>
      <w:bookmarkEnd w:id="593"/>
      <w:bookmarkEnd w:id="594"/>
      <w:bookmarkEnd w:id="595"/>
      <w:bookmarkEnd w:id="596"/>
    </w:p>
    <w:p w14:paraId="03046964" w14:textId="77777777" w:rsidR="006B2812" w:rsidRPr="002D2785" w:rsidRDefault="00853D39" w:rsidP="003E09AF">
      <w:pPr>
        <w:spacing w:after="240"/>
        <w:ind w:left="720" w:hanging="720"/>
        <w:rPr>
          <w:szCs w:val="24"/>
        </w:rPr>
      </w:pPr>
      <w:r>
        <w:rPr>
          <w:szCs w:val="24"/>
        </w:rPr>
        <w:t>(1)</w:t>
      </w:r>
      <w:r>
        <w:rPr>
          <w:szCs w:val="24"/>
        </w:rPr>
        <w:tab/>
      </w:r>
      <w:r w:rsidR="006B2812" w:rsidRPr="002D2785">
        <w:rPr>
          <w:szCs w:val="24"/>
        </w:rPr>
        <w:t>If a Market Participant makes any Late Payments, and even if ERCOT does not immediately implement the above-referenced remedies for any Payment Breach by a Market Participant, the Market Participant is subject to the actions enumerated in this Section.</w:t>
      </w:r>
    </w:p>
    <w:p w14:paraId="5B4BCD9C" w14:textId="77777777" w:rsidR="00FC1C5F" w:rsidRDefault="00853D39" w:rsidP="003E09AF">
      <w:pPr>
        <w:pStyle w:val="BodyText"/>
        <w:ind w:left="720" w:hanging="720"/>
        <w:rPr>
          <w:szCs w:val="24"/>
        </w:rPr>
      </w:pPr>
      <w:r>
        <w:rPr>
          <w:szCs w:val="24"/>
        </w:rPr>
        <w:t>(2)</w:t>
      </w:r>
      <w:r>
        <w:rPr>
          <w:szCs w:val="24"/>
        </w:rPr>
        <w:tab/>
      </w:r>
      <w:r w:rsidR="006B2812" w:rsidRPr="002D2785">
        <w:rPr>
          <w:szCs w:val="24"/>
        </w:rPr>
        <w:t>This Section does not waive ERCOT’s right to impose remedies for Payment Breach, as set forth in Section 16.11.6.1,</w:t>
      </w:r>
      <w:r w:rsidR="00FC544E" w:rsidRPr="00FC544E">
        <w:rPr>
          <w:szCs w:val="24"/>
        </w:rPr>
        <w:t xml:space="preserve"> </w:t>
      </w:r>
      <w:r w:rsidR="00FC544E">
        <w:rPr>
          <w:szCs w:val="24"/>
        </w:rPr>
        <w:t>ERCOT’s Remedies,</w:t>
      </w:r>
      <w:r w:rsidR="006B2812" w:rsidRPr="002D2785">
        <w:rPr>
          <w:szCs w:val="24"/>
        </w:rPr>
        <w:t xml:space="preserve"> in addition to any other rights or remedies ERCOT has under any agreement, these Protocols, or at common law, for any Payment Breach by the Market Participant in each rolling 12-month period for purposes of imposing the Late Payment remedies set forth in this Section.</w:t>
      </w:r>
    </w:p>
    <w:p w14:paraId="3EBC25F6" w14:textId="72651B12" w:rsidR="00FC1C5F" w:rsidRDefault="00727E32">
      <w:pPr>
        <w:pStyle w:val="H5"/>
      </w:pPr>
      <w:bookmarkStart w:id="597" w:name="_Toc390438986"/>
      <w:bookmarkStart w:id="598" w:name="_Toc405897691"/>
      <w:bookmarkStart w:id="599" w:name="_Toc415055789"/>
      <w:bookmarkStart w:id="600" w:name="_Toc415055915"/>
      <w:bookmarkStart w:id="601" w:name="_Toc415056014"/>
      <w:bookmarkStart w:id="602" w:name="_Toc415056114"/>
      <w:bookmarkStart w:id="603" w:name="_Toc70591657"/>
      <w:r>
        <w:t>16.11.6.2.</w:t>
      </w:r>
      <w:r w:rsidR="002F409F">
        <w:t>1</w:t>
      </w:r>
      <w:r>
        <w:tab/>
      </w:r>
      <w:r w:rsidR="002F409F">
        <w:t>First</w:t>
      </w:r>
      <w:r>
        <w:t xml:space="preserve"> Late Payment in Any Rolling 12-Month Period</w:t>
      </w:r>
      <w:bookmarkEnd w:id="597"/>
      <w:bookmarkEnd w:id="598"/>
      <w:bookmarkEnd w:id="599"/>
      <w:bookmarkEnd w:id="600"/>
      <w:bookmarkEnd w:id="601"/>
      <w:bookmarkEnd w:id="602"/>
      <w:bookmarkEnd w:id="603"/>
    </w:p>
    <w:p w14:paraId="530936D1" w14:textId="36DC9F0D" w:rsidR="006B2812" w:rsidRPr="002D2785" w:rsidRDefault="006B2812" w:rsidP="006B2812">
      <w:pPr>
        <w:keepNext/>
        <w:spacing w:after="240"/>
        <w:ind w:left="720" w:hanging="720"/>
        <w:rPr>
          <w:iCs/>
        </w:rPr>
      </w:pPr>
      <w:r w:rsidRPr="002D2785">
        <w:rPr>
          <w:iCs/>
        </w:rPr>
        <w:t>(1)</w:t>
      </w:r>
      <w:r w:rsidRPr="002D2785">
        <w:rPr>
          <w:iCs/>
        </w:rPr>
        <w:tab/>
        <w:t xml:space="preserve">For the </w:t>
      </w:r>
      <w:r w:rsidR="002F409F">
        <w:rPr>
          <w:iCs/>
        </w:rPr>
        <w:t>first</w:t>
      </w:r>
      <w:r w:rsidRPr="002D2785">
        <w:rPr>
          <w:iCs/>
        </w:rPr>
        <w:t xml:space="preserve"> Late Payment in any rolling 12-month period, ERCOT shall take </w:t>
      </w:r>
      <w:r w:rsidR="002F409F">
        <w:rPr>
          <w:iCs/>
        </w:rPr>
        <w:t>Level I Enforcement</w:t>
      </w:r>
      <w:r w:rsidR="002F409F" w:rsidRPr="002D2785">
        <w:rPr>
          <w:iCs/>
        </w:rPr>
        <w:t xml:space="preserve"> </w:t>
      </w:r>
      <w:r w:rsidRPr="002D2785">
        <w:rPr>
          <w:iCs/>
        </w:rPr>
        <w:t>action</w:t>
      </w:r>
      <w:r w:rsidR="002F409F">
        <w:rPr>
          <w:iCs/>
        </w:rPr>
        <w:t>,</w:t>
      </w:r>
      <w:r w:rsidRPr="002D2785">
        <w:rPr>
          <w:iCs/>
        </w:rPr>
        <w:t xml:space="preserve"> as </w:t>
      </w:r>
      <w:r w:rsidR="002F409F">
        <w:rPr>
          <w:iCs/>
        </w:rPr>
        <w:t>described in Section 16.11.6.2.5, Level I Enforcement.</w:t>
      </w:r>
    </w:p>
    <w:p w14:paraId="3F94842D" w14:textId="75D85A40" w:rsidR="00FC1C5F" w:rsidRDefault="006B2812" w:rsidP="006B2812">
      <w:pPr>
        <w:pStyle w:val="BodyTextNumbered"/>
      </w:pPr>
      <w:r w:rsidRPr="002D2785">
        <w:t>(2)</w:t>
      </w:r>
      <w:r w:rsidRPr="002D2785">
        <w:tab/>
        <w:t xml:space="preserve">ERCOT shall send written notice to the Market Participant’s Authorized Representative and/or Credit Contact via email, advising the Market Participant of the action </w:t>
      </w:r>
      <w:r w:rsidRPr="002D2785">
        <w:rPr>
          <w:szCs w:val="24"/>
        </w:rPr>
        <w:t>required</w:t>
      </w:r>
      <w:r w:rsidRPr="002D2785">
        <w:t xml:space="preserve"> under Level I Enforcement.</w:t>
      </w:r>
    </w:p>
    <w:p w14:paraId="3F9F81EC" w14:textId="352A4C29" w:rsidR="00FC1C5F" w:rsidRDefault="00727E32">
      <w:pPr>
        <w:pStyle w:val="H5"/>
      </w:pPr>
      <w:bookmarkStart w:id="604" w:name="_Toc390438987"/>
      <w:bookmarkStart w:id="605" w:name="_Toc405897693"/>
      <w:bookmarkStart w:id="606" w:name="_Toc415055790"/>
      <w:bookmarkStart w:id="607" w:name="_Toc415055916"/>
      <w:bookmarkStart w:id="608" w:name="_Toc415056015"/>
      <w:bookmarkStart w:id="609" w:name="_Toc415056115"/>
      <w:bookmarkStart w:id="610" w:name="_Toc70591658"/>
      <w:r>
        <w:t>16.11.6.2.</w:t>
      </w:r>
      <w:r w:rsidR="002F409F">
        <w:t>2</w:t>
      </w:r>
      <w:r>
        <w:tab/>
      </w:r>
      <w:r w:rsidR="002F409F">
        <w:t>Second</w:t>
      </w:r>
      <w:r>
        <w:t xml:space="preserve"> Late Payment in Any Rolling 12-Month Period</w:t>
      </w:r>
      <w:bookmarkEnd w:id="604"/>
      <w:bookmarkEnd w:id="605"/>
      <w:bookmarkEnd w:id="606"/>
      <w:bookmarkEnd w:id="607"/>
      <w:bookmarkEnd w:id="608"/>
      <w:bookmarkEnd w:id="609"/>
      <w:bookmarkEnd w:id="610"/>
    </w:p>
    <w:p w14:paraId="654810D3" w14:textId="63B249AD" w:rsidR="006B2812" w:rsidRPr="002D2785" w:rsidRDefault="006B2812" w:rsidP="006B2812">
      <w:pPr>
        <w:keepNext/>
        <w:spacing w:after="240"/>
        <w:ind w:left="720" w:hanging="720"/>
        <w:rPr>
          <w:iCs/>
        </w:rPr>
      </w:pPr>
      <w:r w:rsidRPr="002D2785">
        <w:rPr>
          <w:iCs/>
        </w:rPr>
        <w:t>(1)</w:t>
      </w:r>
      <w:r w:rsidRPr="002D2785">
        <w:rPr>
          <w:iCs/>
        </w:rPr>
        <w:tab/>
        <w:t xml:space="preserve">For the </w:t>
      </w:r>
      <w:r w:rsidR="002F409F">
        <w:rPr>
          <w:iCs/>
        </w:rPr>
        <w:t>second</w:t>
      </w:r>
      <w:r w:rsidRPr="002D2785">
        <w:rPr>
          <w:iCs/>
        </w:rPr>
        <w:t xml:space="preserve"> Late Payment in any rolling 12-month period, ERCOT shall take </w:t>
      </w:r>
      <w:r w:rsidR="002F409F">
        <w:rPr>
          <w:iCs/>
        </w:rPr>
        <w:t>Level II Enforcement</w:t>
      </w:r>
      <w:r w:rsidR="002F409F" w:rsidRPr="002D2785">
        <w:rPr>
          <w:iCs/>
        </w:rPr>
        <w:t xml:space="preserve"> </w:t>
      </w:r>
      <w:r w:rsidRPr="002D2785">
        <w:rPr>
          <w:iCs/>
        </w:rPr>
        <w:t>action</w:t>
      </w:r>
      <w:r w:rsidR="002F409F">
        <w:rPr>
          <w:iCs/>
        </w:rPr>
        <w:t>,</w:t>
      </w:r>
      <w:r w:rsidRPr="002D2785">
        <w:rPr>
          <w:iCs/>
        </w:rPr>
        <w:t xml:space="preserve"> as </w:t>
      </w:r>
      <w:r w:rsidR="002F409F">
        <w:rPr>
          <w:iCs/>
        </w:rPr>
        <w:t>described in Section 16.11.6.2.6, Level II Enforcement.</w:t>
      </w:r>
      <w:r w:rsidRPr="002D2785">
        <w:rPr>
          <w:iCs/>
        </w:rPr>
        <w:t>:</w:t>
      </w:r>
    </w:p>
    <w:p w14:paraId="54E9D055" w14:textId="29CBB889" w:rsidR="00FC1C5F" w:rsidRDefault="006B2812" w:rsidP="006B2812">
      <w:pPr>
        <w:pStyle w:val="BodyTextNumbered"/>
      </w:pPr>
      <w:r w:rsidRPr="002D2785">
        <w:t>(2)</w:t>
      </w:r>
      <w:r w:rsidRPr="002D2785">
        <w:tab/>
        <w:t xml:space="preserve">ERCOT shall send written notice to the Market Participant’s Authorized Representative and/or Credit Contact via email, advising the Market Participant of the action </w:t>
      </w:r>
      <w:r w:rsidRPr="002D2785">
        <w:rPr>
          <w:szCs w:val="24"/>
        </w:rPr>
        <w:t>required</w:t>
      </w:r>
      <w:r w:rsidRPr="002D2785">
        <w:t xml:space="preserve"> under Level II Enforcement.</w:t>
      </w:r>
    </w:p>
    <w:p w14:paraId="270C6959" w14:textId="77777777" w:rsidR="002F409F" w:rsidRDefault="002F409F" w:rsidP="0078184C">
      <w:pPr>
        <w:pStyle w:val="H5"/>
      </w:pPr>
      <w:bookmarkStart w:id="611" w:name="_Toc70591659"/>
      <w:bookmarkStart w:id="612" w:name="_Toc390438988"/>
      <w:bookmarkStart w:id="613" w:name="_Toc405897695"/>
      <w:bookmarkStart w:id="614" w:name="_Toc415055791"/>
      <w:bookmarkStart w:id="615" w:name="_Toc415055917"/>
      <w:bookmarkStart w:id="616" w:name="_Toc415056016"/>
      <w:bookmarkStart w:id="617" w:name="_Toc415056116"/>
      <w:r>
        <w:t>16.11.6.2.3</w:t>
      </w:r>
      <w:r>
        <w:tab/>
        <w:t>Third Late Payment in Any Rolling 12-Month Period</w:t>
      </w:r>
      <w:bookmarkEnd w:id="611"/>
    </w:p>
    <w:p w14:paraId="22324104" w14:textId="77777777" w:rsidR="002F409F" w:rsidRDefault="002F409F" w:rsidP="002F409F">
      <w:pPr>
        <w:pStyle w:val="BodyTextNumbered"/>
      </w:pPr>
      <w:r>
        <w:t>(1)</w:t>
      </w:r>
      <w:r>
        <w:tab/>
        <w:t>For the third Late Payment in any rolling 12-month period, ERCOT shall take Level III Enforcement action, as described in Section 16.11.6.2.7, Level III Enforcement.</w:t>
      </w:r>
    </w:p>
    <w:p w14:paraId="7CF50D71" w14:textId="77777777" w:rsidR="002F409F" w:rsidRPr="002F74AF" w:rsidRDefault="002F409F" w:rsidP="002F409F">
      <w:pPr>
        <w:pStyle w:val="BodyTextNumbered"/>
      </w:pPr>
      <w:r>
        <w:t>(2)</w:t>
      </w:r>
      <w:r>
        <w:tab/>
        <w:t xml:space="preserve">ERCOT shall send written notice to the Market Participant’s Authorized Representative and/or Credit Contact via email, advising the Market Participant of the action required under Level III Enforcement, and informing the Market Participant that a fourth Late Payment in any rolling 12-month period shall result in ERCOT taking action under </w:t>
      </w:r>
      <w:r>
        <w:lastRenderedPageBreak/>
        <w:t xml:space="preserve">Section 16.11.6.1.6, Revocation of a Market Participant’s Rights and Termination of Agreements.  </w:t>
      </w:r>
    </w:p>
    <w:p w14:paraId="28EA2F43" w14:textId="77777777" w:rsidR="00FC1C5F" w:rsidRDefault="00727E32">
      <w:pPr>
        <w:pStyle w:val="H5"/>
      </w:pPr>
      <w:bookmarkStart w:id="618" w:name="_Toc70591660"/>
      <w:r>
        <w:t>16.11.6.2.4</w:t>
      </w:r>
      <w:r>
        <w:tab/>
        <w:t>Fourth Late Payment in Any Rolling 12-Month Period</w:t>
      </w:r>
      <w:bookmarkEnd w:id="612"/>
      <w:bookmarkEnd w:id="613"/>
      <w:bookmarkEnd w:id="614"/>
      <w:bookmarkEnd w:id="615"/>
      <w:bookmarkEnd w:id="616"/>
      <w:bookmarkEnd w:id="617"/>
      <w:bookmarkEnd w:id="618"/>
    </w:p>
    <w:p w14:paraId="3B23E3C6" w14:textId="77777777" w:rsidR="00FC1C5F" w:rsidRDefault="00853D39" w:rsidP="003E09AF">
      <w:pPr>
        <w:pStyle w:val="BodyTextNumbered"/>
      </w:pPr>
      <w:r>
        <w:t>(1)</w:t>
      </w:r>
      <w:r>
        <w:tab/>
      </w:r>
      <w:r w:rsidR="006B2812">
        <w:t>For the fourth Late Payment resulting from a Payment Breach in any rolling 12-month period, ERCOT</w:t>
      </w:r>
      <w:r w:rsidR="006B2812">
        <w:rPr>
          <w:szCs w:val="24"/>
        </w:rPr>
        <w:t xml:space="preserve"> shall take</w:t>
      </w:r>
      <w:r w:rsidR="006B2812">
        <w:t xml:space="preserve"> </w:t>
      </w:r>
      <w:r w:rsidR="006B2812" w:rsidRPr="00BF0D35">
        <w:t>action under Section 16.11.6.1.6, Revocation of a Market Participant’s Rights and Termination of Agreements</w:t>
      </w:r>
      <w:r w:rsidR="006B2812">
        <w:t>.</w:t>
      </w:r>
    </w:p>
    <w:p w14:paraId="6AE5F2E0" w14:textId="77777777" w:rsidR="00FC1C5F" w:rsidRDefault="00727E32">
      <w:pPr>
        <w:pStyle w:val="H5"/>
      </w:pPr>
      <w:bookmarkStart w:id="619" w:name="_Toc390438989"/>
      <w:bookmarkStart w:id="620" w:name="_Toc405897697"/>
      <w:bookmarkStart w:id="621" w:name="_Toc415055792"/>
      <w:bookmarkStart w:id="622" w:name="_Toc415055918"/>
      <w:bookmarkStart w:id="623" w:name="_Toc415056017"/>
      <w:bookmarkStart w:id="624" w:name="_Toc415056117"/>
      <w:bookmarkStart w:id="625" w:name="_Toc70591661"/>
      <w:r>
        <w:t>16.11.6.2.5</w:t>
      </w:r>
      <w:r>
        <w:tab/>
        <w:t>Level I Enforcement</w:t>
      </w:r>
      <w:bookmarkEnd w:id="619"/>
      <w:bookmarkEnd w:id="620"/>
      <w:bookmarkEnd w:id="621"/>
      <w:bookmarkEnd w:id="622"/>
      <w:bookmarkEnd w:id="623"/>
      <w:bookmarkEnd w:id="624"/>
      <w:bookmarkEnd w:id="625"/>
    </w:p>
    <w:p w14:paraId="12A37450" w14:textId="77777777" w:rsidR="006B2812" w:rsidRPr="002D2785" w:rsidRDefault="006B2812" w:rsidP="006B2812">
      <w:pPr>
        <w:keepNext/>
        <w:spacing w:after="240"/>
        <w:ind w:left="720" w:hanging="720"/>
        <w:rPr>
          <w:iCs/>
        </w:rPr>
      </w:pPr>
      <w:r w:rsidRPr="002D2785">
        <w:rPr>
          <w:iCs/>
        </w:rPr>
        <w:t>(1)</w:t>
      </w:r>
      <w:r w:rsidRPr="002D2785">
        <w:rPr>
          <w:iCs/>
        </w:rPr>
        <w:tab/>
        <w:t>Under Level I Enforcement, ERCOT shall notify the Market Participant to comply with one of the following requirements:</w:t>
      </w:r>
    </w:p>
    <w:p w14:paraId="23B1DB22" w14:textId="77777777" w:rsidR="006B2812" w:rsidRPr="002D2785" w:rsidRDefault="006B2812" w:rsidP="006B2812">
      <w:pPr>
        <w:spacing w:after="240"/>
        <w:ind w:left="1440" w:hanging="720"/>
      </w:pPr>
      <w:r w:rsidRPr="002D2785">
        <w:t>(a)</w:t>
      </w:r>
      <w:r w:rsidRPr="002D2785">
        <w:tab/>
        <w:t>If the Market Participant has not provided Financial Security, the Market Participant shall now provide Financial Security, within two Bank Business Days, in an amount at or above 110% of the amount of the Market Participant’s TPE less the Unsecured Credit Limit; or any other liability to ERCOT that the Market Participant has or is expected to have for activity in the ERCOT Region, whichever applies.</w:t>
      </w:r>
    </w:p>
    <w:p w14:paraId="7930786C" w14:textId="77777777" w:rsidR="006B2812" w:rsidRPr="002D2785" w:rsidRDefault="006B2812" w:rsidP="006B2812">
      <w:pPr>
        <w:spacing w:after="240"/>
        <w:ind w:left="1440" w:hanging="720"/>
      </w:pPr>
      <w:r w:rsidRPr="002D2785">
        <w:t>(b)</w:t>
      </w:r>
      <w:r w:rsidRPr="002D2785">
        <w:tab/>
        <w:t>If the Market Participant has already provided Financial Security, the Market Participant shall increase its Financial Security, within two Bank Business Days, to an amount at or above 110% of its TPE less the Unsecured Credit Limit or any other liability to ERCOT that the Market Participant has or is expected to have for activity in the ERCOT Region, whichever applies.</w:t>
      </w:r>
    </w:p>
    <w:p w14:paraId="5388B59A" w14:textId="77777777" w:rsidR="00FC1C5F" w:rsidRDefault="006B2812" w:rsidP="006B2812">
      <w:pPr>
        <w:autoSpaceDE w:val="0"/>
        <w:autoSpaceDN w:val="0"/>
        <w:adjustRightInd w:val="0"/>
        <w:spacing w:after="240"/>
        <w:ind w:left="720" w:hanging="720"/>
        <w:rPr>
          <w:color w:val="000000"/>
        </w:rPr>
      </w:pPr>
      <w:r w:rsidRPr="002D2785">
        <w:rPr>
          <w:color w:val="000000"/>
          <w:szCs w:val="24"/>
        </w:rPr>
        <w:t>(2)</w:t>
      </w:r>
      <w:r w:rsidRPr="002D2785">
        <w:rPr>
          <w:color w:val="000000"/>
          <w:szCs w:val="24"/>
        </w:rPr>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3EABC437" w14:textId="77777777" w:rsidR="00FC1C5F" w:rsidRDefault="00727E32">
      <w:pPr>
        <w:pStyle w:val="H5"/>
      </w:pPr>
      <w:bookmarkStart w:id="626" w:name="_Toc390438990"/>
      <w:bookmarkStart w:id="627" w:name="_Toc405897699"/>
      <w:bookmarkStart w:id="628" w:name="_Toc415055793"/>
      <w:bookmarkStart w:id="629" w:name="_Toc415055919"/>
      <w:bookmarkStart w:id="630" w:name="_Toc415056018"/>
      <w:bookmarkStart w:id="631" w:name="_Toc415056118"/>
      <w:bookmarkStart w:id="632" w:name="_Toc70591662"/>
      <w:r>
        <w:t>16.11.6.2.6</w:t>
      </w:r>
      <w:r>
        <w:tab/>
        <w:t>Level II Enforcement</w:t>
      </w:r>
      <w:bookmarkEnd w:id="626"/>
      <w:bookmarkEnd w:id="627"/>
      <w:bookmarkEnd w:id="628"/>
      <w:bookmarkEnd w:id="629"/>
      <w:bookmarkEnd w:id="630"/>
      <w:bookmarkEnd w:id="631"/>
      <w:bookmarkEnd w:id="632"/>
    </w:p>
    <w:p w14:paraId="5E9341B4" w14:textId="077328D4" w:rsidR="006B2812" w:rsidRPr="006B7162" w:rsidRDefault="006B2812" w:rsidP="006B2812">
      <w:pPr>
        <w:autoSpaceDE w:val="0"/>
        <w:autoSpaceDN w:val="0"/>
        <w:adjustRightInd w:val="0"/>
        <w:spacing w:after="240"/>
        <w:ind w:left="720" w:hanging="720"/>
        <w:rPr>
          <w:szCs w:val="24"/>
        </w:rPr>
      </w:pPr>
      <w:r w:rsidRPr="006B7162">
        <w:rPr>
          <w:color w:val="000000"/>
          <w:szCs w:val="24"/>
        </w:rPr>
        <w:t>(1)</w:t>
      </w:r>
      <w:r w:rsidRPr="006B7162">
        <w:rPr>
          <w:color w:val="000000"/>
          <w:szCs w:val="24"/>
        </w:rPr>
        <w:tab/>
        <w:t xml:space="preserve">Under Level II Enforcement, ERCOT shall notify the </w:t>
      </w:r>
      <w:r w:rsidRPr="006B7162">
        <w:rPr>
          <w:szCs w:val="24"/>
        </w:rPr>
        <w:t>Market Participant</w:t>
      </w:r>
      <w:r w:rsidRPr="006B7162">
        <w:rPr>
          <w:color w:val="000000"/>
          <w:szCs w:val="24"/>
        </w:rPr>
        <w:t xml:space="preserve"> that </w:t>
      </w:r>
      <w:r w:rsidRPr="006B7162">
        <w:rPr>
          <w:szCs w:val="24"/>
        </w:rPr>
        <w:t>the Market Participant shall provide Financial Security, within two Bank Business days, in the form of a cash deposit or letter of credit, as chosen by ERCOT at its sole discretion, at 11</w:t>
      </w:r>
      <w:r w:rsidR="002F409F">
        <w:rPr>
          <w:szCs w:val="24"/>
        </w:rPr>
        <w:t>5</w:t>
      </w:r>
      <w:r w:rsidRPr="006B7162">
        <w:rPr>
          <w:szCs w:val="24"/>
        </w:rPr>
        <w:t xml:space="preserve">% of the Market Participant’s TPE less the Unsecured Credit Limit or for any other liability to ERCOT that the Market Participant has or is expected to have for activity in the ERCOT Region.   </w:t>
      </w:r>
    </w:p>
    <w:p w14:paraId="524C7A6B" w14:textId="77777777" w:rsidR="00FC1C5F" w:rsidRDefault="006B2812" w:rsidP="006B2812">
      <w:pPr>
        <w:pStyle w:val="List"/>
        <w:ind w:left="720"/>
      </w:pPr>
      <w:r w:rsidRPr="006B7162">
        <w:t>(2)</w:t>
      </w:r>
      <w:r w:rsidRPr="006B7162">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5B014784" w14:textId="77777777" w:rsidR="00FC1C5F" w:rsidRDefault="00727E32">
      <w:pPr>
        <w:pStyle w:val="H5"/>
      </w:pPr>
      <w:bookmarkStart w:id="633" w:name="_Toc390438991"/>
      <w:bookmarkStart w:id="634" w:name="_Toc405897701"/>
      <w:bookmarkStart w:id="635" w:name="_Toc415055794"/>
      <w:bookmarkStart w:id="636" w:name="_Toc415055920"/>
      <w:bookmarkStart w:id="637" w:name="_Toc415056019"/>
      <w:bookmarkStart w:id="638" w:name="_Toc415056119"/>
      <w:bookmarkStart w:id="639" w:name="_Toc70591663"/>
      <w:r>
        <w:lastRenderedPageBreak/>
        <w:t>16.11.6.2.7</w:t>
      </w:r>
      <w:r>
        <w:tab/>
        <w:t>Level III Enforcement</w:t>
      </w:r>
      <w:bookmarkEnd w:id="633"/>
      <w:bookmarkEnd w:id="634"/>
      <w:bookmarkEnd w:id="635"/>
      <w:bookmarkEnd w:id="636"/>
      <w:bookmarkEnd w:id="637"/>
      <w:bookmarkEnd w:id="638"/>
      <w:bookmarkEnd w:id="639"/>
    </w:p>
    <w:p w14:paraId="67BB6A7D" w14:textId="77777777" w:rsidR="002F409F" w:rsidRDefault="006B2812" w:rsidP="002F409F">
      <w:pPr>
        <w:keepNext/>
        <w:spacing w:after="240"/>
        <w:ind w:left="720" w:hanging="720"/>
        <w:rPr>
          <w:iCs/>
        </w:rPr>
      </w:pPr>
      <w:r w:rsidRPr="006B7162">
        <w:rPr>
          <w:iCs/>
        </w:rPr>
        <w:t>(1)</w:t>
      </w:r>
      <w:r w:rsidRPr="006B7162">
        <w:rPr>
          <w:iCs/>
        </w:rPr>
        <w:tab/>
      </w:r>
      <w:r w:rsidRPr="006B7162">
        <w:rPr>
          <w:lang w:eastAsia="x-none"/>
        </w:rPr>
        <w:t xml:space="preserve">Under Level III Enforcement, </w:t>
      </w:r>
      <w:r w:rsidRPr="006B7162">
        <w:rPr>
          <w:iCs/>
        </w:rPr>
        <w:t>ERCOT shall</w:t>
      </w:r>
      <w:r w:rsidR="002F409F">
        <w:rPr>
          <w:iCs/>
        </w:rPr>
        <w:t xml:space="preserve"> notify the Market Participant that the Market Participant shall provide Financial Security within two Bank Business Days at 120% of the Market Participant’s TPE less the Unsecured Credit Limit or for any other liability to ERCOT that the Market Participant has or is expected to have for activity in the ERCOT Region. Required Financial Security in excess of TPE must be in the form of a cash deposit.</w:t>
      </w:r>
    </w:p>
    <w:p w14:paraId="5B217B54" w14:textId="67F20450" w:rsidR="006B2812" w:rsidRPr="006B7162" w:rsidRDefault="002F409F" w:rsidP="0078184C">
      <w:pPr>
        <w:keepNext/>
        <w:spacing w:after="240"/>
        <w:ind w:left="720" w:hanging="720"/>
        <w:rPr>
          <w:iCs/>
        </w:rPr>
      </w:pPr>
      <w:r>
        <w:rPr>
          <w:iCs/>
        </w:rPr>
        <w:t>(2)</w:t>
      </w:r>
      <w:r>
        <w:rPr>
          <w:iCs/>
        </w:rPr>
        <w:tab/>
        <w:t>Increased Financial Security requirements under this Section remain in effect for a minimum of 90 days and remain in effect thereafter until ERCOT, at its sole discretion, determines to reduce such Financial Security requirements to the normally applicable levels.</w:t>
      </w:r>
    </w:p>
    <w:p w14:paraId="69F8BAE6" w14:textId="77777777" w:rsidR="00FC1C5F" w:rsidRDefault="00727E32" w:rsidP="00FC1C5F">
      <w:pPr>
        <w:pStyle w:val="H3"/>
      </w:pPr>
      <w:bookmarkStart w:id="640" w:name="_Toc98060312"/>
      <w:bookmarkStart w:id="641" w:name="_Toc390438992"/>
      <w:bookmarkStart w:id="642" w:name="_Toc405897703"/>
      <w:bookmarkStart w:id="643" w:name="_Toc415055795"/>
      <w:bookmarkStart w:id="644" w:name="_Toc415055921"/>
      <w:bookmarkStart w:id="645" w:name="_Toc415056020"/>
      <w:bookmarkStart w:id="646" w:name="_Toc415056120"/>
      <w:bookmarkStart w:id="647" w:name="_Toc70591664"/>
      <w:r>
        <w:t>16.11.7</w:t>
      </w:r>
      <w:r>
        <w:tab/>
        <w:t>Release of Market Participant’s Financial Security Requirement</w:t>
      </w:r>
      <w:bookmarkEnd w:id="640"/>
      <w:bookmarkEnd w:id="641"/>
      <w:bookmarkEnd w:id="642"/>
      <w:bookmarkEnd w:id="643"/>
      <w:bookmarkEnd w:id="644"/>
      <w:bookmarkEnd w:id="645"/>
      <w:bookmarkEnd w:id="646"/>
      <w:bookmarkEnd w:id="647"/>
    </w:p>
    <w:p w14:paraId="01790272" w14:textId="77777777" w:rsidR="005A2AD9" w:rsidRDefault="00853D39" w:rsidP="005A2AD9">
      <w:pPr>
        <w:pStyle w:val="BodyText"/>
        <w:ind w:left="720" w:hanging="720"/>
      </w:pPr>
      <w:r>
        <w:t>(1)</w:t>
      </w:r>
      <w:r>
        <w:tab/>
      </w:r>
      <w:r w:rsidR="00727E32">
        <w:t xml:space="preserve">Following the termination of a Market Participant’s </w:t>
      </w:r>
      <w:r w:rsidR="005A2AD9">
        <w:t>Standard Form Market Participant Agreement, ERCOT shall retain Financial Security to cover potential future obligations of the terminated Market Participant.  These obligations may include, but are not limited to, Resettlement Statements, Final or True-Up Settlements, and Default Uplift Invoices.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603E" w14:paraId="6959551C" w14:textId="77777777" w:rsidTr="004E603E">
        <w:tc>
          <w:tcPr>
            <w:tcW w:w="9332" w:type="dxa"/>
            <w:shd w:val="pct12" w:color="auto" w:fill="auto"/>
          </w:tcPr>
          <w:p w14:paraId="32709083" w14:textId="54CD4420" w:rsidR="004E603E" w:rsidRPr="0002450E" w:rsidRDefault="004E603E" w:rsidP="004E603E">
            <w:pPr>
              <w:pStyle w:val="Instructions"/>
              <w:spacing w:before="120"/>
              <w:rPr>
                <w:iCs/>
              </w:rPr>
            </w:pPr>
            <w:r>
              <w:rPr>
                <w:iCs/>
              </w:rPr>
              <w:t>[NPRR1023</w:t>
            </w:r>
            <w:r w:rsidRPr="0002450E">
              <w:rPr>
                <w:iCs/>
              </w:rPr>
              <w:t xml:space="preserve">:  Replace </w:t>
            </w:r>
            <w:r>
              <w:rPr>
                <w:iCs/>
              </w:rPr>
              <w:t xml:space="preserve">paragraph (1) </w:t>
            </w:r>
            <w:r w:rsidRPr="0002450E">
              <w:rPr>
                <w:iCs/>
              </w:rPr>
              <w:t xml:space="preserve">above with the following upon system implementation:] </w:t>
            </w:r>
          </w:p>
          <w:p w14:paraId="2364B3FA" w14:textId="058F24FE" w:rsidR="004E603E" w:rsidRPr="008D69E1" w:rsidRDefault="004E603E" w:rsidP="004E603E">
            <w:pPr>
              <w:pStyle w:val="BodyText"/>
              <w:ind w:left="720" w:hanging="720"/>
            </w:pPr>
            <w:r>
              <w:t>(1)</w:t>
            </w:r>
            <w:r>
              <w:tab/>
              <w:t>Following the termination of a Market Participant’s Standard Form Market Participant Agreement, ERCOT shall retain Financial Security to cover potential future obligations of the terminated Market Participant.  These obligations may include, but are not limited to, the Invoices associated with the liquidation of repossessed or forfeited CRRs, Resettlement Statements, Final or True-Up Settlements, and Default Uplift Invoices.</w:t>
            </w:r>
          </w:p>
        </w:tc>
      </w:tr>
    </w:tbl>
    <w:p w14:paraId="06D72B74" w14:textId="77777777" w:rsidR="004E603E" w:rsidRDefault="004E603E"/>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603E" w14:paraId="0774F14F" w14:textId="77777777" w:rsidTr="004E603E">
        <w:tc>
          <w:tcPr>
            <w:tcW w:w="9332" w:type="dxa"/>
            <w:shd w:val="pct12" w:color="auto" w:fill="auto"/>
          </w:tcPr>
          <w:p w14:paraId="0666454C" w14:textId="6B12D8AE" w:rsidR="004E603E" w:rsidRPr="0002450E" w:rsidRDefault="004E603E" w:rsidP="004E603E">
            <w:pPr>
              <w:pStyle w:val="Instructions"/>
              <w:spacing w:before="120"/>
              <w:rPr>
                <w:iCs/>
              </w:rPr>
            </w:pPr>
            <w:r>
              <w:rPr>
                <w:iCs/>
              </w:rPr>
              <w:t>[NPRR1023</w:t>
            </w:r>
            <w:r w:rsidRPr="0002450E">
              <w:rPr>
                <w:iCs/>
              </w:rPr>
              <w:t xml:space="preserve">:  </w:t>
            </w:r>
            <w:r>
              <w:rPr>
                <w:iCs/>
              </w:rPr>
              <w:t>Insert</w:t>
            </w:r>
            <w:r w:rsidRPr="0002450E">
              <w:rPr>
                <w:iCs/>
              </w:rPr>
              <w:t xml:space="preserve"> </w:t>
            </w:r>
            <w:r>
              <w:rPr>
                <w:iCs/>
              </w:rPr>
              <w:t>paragraph (2) below</w:t>
            </w:r>
            <w:r w:rsidRPr="0002450E">
              <w:rPr>
                <w:iCs/>
              </w:rPr>
              <w:t xml:space="preserve"> upon system implementation</w:t>
            </w:r>
            <w:r>
              <w:rPr>
                <w:iCs/>
              </w:rPr>
              <w:t xml:space="preserve"> and renumber accordingly</w:t>
            </w:r>
            <w:r w:rsidRPr="0002450E">
              <w:rPr>
                <w:iCs/>
              </w:rPr>
              <w:t xml:space="preserve">:] </w:t>
            </w:r>
          </w:p>
          <w:p w14:paraId="1C7D2158" w14:textId="6CEAA74F" w:rsidR="004E603E" w:rsidRPr="008D69E1" w:rsidRDefault="004E603E" w:rsidP="004E603E">
            <w:pPr>
              <w:pStyle w:val="BodyText"/>
              <w:ind w:left="720" w:hanging="720"/>
            </w:pPr>
            <w:r>
              <w:t>(2)</w:t>
            </w:r>
            <w:r>
              <w:tab/>
              <w:t>R</w:t>
            </w:r>
            <w:r w:rsidRPr="00632DBE">
              <w:t>egardless of whether a Market Participant’s Agreement with ERCOT has been terminated, ERCOT shall not return or release any Financial Security of a Market Participant from whom CRRs were repossessed or forfeited until all such repossessed or forfeited CRRs have been voided, settled in the DAM, or sold in a CRR Auction in accordance with Section 16.11.6.1.6, Liquidation of Repossessed or Forfeited CRRs, and all Invoices associated with the liquidation have been paid in full</w:t>
            </w:r>
            <w:r>
              <w:t>.</w:t>
            </w:r>
          </w:p>
        </w:tc>
      </w:tr>
    </w:tbl>
    <w:p w14:paraId="1A5F8105" w14:textId="153E01C9" w:rsidR="005A2AD9" w:rsidRDefault="005A2AD9" w:rsidP="00974AFC">
      <w:pPr>
        <w:pStyle w:val="BodyText"/>
        <w:spacing w:before="240"/>
        <w:ind w:left="720" w:hanging="720"/>
      </w:pPr>
      <w:r>
        <w:t>(2)</w:t>
      </w:r>
      <w:r>
        <w:tab/>
        <w:t>Required Financial Security for potential future obligations of a terminated Market Participant will be the maximum of the Counter-Party’s TPE, as applicable, or $5,000.</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603E" w14:paraId="24161599" w14:textId="77777777" w:rsidTr="004E603E">
        <w:tc>
          <w:tcPr>
            <w:tcW w:w="9332" w:type="dxa"/>
            <w:shd w:val="pct12" w:color="auto" w:fill="auto"/>
          </w:tcPr>
          <w:p w14:paraId="425CCEC8" w14:textId="6E868A18" w:rsidR="004E603E" w:rsidRPr="0002450E" w:rsidRDefault="004E603E" w:rsidP="004E603E">
            <w:pPr>
              <w:pStyle w:val="Instructions"/>
              <w:spacing w:before="120"/>
              <w:rPr>
                <w:iCs/>
              </w:rPr>
            </w:pPr>
            <w:r>
              <w:rPr>
                <w:iCs/>
              </w:rPr>
              <w:lastRenderedPageBreak/>
              <w:t>[NPRR1023</w:t>
            </w:r>
            <w:r w:rsidRPr="0002450E">
              <w:rPr>
                <w:iCs/>
              </w:rPr>
              <w:t xml:space="preserve">:  Replace </w:t>
            </w:r>
            <w:r>
              <w:rPr>
                <w:iCs/>
              </w:rPr>
              <w:t xml:space="preserve">paragraph (2) </w:t>
            </w:r>
            <w:r w:rsidRPr="0002450E">
              <w:rPr>
                <w:iCs/>
              </w:rPr>
              <w:t xml:space="preserve">above with the following upon system implementation:] </w:t>
            </w:r>
          </w:p>
          <w:p w14:paraId="7D759D07" w14:textId="2CD58C4E" w:rsidR="004E603E" w:rsidRPr="008D69E1" w:rsidRDefault="004E603E" w:rsidP="004E603E">
            <w:pPr>
              <w:pStyle w:val="BodyText"/>
              <w:ind w:left="720" w:hanging="720"/>
            </w:pPr>
            <w:r>
              <w:t>(3)</w:t>
            </w:r>
            <w:r>
              <w:tab/>
              <w:t>Except as specified in paragraph (2) above, required Financial Security for potential future obligations of a terminated Market Participant will be the maximum of the Counter-Party’s TPE, as applicable, or $5,000.</w:t>
            </w:r>
          </w:p>
        </w:tc>
      </w:tr>
    </w:tbl>
    <w:p w14:paraId="5CE559BC" w14:textId="09F4F4BD" w:rsidR="005A2AD9" w:rsidRDefault="005A2AD9" w:rsidP="00974AFC">
      <w:pPr>
        <w:pStyle w:val="BodyText"/>
        <w:spacing w:before="240"/>
        <w:ind w:left="720" w:hanging="720"/>
      </w:pPr>
      <w:r>
        <w:t>(3)</w:t>
      </w:r>
      <w:r>
        <w:tab/>
        <w:t>If a terminated Market Participant elects to withdraw non-cash Financial Security following termination, and ERCOT determines that Financial Security continues to be necessary to cover potential future obligations, then the terminated Market Participant must provide ERCOT with Cash Collateral in the amount determined by ERCOT under this section before ERCOT will return or release the non-cash Financial Security to the terminated Market Participant.</w:t>
      </w:r>
    </w:p>
    <w:p w14:paraId="06270304" w14:textId="45F72B5B" w:rsidR="00FC1C5F" w:rsidRDefault="005A2AD9" w:rsidP="005A2AD9">
      <w:pPr>
        <w:pStyle w:val="BodyText"/>
        <w:ind w:left="720" w:hanging="720"/>
      </w:pPr>
      <w:r>
        <w:t>(4)</w:t>
      </w:r>
      <w:r>
        <w:tab/>
        <w:t>Upon ERCOT’s sole determination that no sums remain owed or are necessary to cover potential future obligations to ERCOT by the terminated Market Participant, ERCOT shall return or release any Financial Security held by ERCOT to the terminated Market Participant</w:t>
      </w:r>
      <w:r w:rsidR="00727E32">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603E" w14:paraId="5C4B368B" w14:textId="77777777" w:rsidTr="004E603E">
        <w:tc>
          <w:tcPr>
            <w:tcW w:w="9558" w:type="dxa"/>
            <w:shd w:val="pct12" w:color="auto" w:fill="auto"/>
          </w:tcPr>
          <w:p w14:paraId="2654C09D" w14:textId="4D5798EC" w:rsidR="004E603E" w:rsidRPr="0002450E" w:rsidRDefault="004E603E" w:rsidP="004E603E">
            <w:pPr>
              <w:pStyle w:val="Instructions"/>
              <w:spacing w:before="120"/>
              <w:rPr>
                <w:iCs/>
              </w:rPr>
            </w:pPr>
            <w:bookmarkStart w:id="648" w:name="_Toc98060322"/>
            <w:bookmarkStart w:id="649" w:name="_Toc390438993"/>
            <w:bookmarkStart w:id="650" w:name="_Toc405897704"/>
            <w:bookmarkStart w:id="651" w:name="_Toc415055796"/>
            <w:bookmarkStart w:id="652" w:name="_Toc415055922"/>
            <w:bookmarkStart w:id="653" w:name="_Toc415056021"/>
            <w:bookmarkStart w:id="654" w:name="_Toc415056121"/>
            <w:r>
              <w:rPr>
                <w:iCs/>
              </w:rPr>
              <w:t>[NPRR1023</w:t>
            </w:r>
            <w:r w:rsidRPr="0002450E">
              <w:rPr>
                <w:iCs/>
              </w:rPr>
              <w:t xml:space="preserve">:  </w:t>
            </w:r>
            <w:r>
              <w:rPr>
                <w:iCs/>
              </w:rPr>
              <w:t>Insert Section 16.11.8 below</w:t>
            </w:r>
            <w:r w:rsidRPr="0002450E">
              <w:rPr>
                <w:iCs/>
              </w:rPr>
              <w:t xml:space="preserve"> upon system implementation</w:t>
            </w:r>
            <w:r>
              <w:rPr>
                <w:iCs/>
              </w:rPr>
              <w:t xml:space="preserve"> and renumber accordingly</w:t>
            </w:r>
            <w:r w:rsidRPr="0002450E">
              <w:rPr>
                <w:iCs/>
              </w:rPr>
              <w:t xml:space="preserve">:] </w:t>
            </w:r>
          </w:p>
          <w:p w14:paraId="13697806" w14:textId="77777777" w:rsidR="004E603E" w:rsidRPr="00084505" w:rsidRDefault="004E603E" w:rsidP="004E603E">
            <w:pPr>
              <w:pStyle w:val="BodyText"/>
              <w:rPr>
                <w:b/>
              </w:rPr>
            </w:pPr>
            <w:r w:rsidRPr="00084505">
              <w:rPr>
                <w:b/>
                <w:i/>
              </w:rPr>
              <w:t>16.11.</w:t>
            </w:r>
            <w:r>
              <w:rPr>
                <w:b/>
                <w:i/>
              </w:rPr>
              <w:t>8</w:t>
            </w:r>
            <w:r w:rsidRPr="00084505">
              <w:rPr>
                <w:b/>
                <w:i/>
              </w:rPr>
              <w:t xml:space="preserve">  </w:t>
            </w:r>
            <w:r>
              <w:rPr>
                <w:b/>
                <w:i/>
              </w:rPr>
              <w:tab/>
            </w:r>
            <w:r w:rsidRPr="00084505">
              <w:rPr>
                <w:b/>
                <w:i/>
              </w:rPr>
              <w:t xml:space="preserve">Conversion of </w:t>
            </w:r>
            <w:r>
              <w:rPr>
                <w:b/>
                <w:i/>
              </w:rPr>
              <w:t>Letters of Credit and Surety Bonds</w:t>
            </w:r>
            <w:r w:rsidRPr="00084505">
              <w:rPr>
                <w:b/>
                <w:i/>
              </w:rPr>
              <w:t xml:space="preserve"> to Cash</w:t>
            </w:r>
            <w:r>
              <w:rPr>
                <w:b/>
                <w:i/>
              </w:rPr>
              <w:t xml:space="preserve"> Collateral</w:t>
            </w:r>
          </w:p>
          <w:p w14:paraId="73DF65A4" w14:textId="7B357CD1" w:rsidR="004E603E" w:rsidRPr="004E603E" w:rsidRDefault="004E603E" w:rsidP="004E603E">
            <w:pPr>
              <w:pStyle w:val="BodyText"/>
              <w:ind w:left="720" w:hanging="720"/>
            </w:pPr>
            <w:r>
              <w:t>(1)</w:t>
            </w:r>
            <w:r>
              <w:tab/>
              <w:t>To facilitate Settlement of Market Participant Invoices arising in consequence of a Payment Breach or other Default by a Market Participant, including but not limited to those described in Section 16.11.6.1.4, Repossession of CRRs by ERCOT, Section 16.11.6.1.5, Declaration of Forfeit of CRRs, and Section 16.11.6.1.6, Liquidation of Repossessed or Forfeited CRRs, ERCOT may at its sole discretion initiate conversion of guarantees, letters of credit, or surety bonds held as Financial Security to cash collateral.</w:t>
            </w:r>
          </w:p>
        </w:tc>
      </w:tr>
    </w:tbl>
    <w:p w14:paraId="21AB74CA" w14:textId="77777777" w:rsidR="00FC1C5F" w:rsidRDefault="00727E32" w:rsidP="00974AFC">
      <w:pPr>
        <w:pStyle w:val="H3"/>
        <w:spacing w:before="480"/>
      </w:pPr>
      <w:bookmarkStart w:id="655" w:name="_Toc70591665"/>
      <w:r>
        <w:t>16.11.8</w:t>
      </w:r>
      <w:r>
        <w:tab/>
        <w:t>Acceleration</w:t>
      </w:r>
      <w:bookmarkEnd w:id="648"/>
      <w:bookmarkEnd w:id="649"/>
      <w:bookmarkEnd w:id="650"/>
      <w:bookmarkEnd w:id="651"/>
      <w:bookmarkEnd w:id="652"/>
      <w:bookmarkEnd w:id="653"/>
      <w:bookmarkEnd w:id="654"/>
      <w:bookmarkEnd w:id="655"/>
    </w:p>
    <w:p w14:paraId="49AC3609" w14:textId="77777777" w:rsidR="00FC1C5F" w:rsidRDefault="00853D39" w:rsidP="003E09AF">
      <w:pPr>
        <w:pStyle w:val="BodyText"/>
        <w:ind w:left="720" w:hanging="720"/>
      </w:pPr>
      <w:r>
        <w:t>(1)</w:t>
      </w:r>
      <w:r>
        <w:tab/>
      </w:r>
      <w:r w:rsidR="00727E32">
        <w:t>Upon termination of a Market Participant’s rights as a Market Participant and any other agreement(s) between ERCOT and the Market Participant, all sums owed to ERCOT are immediately accelerated and are immediately due and owing in full.  At that time, ERCOT may immediately draw upon the Market Participant’s Financial Security and shall use those funds to offset or recoup all amounts due to ERCOT.</w:t>
      </w:r>
      <w:bookmarkEnd w:id="415"/>
      <w:bookmarkEnd w:id="416"/>
      <w:bookmarkEnd w:id="417"/>
    </w:p>
    <w:p w14:paraId="6EA1CA23" w14:textId="77777777" w:rsidR="00C2117B" w:rsidRPr="002631D7" w:rsidRDefault="00C2117B" w:rsidP="00C2117B">
      <w:pPr>
        <w:pStyle w:val="H2"/>
        <w:rPr>
          <w:lang w:val="en-US" w:eastAsia="en-US"/>
        </w:rPr>
      </w:pPr>
      <w:bookmarkStart w:id="656" w:name="_Toc390438994"/>
      <w:bookmarkStart w:id="657" w:name="_Toc405897705"/>
      <w:bookmarkStart w:id="658" w:name="_Toc415055797"/>
      <w:bookmarkStart w:id="659" w:name="_Toc415055923"/>
      <w:bookmarkStart w:id="660" w:name="_Toc415056022"/>
      <w:bookmarkStart w:id="661" w:name="_Toc415056122"/>
      <w:bookmarkStart w:id="662" w:name="_Toc70591666"/>
      <w:r w:rsidRPr="002631D7">
        <w:rPr>
          <w:lang w:val="en-US" w:eastAsia="en-US"/>
        </w:rPr>
        <w:lastRenderedPageBreak/>
        <w:t>16.12</w:t>
      </w:r>
      <w:r w:rsidRPr="002631D7">
        <w:rPr>
          <w:lang w:val="en-US" w:eastAsia="en-US"/>
        </w:rPr>
        <w:tab/>
        <w:t>User Security Administrator and Digital Certificates</w:t>
      </w:r>
      <w:bookmarkEnd w:id="656"/>
      <w:bookmarkEnd w:id="657"/>
      <w:bookmarkEnd w:id="658"/>
      <w:bookmarkEnd w:id="659"/>
      <w:bookmarkEnd w:id="660"/>
      <w:bookmarkEnd w:id="661"/>
      <w:bookmarkEnd w:id="662"/>
    </w:p>
    <w:p w14:paraId="4FD49CDF" w14:textId="77777777" w:rsidR="00462B48" w:rsidRDefault="00462B48" w:rsidP="00462B48">
      <w:pPr>
        <w:pStyle w:val="H2"/>
        <w:tabs>
          <w:tab w:val="clear" w:pos="900"/>
        </w:tabs>
        <w:spacing w:before="0"/>
        <w:ind w:left="720" w:hanging="720"/>
        <w:outlineLvl w:val="9"/>
        <w:rPr>
          <w:b w:val="0"/>
        </w:rPr>
      </w:pPr>
      <w:bookmarkStart w:id="663" w:name="_Toc349821829"/>
      <w:r>
        <w:rPr>
          <w:b w:val="0"/>
        </w:rPr>
        <w:t>(1)</w:t>
      </w:r>
      <w:r>
        <w:rPr>
          <w:b w:val="0"/>
        </w:rPr>
        <w:tab/>
      </w:r>
      <w:r w:rsidRPr="00F80DFA">
        <w:rPr>
          <w:b w:val="0"/>
        </w:rPr>
        <w:t xml:space="preserve">Each Market Participant is allowed access to </w:t>
      </w:r>
      <w:r>
        <w:rPr>
          <w:b w:val="0"/>
        </w:rPr>
        <w:t xml:space="preserve">certain </w:t>
      </w:r>
      <w:r w:rsidRPr="00F80DFA">
        <w:rPr>
          <w:b w:val="0"/>
        </w:rPr>
        <w:t>ERCOT computer systems through the use of Digital Certificates upon execution of the</w:t>
      </w:r>
      <w:r w:rsidRPr="00F80DFA" w:rsidDel="003E0270">
        <w:rPr>
          <w:b w:val="0"/>
        </w:rPr>
        <w:t xml:space="preserve"> </w:t>
      </w:r>
      <w:r w:rsidRPr="00F80DFA">
        <w:rPr>
          <w:b w:val="0"/>
        </w:rPr>
        <w:t xml:space="preserve">Standard Form Market Participant Agreement (as provided for in </w:t>
      </w:r>
      <w:r w:rsidRPr="006F1E0B">
        <w:rPr>
          <w:b w:val="0"/>
        </w:rPr>
        <w:t>Section 22</w:t>
      </w:r>
      <w:r w:rsidRPr="00F80DFA">
        <w:rPr>
          <w:b w:val="0"/>
        </w:rPr>
        <w:t xml:space="preserve">, Attachment A, Standard Form Market Participant Agreement), </w:t>
      </w:r>
      <w:r>
        <w:rPr>
          <w:b w:val="0"/>
        </w:rPr>
        <w:t xml:space="preserve">and </w:t>
      </w:r>
      <w:r w:rsidRPr="00F80DFA">
        <w:rPr>
          <w:b w:val="0"/>
        </w:rPr>
        <w:t>completion of applicable registration and qualification requirements.  Digital Certificates expire after one year.</w:t>
      </w:r>
    </w:p>
    <w:p w14:paraId="2A92F01A" w14:textId="12488BB4" w:rsidR="00462B48" w:rsidRDefault="00462B48" w:rsidP="00520F89">
      <w:pPr>
        <w:pStyle w:val="H2"/>
        <w:tabs>
          <w:tab w:val="clear" w:pos="900"/>
        </w:tabs>
        <w:spacing w:before="0"/>
        <w:ind w:left="720" w:hanging="720"/>
        <w:outlineLvl w:val="9"/>
        <w:rPr>
          <w:b w:val="0"/>
        </w:rPr>
      </w:pPr>
      <w:r>
        <w:rPr>
          <w:b w:val="0"/>
        </w:rPr>
        <w:t>(2)</w:t>
      </w:r>
      <w:r>
        <w:rPr>
          <w:b w:val="0"/>
        </w:rPr>
        <w:tab/>
      </w:r>
      <w:r w:rsidR="005C5A94" w:rsidRPr="00F80DFA">
        <w:rPr>
          <w:b w:val="0"/>
        </w:rPr>
        <w:t xml:space="preserve">A User Security Administrator (USA) is responsible for managing the Market Participant’s access to </w:t>
      </w:r>
      <w:r w:rsidR="005C5A94">
        <w:rPr>
          <w:b w:val="0"/>
        </w:rPr>
        <w:t>non-public ERCOT</w:t>
      </w:r>
      <w:r w:rsidR="005C5A94" w:rsidRPr="00F80DFA">
        <w:rPr>
          <w:b w:val="0"/>
        </w:rPr>
        <w:t xml:space="preserve"> computer systems through Digital Certificates.  </w:t>
      </w:r>
      <w:r w:rsidR="005C5A94">
        <w:rPr>
          <w:b w:val="0"/>
        </w:rPr>
        <w:t xml:space="preserve">A USA may also be responsible for managing the </w:t>
      </w:r>
      <w:r w:rsidR="005C5A94" w:rsidRPr="00F80DFA">
        <w:rPr>
          <w:b w:val="0"/>
        </w:rPr>
        <w:t>Market Participant’s access</w:t>
      </w:r>
      <w:r w:rsidR="005C5A94">
        <w:rPr>
          <w:b w:val="0"/>
        </w:rPr>
        <w:t xml:space="preserve"> to </w:t>
      </w:r>
      <w:r w:rsidR="005C5A94" w:rsidRPr="005175C4">
        <w:rPr>
          <w:b w:val="0"/>
        </w:rPr>
        <w:t xml:space="preserve">the online </w:t>
      </w:r>
      <w:r w:rsidR="005C5A94">
        <w:rPr>
          <w:b w:val="0"/>
        </w:rPr>
        <w:t>Resource Integration and Ongoing Operations (“RIOO”)</w:t>
      </w:r>
      <w:r w:rsidR="005C5A94" w:rsidRPr="005175C4">
        <w:rPr>
          <w:b w:val="0"/>
        </w:rPr>
        <w:t xml:space="preserve"> system, which does not require a Digital Certificate</w:t>
      </w:r>
      <w:r w:rsidR="005C5A94">
        <w:rPr>
          <w:b w:val="0"/>
        </w:rPr>
        <w:t xml:space="preserve">.  </w:t>
      </w:r>
      <w:r w:rsidR="005C5A94" w:rsidRPr="00F80DFA">
        <w:rPr>
          <w:b w:val="0"/>
        </w:rPr>
        <w:t>Each Market Participant</w:t>
      </w:r>
      <w:r w:rsidR="005C5A94">
        <w:rPr>
          <w:b w:val="0"/>
        </w:rPr>
        <w:t xml:space="preserve"> that will receive Digital Certificate(s)</w:t>
      </w:r>
      <w:r w:rsidR="005C5A94" w:rsidRPr="00F80DFA">
        <w:rPr>
          <w:b w:val="0"/>
        </w:rPr>
        <w:t xml:space="preserve"> must, as part of the application for registration with ERCOT, designate an individual employee or authorized agent as its USA, and optionally, a </w:t>
      </w:r>
      <w:r w:rsidR="005C5A94">
        <w:rPr>
          <w:b w:val="0"/>
        </w:rPr>
        <w:t>backup</w:t>
      </w:r>
      <w:r w:rsidR="005C5A94" w:rsidRPr="00F80DFA">
        <w:rPr>
          <w:b w:val="0"/>
        </w:rPr>
        <w:t xml:space="preserve"> USA.  If a Market Participant has designated a </w:t>
      </w:r>
      <w:r w:rsidR="005C5A94">
        <w:rPr>
          <w:b w:val="0"/>
        </w:rPr>
        <w:t>backup</w:t>
      </w:r>
      <w:r w:rsidR="005C5A94" w:rsidRPr="00F80DFA">
        <w:rPr>
          <w:b w:val="0"/>
        </w:rPr>
        <w:t xml:space="preserve"> USA</w:t>
      </w:r>
      <w:r w:rsidR="005C5A94">
        <w:rPr>
          <w:b w:val="0"/>
        </w:rPr>
        <w:t xml:space="preserve"> and </w:t>
      </w:r>
      <w:r w:rsidR="005C5A94" w:rsidRPr="00F80DFA">
        <w:rPr>
          <w:b w:val="0"/>
        </w:rPr>
        <w:t>the primary USA</w:t>
      </w:r>
      <w:r w:rsidR="005C5A94">
        <w:rPr>
          <w:b w:val="0"/>
        </w:rPr>
        <w:t xml:space="preserve"> fails to perform, or is unable to</w:t>
      </w:r>
      <w:r w:rsidR="005C5A94" w:rsidRPr="000B18AC">
        <w:rPr>
          <w:b w:val="0"/>
        </w:rPr>
        <w:t xml:space="preserve"> perf</w:t>
      </w:r>
      <w:r w:rsidR="005C5A94">
        <w:rPr>
          <w:b w:val="0"/>
        </w:rPr>
        <w:t>orm, the functions required of a USA, then the backup USA shall perform any and all functions required of the primary USA</w:t>
      </w:r>
      <w:r w:rsidR="005C5A94" w:rsidRPr="000B18AC">
        <w:rPr>
          <w:b w:val="0"/>
        </w:rPr>
        <w:t>.</w:t>
      </w:r>
      <w:r w:rsidR="005C5A94" w:rsidRPr="00F80DFA">
        <w:rPr>
          <w:b w:val="0"/>
        </w:rPr>
        <w:t xml:space="preserve">  The Market Participant is responsible for revising its USA list as the need arises.  The Market Participant’s USA is responsible for registering all Market Participant’s Digital Certificate holders (“Certificate Holders”) and administering the use of Digital Certificates on behalf of the Market Participant.  </w:t>
      </w:r>
      <w:r w:rsidR="005C5A94">
        <w:rPr>
          <w:b w:val="0"/>
        </w:rPr>
        <w:t xml:space="preserve">ERCOT Critical Energy Infrastructure Information (ECEII) posted on the Market Information System (MIS) Secure or Certified Area may be accessed only by those individuals that are issued ECEII-eligible Digital Certificates.  </w:t>
      </w:r>
      <w:r w:rsidR="005C5A94" w:rsidRPr="00276CA9">
        <w:rPr>
          <w:b w:val="0"/>
        </w:rPr>
        <w:t>Each</w:t>
      </w:r>
      <w:r w:rsidR="005C5A94" w:rsidRPr="00F80DFA">
        <w:rPr>
          <w:b w:val="0"/>
        </w:rPr>
        <w:t xml:space="preserve"> Market Participant </w:t>
      </w:r>
      <w:r w:rsidR="005C5A94">
        <w:rPr>
          <w:b w:val="0"/>
        </w:rPr>
        <w:t xml:space="preserve">that will receive Digital Certificates and </w:t>
      </w:r>
      <w:r w:rsidR="005C5A94" w:rsidRPr="00F80DFA">
        <w:rPr>
          <w:b w:val="0"/>
        </w:rPr>
        <w:t xml:space="preserve"> </w:t>
      </w:r>
      <w:r w:rsidR="005C5A94">
        <w:rPr>
          <w:b w:val="0"/>
        </w:rPr>
        <w:t>having</w:t>
      </w:r>
      <w:r w:rsidR="005C5A94" w:rsidRPr="00F80DFA">
        <w:rPr>
          <w:b w:val="0"/>
        </w:rPr>
        <w:t xml:space="preserve"> more than one ERCOT functional registration must designate a USA for each registration (which may be the same employee or authorized agent) and shall manage each registration separately for the purposes of this Section.  Once the Market Participant completes registration requirements, ERCOT shall send the USA a copy of</w:t>
      </w:r>
      <w:r w:rsidR="005C5A94">
        <w:rPr>
          <w:b w:val="0"/>
        </w:rPr>
        <w:t xml:space="preserve"> the Digital Certificate user guide.</w:t>
      </w:r>
      <w:r>
        <w:rPr>
          <w:b w:val="0"/>
        </w:rPr>
        <w:t xml:space="preserve"> </w:t>
      </w:r>
    </w:p>
    <w:p w14:paraId="6211EE29" w14:textId="7DE936D1" w:rsidR="00462B48" w:rsidRPr="00DB1C2A" w:rsidRDefault="00462B48" w:rsidP="00C2150F">
      <w:pPr>
        <w:pStyle w:val="H2"/>
        <w:tabs>
          <w:tab w:val="clear" w:pos="900"/>
        </w:tabs>
        <w:spacing w:before="0"/>
        <w:ind w:left="720" w:hanging="720"/>
        <w:outlineLvl w:val="9"/>
        <w:rPr>
          <w:b w:val="0"/>
        </w:rPr>
      </w:pPr>
      <w:r w:rsidRPr="00273115">
        <w:rPr>
          <w:b w:val="0"/>
        </w:rPr>
        <w:t>(</w:t>
      </w:r>
      <w:r>
        <w:rPr>
          <w:b w:val="0"/>
        </w:rPr>
        <w:t>3</w:t>
      </w:r>
      <w:r w:rsidRPr="00273115">
        <w:rPr>
          <w:b w:val="0"/>
        </w:rPr>
        <w:t>)</w:t>
      </w:r>
      <w:r w:rsidRPr="00273115">
        <w:rPr>
          <w:b w:val="0"/>
        </w:rPr>
        <w:tab/>
      </w:r>
      <w:r>
        <w:rPr>
          <w:b w:val="0"/>
        </w:rPr>
        <w:t>Only</w:t>
      </w:r>
      <w:r w:rsidRPr="00273115">
        <w:rPr>
          <w:b w:val="0"/>
        </w:rPr>
        <w:t xml:space="preserve"> Market Participant</w:t>
      </w:r>
      <w:r>
        <w:rPr>
          <w:b w:val="0"/>
        </w:rPr>
        <w:t>s</w:t>
      </w:r>
      <w:r w:rsidRPr="00273115">
        <w:rPr>
          <w:b w:val="0"/>
        </w:rPr>
        <w:t xml:space="preserve"> registered with ERCOT as </w:t>
      </w:r>
      <w:r>
        <w:rPr>
          <w:b w:val="0"/>
        </w:rPr>
        <w:t xml:space="preserve">either </w:t>
      </w:r>
      <w:r w:rsidRPr="00273115">
        <w:rPr>
          <w:b w:val="0"/>
        </w:rPr>
        <w:t>a Municipally Owned Utility (MOU) or an Electric Cooperative (EC), and</w:t>
      </w:r>
      <w:r>
        <w:rPr>
          <w:b w:val="0"/>
        </w:rPr>
        <w:t xml:space="preserve"> as</w:t>
      </w:r>
      <w:r w:rsidRPr="00273115">
        <w:rPr>
          <w:b w:val="0"/>
        </w:rPr>
        <w:t xml:space="preserve"> a Distribution Service Provider (DSP) and/or Load Serving Entity (LSE), </w:t>
      </w:r>
      <w:r w:rsidRPr="00315A2F">
        <w:rPr>
          <w:b w:val="0"/>
        </w:rPr>
        <w:t>may</w:t>
      </w:r>
      <w:r>
        <w:rPr>
          <w:b w:val="0"/>
        </w:rPr>
        <w:t xml:space="preserve"> be eligible to opt </w:t>
      </w:r>
      <w:r w:rsidRPr="00273115">
        <w:rPr>
          <w:b w:val="0"/>
        </w:rPr>
        <w:t xml:space="preserve">out of designating a USA and receiving Digital Certificates if the Market Participant demonstrates to ERCOT’s </w:t>
      </w:r>
      <w:r w:rsidRPr="00DB1C2A">
        <w:rPr>
          <w:b w:val="0"/>
        </w:rPr>
        <w:t xml:space="preserve">satisfaction that it does not need a Digital Certificate to perform its obligations under the ERCOT Protocols, market guides, or other applicable rules. </w:t>
      </w:r>
    </w:p>
    <w:p w14:paraId="64EA7721" w14:textId="77777777" w:rsidR="00462B48" w:rsidRPr="00DB1C2A" w:rsidRDefault="00462B48" w:rsidP="00462B48">
      <w:pPr>
        <w:pStyle w:val="H2"/>
        <w:tabs>
          <w:tab w:val="clear" w:pos="900"/>
        </w:tabs>
        <w:spacing w:before="0"/>
        <w:ind w:left="720" w:hanging="720"/>
        <w:outlineLvl w:val="9"/>
        <w:rPr>
          <w:b w:val="0"/>
        </w:rPr>
      </w:pPr>
      <w:r w:rsidRPr="00DB1C2A">
        <w:rPr>
          <w:b w:val="0"/>
        </w:rPr>
        <w:t xml:space="preserve">(4) </w:t>
      </w:r>
      <w:r w:rsidRPr="00DB1C2A">
        <w:rPr>
          <w:b w:val="0"/>
        </w:rPr>
        <w:tab/>
        <w:t>An eligible Market</w:t>
      </w:r>
      <w:r>
        <w:rPr>
          <w:b w:val="0"/>
        </w:rPr>
        <w:t xml:space="preserve"> Participant that wishes to opt </w:t>
      </w:r>
      <w:r w:rsidRPr="00DB1C2A">
        <w:rPr>
          <w:b w:val="0"/>
        </w:rPr>
        <w:t>out of designating a USA and receiving Digital Certificates shall submit a request form, found on the ERCOT websit</w:t>
      </w:r>
      <w:r>
        <w:rPr>
          <w:b w:val="0"/>
        </w:rPr>
        <w:t xml:space="preserve">e, confirming its desire to opt </w:t>
      </w:r>
      <w:r w:rsidRPr="00DB1C2A">
        <w:rPr>
          <w:b w:val="0"/>
        </w:rPr>
        <w:t>out subject to ERCOT’s review and approval.  ERCOT will notify the requesting Market Participant of its approval or disapproval of the request within 14 Business Days.  ERCOT may subsequently revoke, at its sole discretion, Market Participant’s election to opt</w:t>
      </w:r>
      <w:r>
        <w:rPr>
          <w:b w:val="0"/>
          <w:lang w:val="en-US"/>
        </w:rPr>
        <w:t xml:space="preserve"> </w:t>
      </w:r>
      <w:r w:rsidRPr="00DB1C2A">
        <w:rPr>
          <w:b w:val="0"/>
        </w:rPr>
        <w:t>out if the Market Participant’s lack of a Digital Certificate causes administrative burdens or reliability concerns.  ERCOT will send notice of revocation to the Market Participant who will have ten Business Days to fill out a Notice of Change of Information (NCI) form (</w:t>
      </w:r>
      <w:r w:rsidRPr="006F1E0B">
        <w:rPr>
          <w:b w:val="0"/>
        </w:rPr>
        <w:t>Section 23</w:t>
      </w:r>
      <w:r w:rsidRPr="00DB1C2A">
        <w:rPr>
          <w:b w:val="0"/>
        </w:rPr>
        <w:t xml:space="preserve">, Form E, Notice of Change of Information) and submit it to ERCOT.  Once the NCI is submitted, the request for a </w:t>
      </w:r>
      <w:r w:rsidRPr="00DB1C2A">
        <w:rPr>
          <w:b w:val="0"/>
        </w:rPr>
        <w:lastRenderedPageBreak/>
        <w:t xml:space="preserve">Digital Certificate will be subject to the same requirements applicable to the processing of an initial request by a new Market Participant. </w:t>
      </w:r>
    </w:p>
    <w:p w14:paraId="11E91DD5" w14:textId="77777777" w:rsidR="00462B48" w:rsidRPr="00DB1C2A" w:rsidRDefault="00462B48" w:rsidP="00462B48">
      <w:pPr>
        <w:pStyle w:val="H2"/>
        <w:tabs>
          <w:tab w:val="clear" w:pos="900"/>
        </w:tabs>
        <w:spacing w:before="0"/>
        <w:ind w:left="720" w:hanging="720"/>
        <w:outlineLvl w:val="9"/>
        <w:rPr>
          <w:b w:val="0"/>
        </w:rPr>
      </w:pPr>
      <w:r w:rsidRPr="00DB1C2A">
        <w:rPr>
          <w:b w:val="0"/>
        </w:rPr>
        <w:t>(5)</w:t>
      </w:r>
      <w:r w:rsidRPr="00DB1C2A">
        <w:rPr>
          <w:b w:val="0"/>
        </w:rPr>
        <w:tab/>
        <w:t>Market Participants that have received approval from ERCOT to opt</w:t>
      </w:r>
      <w:r>
        <w:rPr>
          <w:b w:val="0"/>
          <w:lang w:val="en-US"/>
        </w:rPr>
        <w:t xml:space="preserve"> </w:t>
      </w:r>
      <w:r w:rsidRPr="00DB1C2A">
        <w:rPr>
          <w:b w:val="0"/>
        </w:rPr>
        <w:t>out of designating a USA and receiving Digital Certificates are not excused from obligations under the ERCOT Protocols, other than the obligations required in this Section 16.12 regarding Digital Certificates.  Market Participants who opt</w:t>
      </w:r>
      <w:r w:rsidR="00DC3589" w:rsidRPr="00DB1C2A">
        <w:rPr>
          <w:b w:val="0"/>
        </w:rPr>
        <w:t xml:space="preserve"> </w:t>
      </w:r>
      <w:r w:rsidRPr="00DB1C2A">
        <w:rPr>
          <w:b w:val="0"/>
        </w:rPr>
        <w:t>out shall still be required to submit the Digital Certificate Audit Attestation (</w:t>
      </w:r>
      <w:r w:rsidRPr="00A675A9">
        <w:rPr>
          <w:b w:val="0"/>
        </w:rPr>
        <w:t>DCAA</w:t>
      </w:r>
      <w:r w:rsidRPr="00DB1C2A">
        <w:rPr>
          <w:b w:val="0"/>
        </w:rPr>
        <w:t xml:space="preserve">) required by paragraph (2) of </w:t>
      </w:r>
      <w:r w:rsidRPr="006F1E0B">
        <w:rPr>
          <w:b w:val="0"/>
        </w:rPr>
        <w:t>Section 16.12.3</w:t>
      </w:r>
      <w:r w:rsidRPr="00DB1C2A">
        <w:rPr>
          <w:b w:val="0"/>
        </w:rPr>
        <w:t>, Market Participant Audits of User Security Administrators and Digital Certificates, for the portion of the year, if any, during which they had a USA and Digital Certificate(s).</w:t>
      </w:r>
    </w:p>
    <w:p w14:paraId="372A3CFC" w14:textId="77777777" w:rsidR="00C2117B" w:rsidRPr="00F80DFA" w:rsidRDefault="00462B48" w:rsidP="00462B48">
      <w:pPr>
        <w:pStyle w:val="H2"/>
        <w:tabs>
          <w:tab w:val="clear" w:pos="900"/>
        </w:tabs>
        <w:spacing w:before="0"/>
        <w:ind w:left="720" w:hanging="720"/>
        <w:outlineLvl w:val="9"/>
        <w:rPr>
          <w:b w:val="0"/>
          <w:lang w:val="en-US"/>
        </w:rPr>
      </w:pPr>
      <w:r w:rsidRPr="00273115">
        <w:rPr>
          <w:b w:val="0"/>
        </w:rPr>
        <w:t>(</w:t>
      </w:r>
      <w:r>
        <w:rPr>
          <w:b w:val="0"/>
        </w:rPr>
        <w:t>6</w:t>
      </w:r>
      <w:r w:rsidRPr="00273115">
        <w:rPr>
          <w:b w:val="0"/>
        </w:rPr>
        <w:t>)</w:t>
      </w:r>
      <w:r w:rsidRPr="00273115">
        <w:rPr>
          <w:b w:val="0"/>
        </w:rPr>
        <w:tab/>
      </w:r>
      <w:r>
        <w:rPr>
          <w:b w:val="0"/>
        </w:rPr>
        <w:t xml:space="preserve">A </w:t>
      </w:r>
      <w:r w:rsidRPr="00414EA9">
        <w:rPr>
          <w:b w:val="0"/>
        </w:rPr>
        <w:t>Market Participant</w:t>
      </w:r>
      <w:r>
        <w:rPr>
          <w:b w:val="0"/>
        </w:rPr>
        <w:t xml:space="preserve"> </w:t>
      </w:r>
      <w:r w:rsidRPr="00273115">
        <w:rPr>
          <w:b w:val="0"/>
        </w:rPr>
        <w:t>that has been granted approval by ERCOT to opt</w:t>
      </w:r>
      <w:r>
        <w:rPr>
          <w:b w:val="0"/>
          <w:lang w:val="en-US"/>
        </w:rPr>
        <w:t xml:space="preserve"> </w:t>
      </w:r>
      <w:r w:rsidRPr="00273115">
        <w:rPr>
          <w:b w:val="0"/>
        </w:rPr>
        <w:t xml:space="preserve">out of designating a USA and receiving Digital Certificates </w:t>
      </w:r>
      <w:r>
        <w:rPr>
          <w:b w:val="0"/>
        </w:rPr>
        <w:t xml:space="preserve">will not have access to </w:t>
      </w:r>
      <w:r w:rsidRPr="00414EA9">
        <w:rPr>
          <w:b w:val="0"/>
        </w:rPr>
        <w:t xml:space="preserve">information </w:t>
      </w:r>
      <w:r>
        <w:rPr>
          <w:b w:val="0"/>
        </w:rPr>
        <w:t>that would ordinarily be retrievable with a</w:t>
      </w:r>
      <w:r w:rsidRPr="00414EA9">
        <w:rPr>
          <w:b w:val="0"/>
        </w:rPr>
        <w:t xml:space="preserve"> Digital Certificate.</w:t>
      </w:r>
      <w:r>
        <w:rPr>
          <w:b w:val="0"/>
        </w:rPr>
        <w:t xml:space="preserve">  </w:t>
      </w:r>
      <w:r w:rsidRPr="00273115">
        <w:rPr>
          <w:b w:val="0"/>
        </w:rPr>
        <w:t>A Market Participant that has been granted approval by ERCOT to opt</w:t>
      </w:r>
      <w:r>
        <w:rPr>
          <w:b w:val="0"/>
          <w:lang w:val="en-US"/>
        </w:rPr>
        <w:t xml:space="preserve"> </w:t>
      </w:r>
      <w:r w:rsidRPr="00273115">
        <w:rPr>
          <w:b w:val="0"/>
        </w:rPr>
        <w:t>out of designating a USA and receiving Digital Certificates may, at any time, cancel its opt-out status by submitting a</w:t>
      </w:r>
      <w:r>
        <w:rPr>
          <w:b w:val="0"/>
        </w:rPr>
        <w:t>n</w:t>
      </w:r>
      <w:r w:rsidRPr="00273115">
        <w:rPr>
          <w:b w:val="0"/>
        </w:rPr>
        <w:t xml:space="preserve"> NCI </w:t>
      </w:r>
      <w:r>
        <w:rPr>
          <w:b w:val="0"/>
        </w:rPr>
        <w:t>f</w:t>
      </w:r>
      <w:r w:rsidRPr="00273115">
        <w:rPr>
          <w:b w:val="0"/>
        </w:rPr>
        <w:t>orm (Section 23, Form E).</w:t>
      </w:r>
      <w:bookmarkEnd w:id="663"/>
    </w:p>
    <w:p w14:paraId="6A7269C2" w14:textId="77777777" w:rsidR="00FC1C5F" w:rsidRDefault="00727E32" w:rsidP="003E021A">
      <w:pPr>
        <w:pStyle w:val="H3"/>
      </w:pPr>
      <w:bookmarkStart w:id="664" w:name="_Toc390438995"/>
      <w:bookmarkStart w:id="665" w:name="_Toc405897706"/>
      <w:bookmarkStart w:id="666" w:name="_Toc415055798"/>
      <w:bookmarkStart w:id="667" w:name="_Toc415055924"/>
      <w:bookmarkStart w:id="668" w:name="_Toc415056023"/>
      <w:bookmarkStart w:id="669" w:name="_Toc415056123"/>
      <w:bookmarkStart w:id="670" w:name="_Toc70591667"/>
      <w:r>
        <w:t>16.12.1</w:t>
      </w:r>
      <w:r>
        <w:tab/>
        <w:t>USA Responsibilities and Qualifications for Digital Certificate Holders</w:t>
      </w:r>
      <w:bookmarkEnd w:id="664"/>
      <w:bookmarkEnd w:id="665"/>
      <w:bookmarkEnd w:id="666"/>
      <w:bookmarkEnd w:id="667"/>
      <w:bookmarkEnd w:id="668"/>
      <w:bookmarkEnd w:id="669"/>
      <w:bookmarkEnd w:id="670"/>
    </w:p>
    <w:p w14:paraId="42502BFE" w14:textId="77777777" w:rsidR="00FC1C5F" w:rsidRDefault="00853D39" w:rsidP="003E09AF">
      <w:pPr>
        <w:pStyle w:val="BodyText"/>
        <w:ind w:left="720" w:hanging="720"/>
      </w:pPr>
      <w:r>
        <w:t>(1)</w:t>
      </w:r>
      <w:r>
        <w:tab/>
      </w:r>
      <w:r w:rsidR="00727E32">
        <w:t>The USA and the Market Participant are responsible for the following:</w:t>
      </w:r>
    </w:p>
    <w:p w14:paraId="18B4740F" w14:textId="77777777" w:rsidR="00462B48" w:rsidRDefault="00462B48" w:rsidP="00462B48">
      <w:pPr>
        <w:pStyle w:val="List"/>
      </w:pPr>
      <w:r>
        <w:t>(a)</w:t>
      </w:r>
      <w:r>
        <w:tab/>
        <w:t>Requesting Digital Certificates for authorized Certificate Holders (either persons or programmatic interfaces) that the USA has qualified through an appropriate screening process requiring confirmation that the Certificate Holder is an employee or authorized agent (including third parties) of the Market Participant.  A Certificate Holder (including the USA) must be qualified as set forth below.  The Market Participant shall be liable for ensuring that each of its Certificate Holder(s) meets the requirements of (i) – (v) below.</w:t>
      </w:r>
    </w:p>
    <w:p w14:paraId="5DD5338C" w14:textId="77777777" w:rsidR="00462B48" w:rsidRDefault="00462B48" w:rsidP="00462B48">
      <w:pPr>
        <w:pStyle w:val="List2"/>
      </w:pPr>
      <w:r>
        <w:t>(i)</w:t>
      </w:r>
      <w:r>
        <w:tab/>
        <w:t xml:space="preserve">For any employee or authorized agent receiving a Digital Certificate, the Market Participant shall confirm that the employee or authorized agent satisfies reasonable background review sufficient for employment or contract with the Market Participant so as to reasonably limit threat(s) to ERCOT’s market or computer systems.  The Market Participant may not request that Digital Certificates be issued to any employee or authorized agent that it determines, after reasonable background review, poses a threat to ERCOT’s market or computer systems.  </w:t>
      </w:r>
    </w:p>
    <w:p w14:paraId="5727625E" w14:textId="77777777" w:rsidR="00462B48" w:rsidRDefault="00462B48" w:rsidP="00462B48">
      <w:pPr>
        <w:pStyle w:val="List2"/>
      </w:pPr>
      <w:r>
        <w:t>(ii)</w:t>
      </w:r>
      <w:r>
        <w:tab/>
        <w:t xml:space="preserve">The Certificate Holder is aware of the rules and restrictions relating to the use of Digital Certificates.  </w:t>
      </w:r>
    </w:p>
    <w:p w14:paraId="1CF58831" w14:textId="77777777" w:rsidR="00462B48" w:rsidRDefault="00462B48" w:rsidP="00462B48">
      <w:pPr>
        <w:pStyle w:val="List2"/>
        <w:rPr>
          <w:b/>
          <w:i/>
        </w:rPr>
      </w:pPr>
      <w:r>
        <w:t>(iii)</w:t>
      </w:r>
      <w:r>
        <w:tab/>
        <w:t xml:space="preserve">The Certificate Holder is eligible to review and receive technology and software under applicable export control laws and regulations.  ERCOT shall post links to such laws and regulations on the ERCOT website. </w:t>
      </w:r>
    </w:p>
    <w:p w14:paraId="127683B0" w14:textId="77777777" w:rsidR="00462B48" w:rsidRDefault="00462B48" w:rsidP="00462B48">
      <w:pPr>
        <w:pStyle w:val="List2"/>
      </w:pPr>
      <w:r>
        <w:lastRenderedPageBreak/>
        <w:t>(iv)</w:t>
      </w:r>
      <w:r>
        <w:tab/>
        <w:t xml:space="preserve">The Market Participant has conducted a reasonable review of the Certificate Holder and has confirmed that the Certificate Holder is not on any U.S. terrorist threat lists such as the Consolidated Screening List or the Federal Bureau of Investigation Most Wanted Terrorists List.  ERCOT will post links to relevant lists on the ERCOT website.  </w:t>
      </w:r>
    </w:p>
    <w:p w14:paraId="67A6C024" w14:textId="77777777" w:rsidR="00462B48" w:rsidRDefault="00462B48" w:rsidP="00462B48">
      <w:pPr>
        <w:pStyle w:val="List2"/>
      </w:pPr>
      <w:r>
        <w:t>(v)</w:t>
      </w:r>
      <w:r>
        <w:tab/>
        <w:t>The Certificate Holder does not violate the conditions of use specified by the software vendor that provides the Digital Certificates for the Market Participant’s use and provided to the Certificate Holder.  ERCOT will post links to relevant conditions of use on the ERCOT website</w:t>
      </w:r>
      <w:r w:rsidR="00DC3589">
        <w:t>.</w:t>
      </w:r>
    </w:p>
    <w:p w14:paraId="032610AE" w14:textId="77777777" w:rsidR="00462B48" w:rsidRDefault="00462B48" w:rsidP="00462B48">
      <w:pPr>
        <w:pStyle w:val="List"/>
      </w:pPr>
      <w:r>
        <w:t>(b)</w:t>
      </w:r>
      <w:r>
        <w:tab/>
        <w:t xml:space="preserve">Requesting revocation of Digital Certificates.  </w:t>
      </w:r>
      <w:r w:rsidRPr="00ED1058">
        <w:t xml:space="preserve">The Market Participant or USA shall request revocation </w:t>
      </w:r>
      <w:r>
        <w:t xml:space="preserve">of Digital Certificates </w:t>
      </w:r>
      <w:r w:rsidRPr="00ED1058">
        <w:t xml:space="preserve">by proceeding with the ERCOT </w:t>
      </w:r>
      <w:r>
        <w:t>Digital Certificate</w:t>
      </w:r>
      <w:r w:rsidRPr="00ED1058">
        <w:t xml:space="preserve"> revocation process</w:t>
      </w:r>
      <w:r>
        <w:t xml:space="preserve"> as described in the Digital Certificate User Guide</w:t>
      </w:r>
      <w:r w:rsidRPr="00ED1058">
        <w:t xml:space="preserve">. </w:t>
      </w:r>
      <w:r>
        <w:t xml:space="preserve"> The Market Participant or USA shall request revocation of a Digital Certificate under any of the following conditions:</w:t>
      </w:r>
    </w:p>
    <w:p w14:paraId="665A9064" w14:textId="77777777" w:rsidR="00462B48" w:rsidRDefault="00462B48" w:rsidP="00462B48">
      <w:pPr>
        <w:pStyle w:val="List2"/>
      </w:pPr>
      <w:r>
        <w:t>(i)</w:t>
      </w:r>
      <w:r>
        <w:tab/>
        <w:t>As soon as possible but no later than three Business Days after:</w:t>
      </w:r>
    </w:p>
    <w:p w14:paraId="3B623A7A" w14:textId="77777777" w:rsidR="00462B48" w:rsidRDefault="00462B48" w:rsidP="00462B48">
      <w:pPr>
        <w:pStyle w:val="List2"/>
        <w:ind w:left="2880"/>
      </w:pPr>
      <w:r>
        <w:t>(A)</w:t>
      </w:r>
      <w:r>
        <w:tab/>
        <w:t>A Certificate Holder ceases employment with the Market Participant; or</w:t>
      </w:r>
    </w:p>
    <w:p w14:paraId="426A2540" w14:textId="77777777" w:rsidR="00462B48" w:rsidRDefault="00462B48" w:rsidP="00462B48">
      <w:pPr>
        <w:pStyle w:val="List2"/>
        <w:ind w:left="2880"/>
      </w:pPr>
      <w:r>
        <w:t>(B)</w:t>
      </w:r>
      <w:r>
        <w:tab/>
        <w:t xml:space="preserve">The Market Participant becomes aware that a Certificate Holder is changing job functions (pursuant to a reasonable process for identifying when job function changes occur) so that the Certificate Holder no longer needs the Digital Certificate; </w:t>
      </w:r>
    </w:p>
    <w:p w14:paraId="7D23D44C" w14:textId="77777777" w:rsidR="00462B48" w:rsidRDefault="00462B48" w:rsidP="00462B48">
      <w:pPr>
        <w:pStyle w:val="List2"/>
      </w:pPr>
      <w:r>
        <w:t>(ii)</w:t>
      </w:r>
      <w:r>
        <w:tab/>
        <w:t xml:space="preserve">As soon as possible, but no later than five Business Days, after the Market Participant becomes aware (pursuant to a reasonable process for identifying violations) that the Certificate Holder has violated any of the following conditions of use of a Digital Certificate: </w:t>
      </w:r>
    </w:p>
    <w:p w14:paraId="629475D2" w14:textId="77777777" w:rsidR="00462B48" w:rsidRDefault="00462B48" w:rsidP="00462B48">
      <w:pPr>
        <w:pStyle w:val="List3"/>
      </w:pPr>
      <w:r>
        <w:t>(A)</w:t>
      </w:r>
      <w:r>
        <w:tab/>
        <w:t>Violating the requirements if any of paragraph (1)(a)(i) – (v) above;</w:t>
      </w:r>
    </w:p>
    <w:p w14:paraId="7478F033" w14:textId="77777777" w:rsidR="00462B48" w:rsidRDefault="00462B48" w:rsidP="00462B48">
      <w:pPr>
        <w:pStyle w:val="List3"/>
      </w:pPr>
      <w:r>
        <w:t>(B)</w:t>
      </w:r>
      <w:r>
        <w:tab/>
        <w:t xml:space="preserve">Using the Digital Certificate for any unauthorized purpose; or </w:t>
      </w:r>
    </w:p>
    <w:p w14:paraId="5EA3B87B" w14:textId="77777777" w:rsidR="00462B48" w:rsidRDefault="00462B48" w:rsidP="00462B48">
      <w:pPr>
        <w:pStyle w:val="List3"/>
      </w:pPr>
      <w:r>
        <w:t>(C)</w:t>
      </w:r>
      <w:r>
        <w:tab/>
        <w:t xml:space="preserve">Allowing any person other than the Certificate Holder to use the Digital Certificate. </w:t>
      </w:r>
    </w:p>
    <w:p w14:paraId="49E92C83" w14:textId="77777777" w:rsidR="00FC1C5F" w:rsidRDefault="00727E32" w:rsidP="003E021A">
      <w:pPr>
        <w:pStyle w:val="List"/>
      </w:pPr>
      <w:r>
        <w:t>(c)</w:t>
      </w:r>
      <w:r>
        <w:tab/>
        <w:t>Managing the level of access for each Certificate Holder by assigning and maintaining Digital Certificate roles for each authorized user in accordance with the process set forth in</w:t>
      </w:r>
      <w:r w:rsidR="00B96953">
        <w:t xml:space="preserve"> ERCOT’s Digital Certificate user guide.</w:t>
      </w:r>
    </w:p>
    <w:p w14:paraId="115D71AA" w14:textId="77777777" w:rsidR="00FC1C5F" w:rsidRDefault="00727E32">
      <w:pPr>
        <w:pStyle w:val="List"/>
        <w:tabs>
          <w:tab w:val="left" w:pos="720"/>
          <w:tab w:val="left" w:pos="1440"/>
          <w:tab w:val="left" w:pos="2160"/>
          <w:tab w:val="left" w:pos="2880"/>
          <w:tab w:val="left" w:pos="3600"/>
          <w:tab w:val="left" w:pos="4320"/>
          <w:tab w:val="left" w:pos="5040"/>
          <w:tab w:val="left" w:pos="5760"/>
          <w:tab w:val="left" w:pos="8112"/>
        </w:tabs>
      </w:pPr>
      <w:r>
        <w:t>(d)</w:t>
      </w:r>
      <w:r>
        <w:tab/>
        <w:t>Requesting annual renewal of Digital Certificates.</w:t>
      </w:r>
      <w:r>
        <w:tab/>
      </w:r>
    </w:p>
    <w:p w14:paraId="48DE3297" w14:textId="77777777" w:rsidR="00FC1C5F" w:rsidRDefault="00727E32">
      <w:pPr>
        <w:pStyle w:val="List"/>
      </w:pPr>
      <w:r>
        <w:t>(e)</w:t>
      </w:r>
      <w:r>
        <w:tab/>
        <w:t xml:space="preserve">If needed, issuing Digital Certificates for use by electronic systems not limited to servers. </w:t>
      </w:r>
    </w:p>
    <w:p w14:paraId="0F47AEAA" w14:textId="77777777" w:rsidR="00FC1C5F" w:rsidRDefault="00727E32">
      <w:pPr>
        <w:pStyle w:val="List"/>
        <w:numPr>
          <w:ilvl w:val="0"/>
          <w:numId w:val="6"/>
        </w:numPr>
        <w:tabs>
          <w:tab w:val="clear" w:pos="1080"/>
        </w:tabs>
        <w:ind w:left="1440" w:hanging="720"/>
      </w:pPr>
      <w:r>
        <w:lastRenderedPageBreak/>
        <w:t xml:space="preserve">Maintaining the integrity of the administration of Digital Certificates through consistent, sound and reasonable business practices. </w:t>
      </w:r>
    </w:p>
    <w:p w14:paraId="4C046123" w14:textId="77777777" w:rsidR="00FC1C5F" w:rsidRDefault="00727E32">
      <w:pPr>
        <w:pStyle w:val="H3"/>
      </w:pPr>
      <w:bookmarkStart w:id="671" w:name="_Toc390438996"/>
      <w:bookmarkStart w:id="672" w:name="_Toc405897707"/>
      <w:bookmarkStart w:id="673" w:name="_Toc415055799"/>
      <w:bookmarkStart w:id="674" w:name="_Toc415055925"/>
      <w:bookmarkStart w:id="675" w:name="_Toc415056024"/>
      <w:bookmarkStart w:id="676" w:name="_Toc415056124"/>
      <w:bookmarkStart w:id="677" w:name="_Toc70591668"/>
      <w:r>
        <w:t>16.12.2</w:t>
      </w:r>
      <w:r>
        <w:tab/>
        <w:t>Requirements for Use of Digital Certificates</w:t>
      </w:r>
      <w:bookmarkEnd w:id="671"/>
      <w:bookmarkEnd w:id="672"/>
      <w:bookmarkEnd w:id="673"/>
      <w:bookmarkEnd w:id="674"/>
      <w:bookmarkEnd w:id="675"/>
      <w:bookmarkEnd w:id="676"/>
      <w:bookmarkEnd w:id="677"/>
    </w:p>
    <w:p w14:paraId="5F0F4A17" w14:textId="77777777" w:rsidR="00FC1C5F" w:rsidRDefault="00853D39">
      <w:pPr>
        <w:pStyle w:val="List"/>
        <w:ind w:left="720"/>
      </w:pPr>
      <w:r>
        <w:t>(1)</w:t>
      </w:r>
      <w:r>
        <w:tab/>
      </w:r>
      <w:r w:rsidR="00727E32">
        <w:t>Use of Digital Certificates must comply with the following:</w:t>
      </w:r>
    </w:p>
    <w:p w14:paraId="689A2E0B" w14:textId="77777777" w:rsidR="00FC1C5F" w:rsidRDefault="00727E32">
      <w:pPr>
        <w:pStyle w:val="List"/>
      </w:pPr>
      <w:r>
        <w:t>(a)</w:t>
      </w:r>
      <w:r>
        <w:tab/>
        <w:t xml:space="preserve">A Digital Certificate shall be used by only one individual and may not be shared.  If multiple employees or authorized agents share a computer and each requires a Digital Certificate, the </w:t>
      </w:r>
      <w:smartTag w:uri="urn:schemas-microsoft-com:office:smarttags" w:element="place">
        <w:smartTag w:uri="urn:schemas-microsoft-com:office:smarttags" w:element="country-region">
          <w:r>
            <w:t>USA</w:t>
          </w:r>
        </w:smartTag>
      </w:smartTag>
      <w:r>
        <w:t xml:space="preserve"> shall request separate Digital Certificates for each. Multiple Digital Certificates may be installed and managed on a single computer.  ERCOT shall include instructions on how to manage multiple Digital Certificates in</w:t>
      </w:r>
      <w:r w:rsidR="00B96953">
        <w:t xml:space="preserve"> the Digital Certificate user guide.</w:t>
      </w:r>
    </w:p>
    <w:p w14:paraId="7DE54617" w14:textId="77777777" w:rsidR="00B96953" w:rsidRDefault="00727E32">
      <w:pPr>
        <w:pStyle w:val="List"/>
      </w:pPr>
      <w:r>
        <w:t>(b)</w:t>
      </w:r>
      <w:r>
        <w:tab/>
      </w:r>
      <w:r w:rsidR="00B96953">
        <w:t>A Digital Certificate may not be traded or sold.</w:t>
      </w:r>
    </w:p>
    <w:p w14:paraId="5FBEE859" w14:textId="77777777" w:rsidR="00FC1C5F" w:rsidRDefault="00B96953">
      <w:pPr>
        <w:pStyle w:val="List"/>
      </w:pPr>
      <w:r>
        <w:t>(c)</w:t>
      </w:r>
      <w:r>
        <w:tab/>
      </w:r>
      <w:r w:rsidR="00727E32">
        <w:t>Electronic equipment on which the Digital Certificate resides must be physically and electronically secured in a reasonable manner to prevent improper use of the Digital Certificate.</w:t>
      </w:r>
    </w:p>
    <w:p w14:paraId="39E4923F" w14:textId="77777777" w:rsidR="00FC1C5F" w:rsidRDefault="00727E32">
      <w:pPr>
        <w:pStyle w:val="List"/>
      </w:pPr>
      <w:r>
        <w:t>(</w:t>
      </w:r>
      <w:r w:rsidR="00B96953">
        <w:t>d</w:t>
      </w:r>
      <w:r>
        <w:t>)</w:t>
      </w:r>
      <w:r>
        <w:tab/>
        <w:t>The Market Participant is wholly responsible for any use of Digital Certificates issued by its USA.</w:t>
      </w:r>
    </w:p>
    <w:p w14:paraId="10CB54A7" w14:textId="77777777" w:rsidR="00FC1C5F" w:rsidRDefault="00727E32">
      <w:pPr>
        <w:pStyle w:val="H3"/>
      </w:pPr>
      <w:bookmarkStart w:id="678" w:name="_Toc390438997"/>
      <w:bookmarkStart w:id="679" w:name="_Toc405897708"/>
      <w:bookmarkStart w:id="680" w:name="_Toc415055800"/>
      <w:bookmarkStart w:id="681" w:name="_Toc415055926"/>
      <w:bookmarkStart w:id="682" w:name="_Toc415056025"/>
      <w:bookmarkStart w:id="683" w:name="_Toc415056125"/>
      <w:bookmarkStart w:id="684" w:name="_Toc70591669"/>
      <w:r>
        <w:t>16.12.3</w:t>
      </w:r>
      <w:r>
        <w:tab/>
        <w:t>Market Participant Audits of User Security Administrators and Digital Certificates</w:t>
      </w:r>
      <w:bookmarkEnd w:id="678"/>
      <w:bookmarkEnd w:id="679"/>
      <w:bookmarkEnd w:id="680"/>
      <w:bookmarkEnd w:id="681"/>
      <w:bookmarkEnd w:id="682"/>
      <w:bookmarkEnd w:id="683"/>
      <w:bookmarkEnd w:id="684"/>
    </w:p>
    <w:p w14:paraId="637B555F" w14:textId="77777777" w:rsidR="00462B48" w:rsidRDefault="00462B48" w:rsidP="00462B48">
      <w:pPr>
        <w:pStyle w:val="BodyText"/>
        <w:ind w:left="720" w:hanging="720"/>
      </w:pPr>
      <w:r>
        <w:t>(1)</w:t>
      </w:r>
      <w:r>
        <w:tab/>
        <w:t>During September of each year, each Market Participant that has been issued any Digital Certificates shall generate a list of its registered USA and Certificate Holders.  The Market Participant, through its USA or another authorized third party, shall perform an audit by reviewing the list and noting any inconsistencies or instances of non-compliance (including, for example, any Certificate Holder that may have changed job functions and no longer requires the Digital Certificate).  If the Market Participant or its USA or the authorized third party identifies discrepancies, the USA shall use the process for managing Digital Certificates as included in ERCOT’s Digital Certificate user guide to rectify the discrepancy. The audit must, at a minimum confirm that:</w:t>
      </w:r>
    </w:p>
    <w:p w14:paraId="0D86FB07" w14:textId="77777777" w:rsidR="00462B48" w:rsidRDefault="00462B48" w:rsidP="00462B48">
      <w:pPr>
        <w:pStyle w:val="List"/>
      </w:pPr>
      <w:r>
        <w:t>(a)</w:t>
      </w:r>
      <w:r>
        <w:tab/>
        <w:t xml:space="preserve">The Market Participant and each listed USA and Certificate Holder meet the applicable requirements of paragraph (1)(a) of </w:t>
      </w:r>
      <w:r w:rsidRPr="0085242C">
        <w:t>Section 16.12.1</w:t>
      </w:r>
      <w:r>
        <w:t>, USA Responsibilities and Qualifications for Digital Certificate Holders, and</w:t>
      </w:r>
      <w:r w:rsidRPr="00FD3C2B">
        <w:rPr>
          <w:szCs w:val="24"/>
        </w:rPr>
        <w:t xml:space="preserve"> </w:t>
      </w:r>
      <w:r>
        <w:rPr>
          <w:szCs w:val="24"/>
        </w:rPr>
        <w:t>are not subject to any of the conditions that would require revocation as described in paragraph (1)(b) of Section 16.12.1</w:t>
      </w:r>
      <w:r>
        <w:t xml:space="preserve">;  </w:t>
      </w:r>
    </w:p>
    <w:p w14:paraId="0E58E309" w14:textId="77777777" w:rsidR="00462B48" w:rsidRDefault="00462B48" w:rsidP="00462B48">
      <w:pPr>
        <w:pStyle w:val="List"/>
      </w:pPr>
      <w:r>
        <w:t>(b)</w:t>
      </w:r>
      <w:r>
        <w:tab/>
        <w:t xml:space="preserve">Each listed USA and Certificate Holder is currently employed by or is an authorized agent contracted with the Market Participant; </w:t>
      </w:r>
    </w:p>
    <w:p w14:paraId="030A792F" w14:textId="77777777" w:rsidR="00462B48" w:rsidRDefault="00462B48" w:rsidP="00462B48">
      <w:pPr>
        <w:pStyle w:val="List"/>
      </w:pPr>
      <w:r>
        <w:t>(c)</w:t>
      </w:r>
      <w:r>
        <w:tab/>
        <w:t xml:space="preserve">The Market Participant has verified that the listed USA is authorized to be the USA; </w:t>
      </w:r>
    </w:p>
    <w:p w14:paraId="43D7BA4B" w14:textId="77777777" w:rsidR="00462B48" w:rsidRDefault="00462B48" w:rsidP="00462B48">
      <w:pPr>
        <w:pStyle w:val="List"/>
      </w:pPr>
      <w:r>
        <w:lastRenderedPageBreak/>
        <w:t>(d)</w:t>
      </w:r>
      <w:r>
        <w:tab/>
        <w:t>Each Certificate Holder is authorized to retain and use the Digital Certificate; and</w:t>
      </w:r>
    </w:p>
    <w:p w14:paraId="4612AE42" w14:textId="77777777" w:rsidR="00462B48" w:rsidRDefault="00462B48" w:rsidP="00462B48">
      <w:pPr>
        <w:pStyle w:val="List"/>
      </w:pPr>
      <w:r>
        <w:t>(e)</w:t>
      </w:r>
      <w:r>
        <w:tab/>
        <w:t>Each listed Certificate Holder needs the Digital Certificate to perform his or her job functions.</w:t>
      </w:r>
    </w:p>
    <w:p w14:paraId="55B3F0BE" w14:textId="77777777" w:rsidR="00462B48" w:rsidRDefault="00462B48" w:rsidP="00462B48">
      <w:pPr>
        <w:pStyle w:val="ListIntroduction"/>
        <w:ind w:left="720" w:hanging="720"/>
      </w:pPr>
      <w:r>
        <w:t>(2)</w:t>
      </w:r>
      <w:r>
        <w:tab/>
        <w:t>By October 1 of each year, a Market Participant shall submit to ERCOT a DCAA</w:t>
      </w:r>
      <w:r w:rsidRPr="006D1846">
        <w:t xml:space="preserve"> </w:t>
      </w:r>
      <w:r>
        <w:t xml:space="preserve">(as provided for in </w:t>
      </w:r>
      <w:r w:rsidRPr="0085242C">
        <w:t>Section 23, Form L</w:t>
      </w:r>
      <w:r>
        <w:t>,</w:t>
      </w:r>
      <w:r w:rsidRPr="006D1846">
        <w:t xml:space="preserve"> </w:t>
      </w:r>
      <w:r>
        <w:t>Digital Certificate Audit Attestation</w:t>
      </w:r>
      <w:r w:rsidRPr="00F80DFA">
        <w:t>)</w:t>
      </w:r>
      <w:r>
        <w:t xml:space="preserve"> from </w:t>
      </w:r>
      <w:r>
        <w:rPr>
          <w:iCs w:val="0"/>
        </w:rPr>
        <w:t xml:space="preserve">an individual who: (a) is </w:t>
      </w:r>
      <w:r>
        <w:t xml:space="preserve">an officer, executive, or employee of the Market Participant or of an Affiliate of the Market Participant; and (b) has authority to bind the Market Participant.  The attestation shall certify that: </w:t>
      </w:r>
    </w:p>
    <w:p w14:paraId="73278FE6" w14:textId="77777777" w:rsidR="00462B48" w:rsidRDefault="00462B48" w:rsidP="00462B48">
      <w:pPr>
        <w:pStyle w:val="List"/>
      </w:pPr>
      <w:r>
        <w:t>(a)</w:t>
      </w:r>
      <w:r>
        <w:tab/>
        <w:t>The Market Participant has complied with the requirements of the audit;</w:t>
      </w:r>
    </w:p>
    <w:p w14:paraId="4FC85374" w14:textId="77777777" w:rsidR="00462B48" w:rsidRDefault="00462B48" w:rsidP="00462B48">
      <w:pPr>
        <w:pStyle w:val="List"/>
      </w:pPr>
      <w:r>
        <w:t>(b)</w:t>
      </w:r>
      <w:r>
        <w:tab/>
        <w:t xml:space="preserve">The Market Participant has verified that all assigned Digital Certificates belong to Certificate Holders authorized by the Market Participant’s USA.  If the Certificate Holders no longer meet the criteria in paragraph (1)(a) of </w:t>
      </w:r>
      <w:r w:rsidRPr="00ED741E">
        <w:t>Section 16.12.1</w:t>
      </w:r>
      <w:r>
        <w:t>, the USA shall inform ERCOT as described in paragraph (1)(b) of Section 16.12.1 and note the findings in the response; and</w:t>
      </w:r>
    </w:p>
    <w:p w14:paraId="53366E5E" w14:textId="77777777" w:rsidR="00462B48" w:rsidRDefault="00462B48" w:rsidP="00462B48">
      <w:pPr>
        <w:pStyle w:val="List"/>
      </w:pPr>
      <w:r>
        <w:t>(c)</w:t>
      </w:r>
      <w:r>
        <w:tab/>
        <w:t>The USA and all Certificate Holders have been qualified through a reasonable screening process and background review required by paragraph</w:t>
      </w:r>
      <w:r w:rsidR="00DC3589">
        <w:t>s</w:t>
      </w:r>
      <w:r>
        <w:t xml:space="preserve"> (1)(a)(i)-(v) of Section 16.12.1. </w:t>
      </w:r>
    </w:p>
    <w:p w14:paraId="6A34F532" w14:textId="77777777" w:rsidR="00FC1C5F" w:rsidRDefault="00727E32" w:rsidP="003E021A">
      <w:pPr>
        <w:pStyle w:val="List"/>
        <w:ind w:left="720"/>
      </w:pPr>
      <w:r>
        <w:t>(3)</w:t>
      </w:r>
      <w:r>
        <w:tab/>
        <w:t xml:space="preserve">If a Market Participant cannot comply with the October 1 deadline at the time this Section first applies to the Market Participant, the Market Participant shall request an extension of the deadline by providing ERCOT a written explanation of why it cannot meet the deadline.  The explanation must include a plan and timeline for compliance not to exceed six months from the original deadline. </w:t>
      </w:r>
      <w:r w:rsidR="004A65D8">
        <w:t xml:space="preserve"> </w:t>
      </w:r>
      <w:r>
        <w:t xml:space="preserve">ERCOT shall review that extension request and notify the Market Participant if the request is approved or denied.  ERCOT may approve no more than one extension request per Market Participant.  </w:t>
      </w:r>
    </w:p>
    <w:p w14:paraId="0CAF7255" w14:textId="77777777" w:rsidR="00FC1C5F" w:rsidRDefault="00727E32" w:rsidP="00355D7A">
      <w:pPr>
        <w:pStyle w:val="List"/>
        <w:ind w:left="720"/>
      </w:pPr>
      <w:r>
        <w:t>(4)</w:t>
      </w:r>
      <w:r>
        <w:tab/>
      </w:r>
      <w:r w:rsidR="00462B48" w:rsidRPr="00C92875">
        <w:t>By December 1 of each year, ERCOT shall acknowledge receipt of each DCAA audit received and indicate whether any required information is missing from the DCAA.</w:t>
      </w:r>
    </w:p>
    <w:p w14:paraId="41C1E153" w14:textId="77777777" w:rsidR="00FC1C5F" w:rsidRDefault="00727E32" w:rsidP="003E021A">
      <w:pPr>
        <w:pStyle w:val="BodyText"/>
        <w:spacing w:before="240"/>
        <w:rPr>
          <w:b/>
          <w:i/>
        </w:rPr>
      </w:pPr>
      <w:r>
        <w:rPr>
          <w:b/>
          <w:i/>
        </w:rPr>
        <w:t>16.12.4</w:t>
      </w:r>
      <w:r>
        <w:rPr>
          <w:b/>
          <w:i/>
        </w:rPr>
        <w:tab/>
        <w:t>ERCOT Audit - Consequences of Non-compliance</w:t>
      </w:r>
    </w:p>
    <w:p w14:paraId="45EDFAB4" w14:textId="77777777" w:rsidR="00462B48" w:rsidRDefault="00462B48" w:rsidP="00462B48">
      <w:pPr>
        <w:spacing w:after="240"/>
        <w:ind w:left="720" w:hanging="720"/>
      </w:pPr>
      <w:r>
        <w:t>(1)</w:t>
      </w:r>
      <w:r>
        <w:tab/>
        <w:t xml:space="preserve">ERCOT, or its designee, shall review the DCAA submitted under </w:t>
      </w:r>
      <w:r w:rsidRPr="0085242C">
        <w:t>Section 16.12.3</w:t>
      </w:r>
      <w:r>
        <w:t xml:space="preserve">, Market Participant Audits of User Security </w:t>
      </w:r>
      <w:r w:rsidR="00DC3589">
        <w:t>Administrators</w:t>
      </w:r>
      <w:r>
        <w:t xml:space="preserve"> and Digital Certificates, and may audit the Market Participant for compliance with the provisions of this </w:t>
      </w:r>
      <w:r w:rsidRPr="00ED741E">
        <w:t>Section 16.12</w:t>
      </w:r>
      <w:r>
        <w:t xml:space="preserve">, User Security Administrator and Digital Certificates. The Market Participant shall cooperate fully with ERCOT in such audits.  </w:t>
      </w:r>
    </w:p>
    <w:p w14:paraId="55B7A527" w14:textId="77777777" w:rsidR="00462B48" w:rsidRDefault="00462B48" w:rsidP="00462B48">
      <w:pPr>
        <w:spacing w:after="240"/>
        <w:ind w:left="720" w:hanging="720"/>
      </w:pPr>
      <w:r>
        <w:t>(2)</w:t>
      </w:r>
      <w:r>
        <w:tab/>
        <w:t xml:space="preserve">On or about December 15 of each year, ERCOT shall report to the Public Utility Commission of Texas (PUCT) all Market Participants failing to properly perform and/or submit complete DCAA(s) as described in Section 16.12.3 or non-compliance with Section 16.12.3.  </w:t>
      </w:r>
    </w:p>
    <w:p w14:paraId="0147BA3D" w14:textId="77777777" w:rsidR="00462B48" w:rsidRDefault="00462B48" w:rsidP="00462B48">
      <w:pPr>
        <w:spacing w:after="240"/>
        <w:ind w:left="720" w:hanging="720"/>
      </w:pPr>
      <w:r>
        <w:lastRenderedPageBreak/>
        <w:t>(3)</w:t>
      </w:r>
      <w:r>
        <w:tab/>
        <w:t>ERCOT, after providing notice to the Market Participant and PUCT Staff, may disqualify the Market Participant’s USA and/or revoke any or all Digital Certificates assigned to the Market Participant if:</w:t>
      </w:r>
    </w:p>
    <w:p w14:paraId="37C06D4F" w14:textId="77777777" w:rsidR="00462B48" w:rsidRDefault="00462B48" w:rsidP="00462B48">
      <w:pPr>
        <w:pStyle w:val="List"/>
      </w:pPr>
      <w:r>
        <w:t>(a)</w:t>
      </w:r>
      <w:r>
        <w:tab/>
        <w:t xml:space="preserve">The Market Participant does not properly and timely perform the audit; </w:t>
      </w:r>
    </w:p>
    <w:p w14:paraId="6C2E3D8C" w14:textId="77777777" w:rsidR="00462B48" w:rsidRDefault="00462B48" w:rsidP="00462B48">
      <w:pPr>
        <w:pStyle w:val="List"/>
      </w:pPr>
      <w:r>
        <w:t>(b)</w:t>
      </w:r>
      <w:r>
        <w:tab/>
        <w:t xml:space="preserve">ERCOT discovers non-compliance; or </w:t>
      </w:r>
    </w:p>
    <w:p w14:paraId="44FC24F6" w14:textId="77777777" w:rsidR="00462B48" w:rsidRDefault="00462B48" w:rsidP="00462B48">
      <w:pPr>
        <w:pStyle w:val="List"/>
      </w:pPr>
      <w:r>
        <w:t>(c)</w:t>
      </w:r>
      <w:r>
        <w:tab/>
        <w:t xml:space="preserve">The Market Participant does not timely request revocation of its Digital Certificates for unauthorized Certificate Holders. </w:t>
      </w:r>
    </w:p>
    <w:p w14:paraId="1822CA03" w14:textId="77777777" w:rsidR="00462B48" w:rsidRDefault="00462B48" w:rsidP="00462B48">
      <w:pPr>
        <w:pStyle w:val="ListIntroduction"/>
        <w:ind w:left="720" w:hanging="720"/>
      </w:pPr>
      <w:r>
        <w:t>(4)</w:t>
      </w:r>
      <w:r>
        <w:tab/>
        <w:t>ERCOT’s decision to disqualify a Market Participant’s USA or revoke a Market Participant’s Digital Certificates as described above is subject to the following:</w:t>
      </w:r>
    </w:p>
    <w:p w14:paraId="09AC8400" w14:textId="77777777" w:rsidR="00462B48" w:rsidRDefault="00462B48" w:rsidP="00462B48">
      <w:pPr>
        <w:pStyle w:val="List"/>
      </w:pPr>
      <w:r>
        <w:t xml:space="preserve">(a) </w:t>
      </w:r>
      <w:r>
        <w:tab/>
        <w:t>A Market Participant’s Digital Certificates may not be revoked unless the Market Participant is given a reasonable opportunity to work with ERCOT to resolve the reason for revocation;</w:t>
      </w:r>
    </w:p>
    <w:p w14:paraId="3A509C3D" w14:textId="77777777" w:rsidR="00462B48" w:rsidRDefault="00462B48" w:rsidP="00462B48">
      <w:pPr>
        <w:spacing w:after="240"/>
        <w:ind w:left="1440" w:hanging="720"/>
      </w:pPr>
      <w:r>
        <w:t xml:space="preserve">(b) </w:t>
      </w:r>
      <w:r>
        <w:tab/>
        <w:t>A Market Participant’s USA may not be disqualified unless it is given a reasonable opportunity to authorize a new USA and assign new Digital Certificates as necessary to prevent disruption of the Market Participant’s business; and</w:t>
      </w:r>
    </w:p>
    <w:p w14:paraId="41869864" w14:textId="77777777" w:rsidR="00462B48" w:rsidRDefault="00462B48" w:rsidP="00462B48">
      <w:pPr>
        <w:spacing w:after="240"/>
        <w:ind w:left="1440" w:hanging="720"/>
      </w:pPr>
      <w:r>
        <w:t xml:space="preserve">(c) </w:t>
      </w:r>
      <w:r>
        <w:tab/>
        <w:t>A Market Participant may dispute ERCOT’s decision to disqualify the Market Participant’s USA and/or revoke its Digital Certificates</w:t>
      </w:r>
      <w:r w:rsidRPr="00AA58F9">
        <w:t xml:space="preserve"> </w:t>
      </w:r>
      <w:r>
        <w:t>through the Alternative Dispute Resolution (</w:t>
      </w:r>
      <w:r w:rsidRPr="00A65B06">
        <w:t>ADR</w:t>
      </w:r>
      <w:r>
        <w:t xml:space="preserve">) Procedure in accordance with </w:t>
      </w:r>
      <w:r w:rsidRPr="0085242C">
        <w:t>Section 20</w:t>
      </w:r>
      <w:r>
        <w:t xml:space="preserve">, Alternative Dispute Resolution Procedure, and may appeal the result of the ADR process to the PUCT as provided in Section 20. </w:t>
      </w:r>
    </w:p>
    <w:p w14:paraId="63911210" w14:textId="77777777" w:rsidR="008B5EFD" w:rsidRPr="00C83EFD" w:rsidRDefault="008B5EFD" w:rsidP="003E021A">
      <w:pPr>
        <w:keepNext/>
        <w:tabs>
          <w:tab w:val="left" w:pos="900"/>
        </w:tabs>
        <w:spacing w:before="240" w:after="240"/>
        <w:ind w:left="900" w:hanging="900"/>
        <w:outlineLvl w:val="1"/>
        <w:rPr>
          <w:b/>
        </w:rPr>
      </w:pPr>
      <w:bookmarkStart w:id="685" w:name="_Toc390438998"/>
      <w:bookmarkStart w:id="686" w:name="_Toc405897709"/>
      <w:bookmarkStart w:id="687" w:name="_Toc415055801"/>
      <w:bookmarkStart w:id="688" w:name="_Toc415055927"/>
      <w:bookmarkStart w:id="689" w:name="_Toc415056026"/>
      <w:bookmarkStart w:id="690" w:name="_Toc415056126"/>
      <w:bookmarkStart w:id="691" w:name="_Toc70591670"/>
      <w:r w:rsidRPr="00C83EFD">
        <w:rPr>
          <w:b/>
        </w:rPr>
        <w:t>16.13</w:t>
      </w:r>
      <w:r w:rsidRPr="00C83EFD">
        <w:rPr>
          <w:b/>
        </w:rPr>
        <w:tab/>
        <w:t>Registration of Emergency Response Service Resources</w:t>
      </w:r>
      <w:bookmarkEnd w:id="685"/>
      <w:bookmarkEnd w:id="686"/>
      <w:bookmarkEnd w:id="687"/>
      <w:bookmarkEnd w:id="688"/>
      <w:bookmarkEnd w:id="689"/>
      <w:bookmarkEnd w:id="690"/>
      <w:bookmarkEnd w:id="691"/>
    </w:p>
    <w:p w14:paraId="4F6ED291" w14:textId="77777777" w:rsidR="00FC1C5F" w:rsidRDefault="00D20B3F" w:rsidP="003E09AF">
      <w:pPr>
        <w:pStyle w:val="BodyText"/>
        <w:ind w:left="720" w:hanging="720"/>
      </w:pPr>
      <w:r>
        <w:t>(1)</w:t>
      </w:r>
      <w:r>
        <w:tab/>
      </w:r>
      <w:r w:rsidR="008B5EFD" w:rsidRPr="008B5EFD">
        <w:t>An Emergency Response Service (ERS) Resource shall be deemed to have registered with ERCOT when its duly authorized Qualified Scheduling Entity (QSE) submits an offer on behalf of the Resource in accordance with Section 3.14.3.1, Emergency Response Service Procurement.</w:t>
      </w:r>
    </w:p>
    <w:p w14:paraId="6990EDF3" w14:textId="77777777" w:rsidR="008C0A8E" w:rsidRDefault="002B3DDF" w:rsidP="008B5EFD">
      <w:pPr>
        <w:pStyle w:val="H2"/>
        <w:ind w:left="907" w:hanging="907"/>
      </w:pPr>
      <w:bookmarkStart w:id="692" w:name="_Toc390438999"/>
      <w:bookmarkStart w:id="693" w:name="_Toc405897710"/>
      <w:bookmarkStart w:id="694" w:name="_Toc415055802"/>
      <w:bookmarkStart w:id="695" w:name="_Toc415055928"/>
      <w:bookmarkStart w:id="696" w:name="_Toc415056027"/>
      <w:bookmarkStart w:id="697" w:name="_Toc415056127"/>
      <w:bookmarkStart w:id="698" w:name="_Toc70591671"/>
      <w:r>
        <w:t>16.14</w:t>
      </w:r>
      <w:r>
        <w:tab/>
        <w:t>Termination of Access Privileges to Restricted Computer Systems and Control Systems</w:t>
      </w:r>
      <w:bookmarkEnd w:id="692"/>
      <w:bookmarkEnd w:id="693"/>
      <w:bookmarkEnd w:id="694"/>
      <w:bookmarkEnd w:id="695"/>
      <w:bookmarkEnd w:id="696"/>
      <w:bookmarkEnd w:id="697"/>
      <w:bookmarkEnd w:id="698"/>
    </w:p>
    <w:p w14:paraId="780564FB" w14:textId="77777777" w:rsidR="00D629DE" w:rsidRDefault="002B3DDF">
      <w:pPr>
        <w:pStyle w:val="List"/>
        <w:ind w:left="720"/>
      </w:pPr>
      <w:r>
        <w:t>(1)</w:t>
      </w:r>
      <w:r>
        <w:tab/>
      </w:r>
      <w:r w:rsidRPr="006C61CC">
        <w:t xml:space="preserve">All </w:t>
      </w:r>
      <w:r>
        <w:t>M</w:t>
      </w:r>
      <w:r w:rsidRPr="006C61CC">
        <w:t>arket</w:t>
      </w:r>
      <w:r>
        <w:t xml:space="preserve"> Participants and ERCOT </w:t>
      </w:r>
      <w:r w:rsidRPr="006C61CC">
        <w:t xml:space="preserve">are required to have processes in place to </w:t>
      </w:r>
      <w:r>
        <w:t>terminate a</w:t>
      </w:r>
      <w:r w:rsidRPr="006C61CC">
        <w:t>ccess</w:t>
      </w:r>
      <w:r>
        <w:t xml:space="preserve"> privileges, as soon as practicable, </w:t>
      </w:r>
      <w:r w:rsidRPr="006C61CC">
        <w:t xml:space="preserve">to </w:t>
      </w:r>
      <w:r>
        <w:t>R</w:t>
      </w:r>
      <w:r w:rsidRPr="006C61CC">
        <w:t xml:space="preserve">estricted </w:t>
      </w:r>
      <w:r>
        <w:t>S</w:t>
      </w:r>
      <w:r w:rsidRPr="006C61CC">
        <w:t xml:space="preserve">ystems </w:t>
      </w:r>
      <w:r>
        <w:t>for</w:t>
      </w:r>
      <w:r w:rsidRPr="006C61CC">
        <w:t xml:space="preserve"> any employee</w:t>
      </w:r>
      <w:r>
        <w:t>, consultant, or contractor, upon t</w:t>
      </w:r>
      <w:r w:rsidRPr="006C61CC">
        <w:t>ermination</w:t>
      </w:r>
      <w:r>
        <w:t xml:space="preserve"> of employment or where access is no longer required. </w:t>
      </w:r>
    </w:p>
    <w:p w14:paraId="01FFEBFF" w14:textId="77777777" w:rsidR="00D629DE" w:rsidRDefault="002B3DDF">
      <w:pPr>
        <w:pStyle w:val="List"/>
        <w:ind w:left="720"/>
      </w:pPr>
      <w:r>
        <w:t>(2)</w:t>
      </w:r>
      <w:r>
        <w:tab/>
        <w:t>“</w:t>
      </w:r>
      <w:r w:rsidRPr="006C61CC">
        <w:t xml:space="preserve">Restricted </w:t>
      </w:r>
      <w:r>
        <w:t>S</w:t>
      </w:r>
      <w:r w:rsidRPr="006C61CC">
        <w:t>ystems</w:t>
      </w:r>
      <w:r>
        <w:t>”</w:t>
      </w:r>
      <w:r w:rsidRPr="006C61CC">
        <w:t xml:space="preserve"> </w:t>
      </w:r>
      <w:r w:rsidRPr="004F4418">
        <w:t xml:space="preserve">include </w:t>
      </w:r>
      <w:r w:rsidRPr="006C61CC">
        <w:t>computer or control systems that</w:t>
      </w:r>
      <w:r>
        <w:t xml:space="preserve"> are essential to the operation of Restricted Facilities.</w:t>
      </w:r>
      <w:r w:rsidRPr="004E6F7D">
        <w:t xml:space="preserve"> </w:t>
      </w:r>
      <w:r>
        <w:t xml:space="preserve"> </w:t>
      </w:r>
    </w:p>
    <w:p w14:paraId="520D3E06" w14:textId="77777777" w:rsidR="00D629DE" w:rsidRDefault="002B3DDF">
      <w:pPr>
        <w:pStyle w:val="List"/>
        <w:ind w:left="720"/>
      </w:pPr>
      <w:r>
        <w:lastRenderedPageBreak/>
        <w:t>(3)</w:t>
      </w:r>
      <w:r>
        <w:tab/>
        <w:t>“</w:t>
      </w:r>
      <w:r w:rsidRPr="006C61CC">
        <w:t xml:space="preserve">Restricted </w:t>
      </w:r>
      <w:r>
        <w:t>F</w:t>
      </w:r>
      <w:r w:rsidRPr="006C61CC">
        <w:t>acilities</w:t>
      </w:r>
      <w:r>
        <w:t>”</w:t>
      </w:r>
      <w:r w:rsidRPr="006C61CC">
        <w:t xml:space="preserve"> include </w:t>
      </w:r>
      <w:r>
        <w:t>F</w:t>
      </w:r>
      <w:r w:rsidRPr="006C61CC">
        <w:t>acilities and assets that support the reliable operation of the</w:t>
      </w:r>
      <w:r>
        <w:t xml:space="preserve"> bulk</w:t>
      </w:r>
      <w:r w:rsidRPr="006C61CC">
        <w:t xml:space="preserve"> ERCOT </w:t>
      </w:r>
      <w:r>
        <w:t>System (100 kV and above)</w:t>
      </w:r>
      <w:r w:rsidRPr="006C61CC">
        <w:t>,</w:t>
      </w:r>
      <w:r>
        <w:t xml:space="preserve"> such as </w:t>
      </w:r>
      <w:r w:rsidRPr="006C61CC">
        <w:t>but</w:t>
      </w:r>
      <w:r>
        <w:t xml:space="preserve"> </w:t>
      </w:r>
      <w:r w:rsidRPr="006C61CC">
        <w:t>not limited to</w:t>
      </w:r>
      <w:r>
        <w:t>:</w:t>
      </w:r>
    </w:p>
    <w:p w14:paraId="61114259" w14:textId="77777777" w:rsidR="00D629DE" w:rsidRDefault="002B3DDF">
      <w:pPr>
        <w:pStyle w:val="List2"/>
        <w:tabs>
          <w:tab w:val="num" w:pos="1620"/>
        </w:tabs>
        <w:ind w:left="1440"/>
      </w:pPr>
      <w:r>
        <w:t>(a)</w:t>
      </w:r>
      <w:r>
        <w:tab/>
        <w:t>G</w:t>
      </w:r>
      <w:r w:rsidRPr="006C61CC">
        <w:t xml:space="preserve">eneration </w:t>
      </w:r>
      <w:r>
        <w:t>R</w:t>
      </w:r>
      <w:r w:rsidRPr="006C61CC">
        <w:t xml:space="preserve">esources; </w:t>
      </w:r>
    </w:p>
    <w:p w14:paraId="6E2B3CD3" w14:textId="77777777" w:rsidR="00D629DE" w:rsidRDefault="002B3DDF">
      <w:pPr>
        <w:pStyle w:val="List2"/>
        <w:tabs>
          <w:tab w:val="num" w:pos="1620"/>
        </w:tabs>
        <w:ind w:left="1440"/>
      </w:pPr>
      <w:r>
        <w:t>(b)</w:t>
      </w:r>
      <w:r>
        <w:tab/>
        <w:t>T</w:t>
      </w:r>
      <w:r w:rsidRPr="006C61CC">
        <w:t xml:space="preserve">ransmission substations; </w:t>
      </w:r>
    </w:p>
    <w:p w14:paraId="0BC96B75" w14:textId="77777777" w:rsidR="00D629DE" w:rsidRDefault="002B3DDF">
      <w:pPr>
        <w:pStyle w:val="List2"/>
        <w:tabs>
          <w:tab w:val="num" w:pos="1620"/>
        </w:tabs>
        <w:ind w:left="1440"/>
      </w:pPr>
      <w:r>
        <w:t>(c)</w:t>
      </w:r>
      <w:r>
        <w:tab/>
        <w:t>C</w:t>
      </w:r>
      <w:r w:rsidRPr="006C61CC">
        <w:t xml:space="preserve">ontrol/dispatch centers and backup control/dispatch </w:t>
      </w:r>
      <w:r>
        <w:t>centers related to items (a) and (b) above</w:t>
      </w:r>
      <w:r w:rsidRPr="006C61CC">
        <w:t xml:space="preserve">; </w:t>
      </w:r>
    </w:p>
    <w:p w14:paraId="492C2445" w14:textId="77777777" w:rsidR="00D629DE" w:rsidRDefault="002B3DDF">
      <w:pPr>
        <w:pStyle w:val="List2"/>
        <w:tabs>
          <w:tab w:val="num" w:pos="1620"/>
        </w:tabs>
        <w:ind w:left="1440"/>
      </w:pPr>
      <w:r>
        <w:t>(d)</w:t>
      </w:r>
      <w:r>
        <w:tab/>
        <w:t>S</w:t>
      </w:r>
      <w:r w:rsidRPr="006C61CC">
        <w:t xml:space="preserve">ystems and </w:t>
      </w:r>
      <w:r>
        <w:t>F</w:t>
      </w:r>
      <w:r w:rsidRPr="006C61CC">
        <w:t xml:space="preserve">acilities critical to system restoration (including but not limited to </w:t>
      </w:r>
      <w:r>
        <w:t>B</w:t>
      </w:r>
      <w:r w:rsidRPr="006C61CC">
        <w:t>lack</w:t>
      </w:r>
      <w:r>
        <w:t xml:space="preserve"> S</w:t>
      </w:r>
      <w:r w:rsidRPr="006C61CC">
        <w:t xml:space="preserve">tart generators and substations); </w:t>
      </w:r>
      <w:r>
        <w:t>and</w:t>
      </w:r>
    </w:p>
    <w:p w14:paraId="3D7850D2" w14:textId="77777777" w:rsidR="00DB7FFB" w:rsidRDefault="002B3DDF">
      <w:pPr>
        <w:pStyle w:val="List"/>
      </w:pPr>
      <w:r>
        <w:t>(e)</w:t>
      </w:r>
      <w:r>
        <w:tab/>
        <w:t>S</w:t>
      </w:r>
      <w:r w:rsidRPr="006C61CC">
        <w:t xml:space="preserve">ystems and </w:t>
      </w:r>
      <w:r>
        <w:t>F</w:t>
      </w:r>
      <w:r w:rsidRPr="006C61CC">
        <w:t xml:space="preserve">acilities critical to automatic </w:t>
      </w:r>
      <w:r>
        <w:t xml:space="preserve">firm </w:t>
      </w:r>
      <w:r w:rsidRPr="006C61CC">
        <w:t>load shedding</w:t>
      </w:r>
      <w:r>
        <w:t>.</w:t>
      </w:r>
    </w:p>
    <w:p w14:paraId="4BC15564" w14:textId="77777777" w:rsidR="00D629DE" w:rsidRDefault="002B3DDF">
      <w:pPr>
        <w:pStyle w:val="List"/>
        <w:ind w:left="720"/>
      </w:pPr>
      <w:r>
        <w:t>(4)</w:t>
      </w:r>
      <w:r>
        <w:tab/>
        <w:t>Access privilege is defined to include computer and</w:t>
      </w:r>
      <w:r w:rsidRPr="00DE251E">
        <w:t xml:space="preserve"> electronic access.</w:t>
      </w:r>
    </w:p>
    <w:p w14:paraId="52F5B3A5" w14:textId="77777777" w:rsidR="00D629DE" w:rsidRDefault="002B3DDF">
      <w:pPr>
        <w:pStyle w:val="List"/>
        <w:ind w:left="720"/>
      </w:pPr>
      <w:r>
        <w:t>(5)</w:t>
      </w:r>
      <w:r>
        <w:tab/>
        <w:t>Each</w:t>
      </w:r>
      <w:r w:rsidRPr="00DE251E">
        <w:t xml:space="preserve"> Market </w:t>
      </w:r>
      <w:r>
        <w:t>Participant and ERCOT</w:t>
      </w:r>
      <w:r w:rsidRPr="00DE251E">
        <w:t xml:space="preserve"> </w:t>
      </w:r>
      <w:r>
        <w:t>shall have internal controls in place to ensure these processes are reviewed at least on an annual basis.</w:t>
      </w:r>
    </w:p>
    <w:p w14:paraId="36F9A45F" w14:textId="77777777" w:rsidR="00D629DE" w:rsidRDefault="002B3DDF">
      <w:pPr>
        <w:pStyle w:val="List"/>
        <w:ind w:left="720"/>
      </w:pPr>
      <w:r>
        <w:t>(6)</w:t>
      </w:r>
      <w:r>
        <w:tab/>
      </w:r>
      <w:r w:rsidRPr="00797F52">
        <w:t xml:space="preserve">Each Market </w:t>
      </w:r>
      <w:r>
        <w:t xml:space="preserve">Participant and ERCOT are required to notify the compliance monitoring authority within two Business Days after the discovery </w:t>
      </w:r>
      <w:r w:rsidRPr="00797F52">
        <w:t>of any incident where a terminated employee, contractor or</w:t>
      </w:r>
      <w:r>
        <w:t xml:space="preserve"> employee of a contractor</w:t>
      </w:r>
      <w:r w:rsidRPr="00797F52">
        <w:t xml:space="preserve"> has accessed a </w:t>
      </w:r>
      <w:r>
        <w:t>R</w:t>
      </w:r>
      <w:r w:rsidRPr="00797F52">
        <w:t xml:space="preserve">estricted </w:t>
      </w:r>
      <w:r>
        <w:t>S</w:t>
      </w:r>
      <w:r w:rsidRPr="00797F52">
        <w:t xml:space="preserve">ystem </w:t>
      </w:r>
      <w:r>
        <w:t>when access privileges have been or should have been revoked.</w:t>
      </w:r>
    </w:p>
    <w:p w14:paraId="2223ABC7" w14:textId="77777777" w:rsidR="00D629DE" w:rsidRDefault="002B3DDF">
      <w:pPr>
        <w:pStyle w:val="List"/>
        <w:ind w:left="720"/>
      </w:pPr>
      <w:r>
        <w:t>(7)</w:t>
      </w:r>
      <w:r>
        <w:tab/>
        <w:t>Failure by a Market Participant or ERCOT to follow its processes that results in a</w:t>
      </w:r>
      <w:r w:rsidRPr="00797F52">
        <w:t xml:space="preserve">ccess to any </w:t>
      </w:r>
      <w:r>
        <w:t>Restricted Systems</w:t>
      </w:r>
      <w:r w:rsidRPr="00797F52">
        <w:t xml:space="preserve"> by any</w:t>
      </w:r>
      <w:r w:rsidRPr="006C61CC">
        <w:t xml:space="preserve"> </w:t>
      </w:r>
      <w:r w:rsidRPr="00797F52">
        <w:t xml:space="preserve">employee, consultant, contractor or affiliate after his or her termination will be considered a violation of </w:t>
      </w:r>
      <w:r>
        <w:t>these</w:t>
      </w:r>
      <w:r w:rsidRPr="00797F52">
        <w:t xml:space="preserve"> </w:t>
      </w:r>
      <w:r>
        <w:t>P</w:t>
      </w:r>
      <w:r w:rsidRPr="00797F52">
        <w:t>rotocol</w:t>
      </w:r>
      <w:r>
        <w:t>s.</w:t>
      </w:r>
    </w:p>
    <w:p w14:paraId="4D81ADE9" w14:textId="77777777" w:rsidR="00C2117B" w:rsidRPr="002631D7" w:rsidRDefault="00C2117B" w:rsidP="00C2117B">
      <w:pPr>
        <w:pStyle w:val="H2"/>
        <w:rPr>
          <w:lang w:val="en-US" w:eastAsia="en-US"/>
        </w:rPr>
      </w:pPr>
      <w:bookmarkStart w:id="699" w:name="_Toc390439000"/>
      <w:bookmarkStart w:id="700" w:name="_Toc405897711"/>
      <w:bookmarkStart w:id="701" w:name="_Toc415055803"/>
      <w:bookmarkStart w:id="702" w:name="_Toc415055929"/>
      <w:bookmarkStart w:id="703" w:name="_Toc415056028"/>
      <w:bookmarkStart w:id="704" w:name="_Toc415056128"/>
      <w:bookmarkStart w:id="705" w:name="_Toc70591672"/>
      <w:r w:rsidRPr="002631D7">
        <w:rPr>
          <w:lang w:val="en-US" w:eastAsia="en-US"/>
        </w:rPr>
        <w:t>16.15</w:t>
      </w:r>
      <w:r w:rsidRPr="002631D7">
        <w:rPr>
          <w:lang w:val="en-US" w:eastAsia="en-US"/>
        </w:rPr>
        <w:tab/>
        <w:t>Registration of Independent Market Information System Registered Entity</w:t>
      </w:r>
      <w:bookmarkEnd w:id="699"/>
      <w:bookmarkEnd w:id="700"/>
      <w:bookmarkEnd w:id="701"/>
      <w:bookmarkEnd w:id="702"/>
      <w:bookmarkEnd w:id="703"/>
      <w:bookmarkEnd w:id="704"/>
      <w:bookmarkEnd w:id="705"/>
    </w:p>
    <w:p w14:paraId="02F99B77" w14:textId="77777777" w:rsidR="00C2117B" w:rsidRDefault="00C2117B" w:rsidP="00D56FC4">
      <w:pPr>
        <w:pStyle w:val="List"/>
        <w:ind w:left="720"/>
      </w:pPr>
      <w:r>
        <w:t>(1)</w:t>
      </w:r>
      <w:r>
        <w:tab/>
        <w:t>Each Entity intending to qualify to access ERCOT’s Market Information System (MIS) Secure Area, independent of any other Market Participant role, shall register with ERCOT, including any applicable fees, designating Authorized Representatives, contacts, and a User Security Administrator (USA) (per the Application for Registration as an Independent Market Information System Registered Entity (IMRE)), and execute a Standard Form Market Participant Agreement (as provided in Section 22, Attachment A, Standard Form Market Participant Agreement) prior to receiving a USA Digital Certificate for setting access to ERCOT’s MIS Secure Area.</w:t>
      </w:r>
    </w:p>
    <w:p w14:paraId="3CCDD336" w14:textId="77777777" w:rsidR="00C2117B" w:rsidRDefault="00C2117B" w:rsidP="00C2117B">
      <w:pPr>
        <w:pStyle w:val="List"/>
        <w:ind w:left="720"/>
      </w:pPr>
      <w:r>
        <w:t>(2)</w:t>
      </w:r>
      <w:r>
        <w:tab/>
        <w:t>Continued status as an IMRE is contingent upon compliance with all applicable requirements in these Protocols.  ERCOT may suspend a</w:t>
      </w:r>
      <w:r w:rsidRPr="00205BF3">
        <w:t>n</w:t>
      </w:r>
      <w:r>
        <w:t xml:space="preserve"> IMRE</w:t>
      </w:r>
      <w:r w:rsidRPr="00205BF3">
        <w:t>’s</w:t>
      </w:r>
      <w:r>
        <w:t xml:space="preserve"> rights as a Market Participant when ERCOT reasonably determines that it is an appropriate remedy for the Entity’s failure to satisfy any applicable requirement.</w:t>
      </w:r>
    </w:p>
    <w:p w14:paraId="3F2C9430" w14:textId="77777777" w:rsidR="00770ABB" w:rsidRPr="002631D7" w:rsidRDefault="00770ABB" w:rsidP="00F80DFA">
      <w:pPr>
        <w:pStyle w:val="H2"/>
        <w:ind w:left="907" w:hanging="907"/>
        <w:rPr>
          <w:szCs w:val="24"/>
          <w:lang w:val="en-US" w:eastAsia="en-US"/>
        </w:rPr>
      </w:pPr>
      <w:bookmarkStart w:id="706" w:name="_Toc390439001"/>
      <w:bookmarkStart w:id="707" w:name="_Toc405897712"/>
      <w:bookmarkStart w:id="708" w:name="_Toc415055804"/>
      <w:bookmarkStart w:id="709" w:name="_Toc415055930"/>
      <w:bookmarkStart w:id="710" w:name="_Toc415056029"/>
      <w:bookmarkStart w:id="711" w:name="_Toc415056129"/>
      <w:bookmarkStart w:id="712" w:name="_Toc70591673"/>
      <w:r w:rsidRPr="002631D7">
        <w:rPr>
          <w:szCs w:val="24"/>
          <w:lang w:val="en-US" w:eastAsia="en-US"/>
        </w:rPr>
        <w:lastRenderedPageBreak/>
        <w:t>16.16</w:t>
      </w:r>
      <w:r w:rsidRPr="002631D7">
        <w:rPr>
          <w:szCs w:val="24"/>
          <w:lang w:val="en-US" w:eastAsia="en-US"/>
        </w:rPr>
        <w:tab/>
        <w:t>Additional Counter-Party Qualification Requirements</w:t>
      </w:r>
      <w:bookmarkEnd w:id="706"/>
      <w:bookmarkEnd w:id="707"/>
      <w:bookmarkEnd w:id="708"/>
      <w:bookmarkEnd w:id="709"/>
      <w:bookmarkEnd w:id="710"/>
      <w:bookmarkEnd w:id="711"/>
      <w:bookmarkEnd w:id="712"/>
      <w:r w:rsidRPr="002631D7">
        <w:rPr>
          <w:szCs w:val="24"/>
          <w:lang w:val="en-US" w:eastAsia="en-US"/>
        </w:rPr>
        <w:t xml:space="preserve"> </w:t>
      </w:r>
    </w:p>
    <w:p w14:paraId="2C3DD08D" w14:textId="77777777" w:rsidR="00770ABB" w:rsidRDefault="00770ABB" w:rsidP="00770ABB">
      <w:pPr>
        <w:pStyle w:val="H3"/>
      </w:pPr>
      <w:bookmarkStart w:id="713" w:name="_Toc390439002"/>
      <w:bookmarkStart w:id="714" w:name="_Toc405897713"/>
      <w:bookmarkStart w:id="715" w:name="_Toc415055805"/>
      <w:bookmarkStart w:id="716" w:name="_Toc415055931"/>
      <w:bookmarkStart w:id="717" w:name="_Toc415056030"/>
      <w:bookmarkStart w:id="718" w:name="_Toc415056130"/>
      <w:bookmarkStart w:id="719" w:name="_Toc70591674"/>
      <w:r>
        <w:t>16.16.1</w:t>
      </w:r>
      <w:r>
        <w:tab/>
      </w:r>
      <w:r>
        <w:rPr>
          <w:szCs w:val="24"/>
        </w:rPr>
        <w:t>Counter-Party Criteria</w:t>
      </w:r>
      <w:bookmarkEnd w:id="713"/>
      <w:bookmarkEnd w:id="714"/>
      <w:bookmarkEnd w:id="715"/>
      <w:bookmarkEnd w:id="716"/>
      <w:bookmarkEnd w:id="717"/>
      <w:bookmarkEnd w:id="718"/>
      <w:bookmarkEnd w:id="719"/>
    </w:p>
    <w:p w14:paraId="5A768644" w14:textId="77777777" w:rsidR="00770ABB" w:rsidRDefault="00770ABB" w:rsidP="00770ABB">
      <w:pPr>
        <w:pStyle w:val="List"/>
        <w:ind w:left="720"/>
      </w:pPr>
      <w:r w:rsidRPr="002C3290">
        <w:t>(1)</w:t>
      </w:r>
      <w:r w:rsidRPr="002C3290">
        <w:tab/>
        <w:t xml:space="preserve">In order to participate in the ERCOT Real-Time, Day-Ahead and Congestion Revenue Right (CRR) markets, in addition to satisfying any other eligibility requirements set forth in the ERCOT Protocols, each Counter-Party must satisfy, and at all times remain in compliance with, the following requirements: </w:t>
      </w:r>
    </w:p>
    <w:p w14:paraId="1009BEC4" w14:textId="77777777" w:rsidR="00770ABB" w:rsidRPr="000F17D7" w:rsidRDefault="00770ABB" w:rsidP="000F17D7">
      <w:pPr>
        <w:pStyle w:val="List"/>
      </w:pPr>
      <w:r w:rsidRPr="000F17D7">
        <w:t>(a)</w:t>
      </w:r>
      <w:r w:rsidRPr="000F17D7">
        <w:tab/>
      </w:r>
      <w:r w:rsidRPr="000F17D7">
        <w:rPr>
          <w:b/>
          <w:u w:val="single"/>
        </w:rPr>
        <w:t>Expertise in Markets</w:t>
      </w:r>
      <w:r w:rsidRPr="000F17D7">
        <w:t>.  All employees or agents transacting in ERCOT markets pursuant to the ERCOT Protocols have had appropriate training and/or experience and are qualified and authorized to transact on behalf of the Counter-Party.</w:t>
      </w:r>
    </w:p>
    <w:p w14:paraId="60E8136F" w14:textId="77777777" w:rsidR="00A71039" w:rsidRPr="000F17D7" w:rsidRDefault="00770ABB" w:rsidP="000F17D7">
      <w:pPr>
        <w:pStyle w:val="List"/>
      </w:pPr>
      <w:r w:rsidRPr="000F17D7">
        <w:t>(b)</w:t>
      </w:r>
      <w:r w:rsidRPr="000F17D7">
        <w:tab/>
      </w:r>
      <w:r w:rsidRPr="000F17D7">
        <w:rPr>
          <w:b/>
          <w:u w:val="single"/>
        </w:rPr>
        <w:t>Market Operational Capabilities</w:t>
      </w:r>
      <w:r w:rsidRPr="000F17D7">
        <w:t>.  Counter-Party has appropriate market operating procedures and technical abilities to promptly and effectively respond to all ERCOT market communications.</w:t>
      </w:r>
    </w:p>
    <w:p w14:paraId="423E65F0" w14:textId="77777777" w:rsidR="00A71039" w:rsidRDefault="00A71039" w:rsidP="000F17D7">
      <w:pPr>
        <w:pStyle w:val="List"/>
        <w:rPr>
          <w:szCs w:val="24"/>
        </w:rPr>
      </w:pPr>
      <w:r>
        <w:rPr>
          <w:szCs w:val="24"/>
        </w:rPr>
        <w:t>(c)</w:t>
      </w:r>
      <w:r>
        <w:rPr>
          <w:szCs w:val="24"/>
        </w:rPr>
        <w:tab/>
      </w:r>
      <w:r w:rsidRPr="000F17D7">
        <w:rPr>
          <w:b/>
          <w:u w:val="single"/>
        </w:rPr>
        <w:t>Allowable</w:t>
      </w:r>
      <w:r w:rsidRPr="000F17D7">
        <w:rPr>
          <w:b/>
          <w:szCs w:val="24"/>
          <w:u w:val="single"/>
        </w:rPr>
        <w:t xml:space="preserve"> Contract Participants</w:t>
      </w:r>
      <w:r w:rsidRPr="000F17D7">
        <w:rPr>
          <w:szCs w:val="24"/>
        </w:rPr>
        <w:t>.</w:t>
      </w:r>
      <w:r>
        <w:rPr>
          <w:szCs w:val="24"/>
        </w:rPr>
        <w:t xml:space="preserve">  Each Counter-Party must be one of the following: </w:t>
      </w:r>
    </w:p>
    <w:p w14:paraId="6ED96F24" w14:textId="77777777" w:rsidR="00A71039" w:rsidRPr="000F17D7" w:rsidRDefault="00A71039" w:rsidP="000F17D7">
      <w:pPr>
        <w:pStyle w:val="List"/>
        <w:ind w:left="2160"/>
      </w:pPr>
      <w:r>
        <w:rPr>
          <w:szCs w:val="24"/>
        </w:rPr>
        <w:t>(i</w:t>
      </w:r>
      <w:r w:rsidRPr="00AC31BC">
        <w:rPr>
          <w:szCs w:val="24"/>
        </w:rPr>
        <w:t xml:space="preserve">) </w:t>
      </w:r>
      <w:r>
        <w:rPr>
          <w:szCs w:val="24"/>
        </w:rPr>
        <w:tab/>
      </w:r>
      <w:r w:rsidRPr="000F17D7">
        <w:t xml:space="preserve">An “Appropriate Person” as defined in sections 4(c)(3)(A) through (J) of the Commodity Exchange Act (7 U.S.C. § 6(c)(3)(A)-(J)); </w:t>
      </w:r>
    </w:p>
    <w:p w14:paraId="2689B8CF" w14:textId="77777777" w:rsidR="00A71039" w:rsidRPr="000F17D7" w:rsidRDefault="00A71039" w:rsidP="000F17D7">
      <w:pPr>
        <w:pStyle w:val="List"/>
        <w:ind w:left="2160"/>
      </w:pPr>
      <w:r w:rsidRPr="000F17D7">
        <w:t xml:space="preserve">(ii) </w:t>
      </w:r>
      <w:r w:rsidRPr="000F17D7">
        <w:tab/>
        <w:t xml:space="preserve">An “Eligible Contract Participant,” as defined in section 1a(18)(A) of the Commodity Exchange Act (7 U.S.C. § 1a(18)(A)) and in Commodity Futures Trading Commission (CFTC) regulation 1.3(m) (17 C.F.R. § 1.3(m)); or </w:t>
      </w:r>
    </w:p>
    <w:p w14:paraId="0C839313" w14:textId="77777777" w:rsidR="00A71039" w:rsidRPr="000F17D7" w:rsidRDefault="00A71039" w:rsidP="000F17D7">
      <w:pPr>
        <w:pStyle w:val="List"/>
        <w:ind w:left="2160"/>
      </w:pPr>
      <w:r w:rsidRPr="000F17D7">
        <w:t xml:space="preserve">(iii) </w:t>
      </w:r>
      <w:r w:rsidRPr="000F17D7">
        <w:tab/>
        <w:t>A “person who actively participates in the generation, transmission, or distribution of electric energy,” as that term is defined in the CFTC’s final exemption order (78 Fed. Reg. 19,879).</w:t>
      </w:r>
    </w:p>
    <w:p w14:paraId="2EAE0A62" w14:textId="77777777" w:rsidR="00770ABB" w:rsidRPr="000F17D7" w:rsidRDefault="00A71039" w:rsidP="000F17D7">
      <w:pPr>
        <w:pStyle w:val="List"/>
      </w:pPr>
      <w:r w:rsidRPr="000F17D7">
        <w:tab/>
        <w:t>ERCOT may request necessary information to verify compliance with this requirement.</w:t>
      </w:r>
    </w:p>
    <w:p w14:paraId="65D11A35" w14:textId="77777777" w:rsidR="00770ABB" w:rsidRPr="000F17D7" w:rsidRDefault="00770ABB" w:rsidP="000F17D7">
      <w:pPr>
        <w:pStyle w:val="List"/>
      </w:pPr>
      <w:r w:rsidRPr="000F17D7">
        <w:t>(</w:t>
      </w:r>
      <w:r w:rsidR="00A71039" w:rsidRPr="000F17D7">
        <w:t>d</w:t>
      </w:r>
      <w:r w:rsidRPr="000F17D7">
        <w:t>)</w:t>
      </w:r>
      <w:r w:rsidRPr="000F17D7">
        <w:tab/>
      </w:r>
      <w:r w:rsidRPr="000F17D7">
        <w:rPr>
          <w:b/>
          <w:u w:val="single"/>
        </w:rPr>
        <w:t>Capitalization</w:t>
      </w:r>
      <w:r w:rsidRPr="000F17D7">
        <w:t>.  Counter-Party, or an acceptable guarantor, shall maintain minimum capital as follows:</w:t>
      </w:r>
    </w:p>
    <w:p w14:paraId="21E73D78" w14:textId="77777777" w:rsidR="00770ABB" w:rsidRPr="000F17D7" w:rsidRDefault="00770ABB" w:rsidP="000F17D7">
      <w:pPr>
        <w:pStyle w:val="List"/>
        <w:ind w:left="2160"/>
      </w:pPr>
      <w:r w:rsidRPr="000F17D7">
        <w:t>(i)</w:t>
      </w:r>
      <w:r w:rsidRPr="000F17D7">
        <w:tab/>
        <w:t>For a Counter-Party seeking authorization to participate or participating in all ERCOT markets:</w:t>
      </w:r>
    </w:p>
    <w:p w14:paraId="3F2DF2BF" w14:textId="77777777" w:rsidR="00770ABB" w:rsidRPr="000F17D7" w:rsidRDefault="00770ABB" w:rsidP="000F17D7">
      <w:pPr>
        <w:pStyle w:val="List"/>
        <w:ind w:left="2160" w:firstLine="0"/>
      </w:pPr>
      <w:r w:rsidRPr="000F17D7">
        <w:t>(A)</w:t>
      </w:r>
      <w:r w:rsidRPr="000F17D7">
        <w:tab/>
        <w:t xml:space="preserve"> $10 million in total assets; or </w:t>
      </w:r>
    </w:p>
    <w:p w14:paraId="60C64E2B" w14:textId="77777777" w:rsidR="00770ABB" w:rsidRPr="000F17D7" w:rsidRDefault="00770ABB" w:rsidP="000F17D7">
      <w:pPr>
        <w:pStyle w:val="List"/>
        <w:ind w:left="2160" w:firstLine="0"/>
      </w:pPr>
      <w:r w:rsidRPr="000F17D7">
        <w:t xml:space="preserve">(B) </w:t>
      </w:r>
      <w:r w:rsidRPr="000F17D7">
        <w:tab/>
        <w:t>$1 million in:</w:t>
      </w:r>
    </w:p>
    <w:p w14:paraId="32B1BE15" w14:textId="77777777" w:rsidR="00770ABB" w:rsidRPr="000F17D7" w:rsidRDefault="00770ABB" w:rsidP="000F17D7">
      <w:pPr>
        <w:pStyle w:val="List"/>
        <w:ind w:left="3600"/>
      </w:pPr>
      <w:r w:rsidRPr="000F17D7">
        <w:t>(1)</w:t>
      </w:r>
      <w:r w:rsidRPr="000F17D7">
        <w:tab/>
        <w:t xml:space="preserve">Unencumbered assets for unrated Electric Cooperative (EC) and Municipal systems; or </w:t>
      </w:r>
    </w:p>
    <w:p w14:paraId="67D60C22" w14:textId="77777777" w:rsidR="003B7CFE" w:rsidRPr="000F17D7" w:rsidRDefault="00770ABB" w:rsidP="000F17D7">
      <w:pPr>
        <w:pStyle w:val="List"/>
        <w:ind w:left="2160" w:firstLine="720"/>
      </w:pPr>
      <w:r w:rsidRPr="000F17D7">
        <w:lastRenderedPageBreak/>
        <w:t>(2)</w:t>
      </w:r>
      <w:r w:rsidRPr="000F17D7">
        <w:tab/>
        <w:t xml:space="preserve">Tangible </w:t>
      </w:r>
      <w:r w:rsidR="00651F88" w:rsidRPr="000F17D7">
        <w:t>N</w:t>
      </w:r>
      <w:r w:rsidRPr="000F17D7">
        <w:t xml:space="preserve">et </w:t>
      </w:r>
      <w:r w:rsidR="00651F88" w:rsidRPr="000F17D7">
        <w:t>W</w:t>
      </w:r>
      <w:r w:rsidRPr="000F17D7">
        <w:t>orth for all other Entities.</w:t>
      </w:r>
    </w:p>
    <w:p w14:paraId="199C72C2" w14:textId="77777777" w:rsidR="00770ABB" w:rsidRPr="000F17D7" w:rsidRDefault="00770ABB" w:rsidP="00A93E8D">
      <w:pPr>
        <w:pStyle w:val="List"/>
        <w:ind w:left="2160"/>
      </w:pPr>
      <w:r w:rsidRPr="000F17D7">
        <w:t>(ii)</w:t>
      </w:r>
      <w:r w:rsidRPr="000F17D7">
        <w:tab/>
        <w:t>For a Counter-Party seeking authorization to participate or participating in all ERCOT markets except for the CRR market:</w:t>
      </w:r>
    </w:p>
    <w:p w14:paraId="21EB405D" w14:textId="77777777" w:rsidR="00770ABB" w:rsidRPr="000F17D7" w:rsidRDefault="00770ABB" w:rsidP="000F17D7">
      <w:pPr>
        <w:pStyle w:val="List"/>
        <w:ind w:left="2160" w:firstLine="0"/>
      </w:pPr>
      <w:r w:rsidRPr="000F17D7">
        <w:t>(A)</w:t>
      </w:r>
      <w:r w:rsidRPr="000F17D7">
        <w:tab/>
        <w:t xml:space="preserve">$5 million in total assets; or </w:t>
      </w:r>
    </w:p>
    <w:p w14:paraId="5910F8FD" w14:textId="77777777" w:rsidR="00770ABB" w:rsidRPr="000F17D7" w:rsidRDefault="00770ABB" w:rsidP="000F17D7">
      <w:pPr>
        <w:pStyle w:val="List"/>
        <w:ind w:left="2160" w:firstLine="0"/>
      </w:pPr>
      <w:r w:rsidRPr="000F17D7">
        <w:t>(B)</w:t>
      </w:r>
      <w:r w:rsidRPr="000F17D7">
        <w:tab/>
        <w:t xml:space="preserve">$500,000 in: </w:t>
      </w:r>
    </w:p>
    <w:p w14:paraId="7B2CED81" w14:textId="77777777" w:rsidR="00770ABB" w:rsidRPr="000F17D7" w:rsidRDefault="00770ABB" w:rsidP="000F17D7">
      <w:pPr>
        <w:pStyle w:val="List"/>
        <w:ind w:left="3600"/>
      </w:pPr>
      <w:r w:rsidRPr="000F17D7">
        <w:t>(1)</w:t>
      </w:r>
      <w:r w:rsidRPr="000F17D7">
        <w:tab/>
        <w:t xml:space="preserve">Unencumbered assets for unrated EC and Municipal systems; or </w:t>
      </w:r>
    </w:p>
    <w:p w14:paraId="05A067C7" w14:textId="77777777" w:rsidR="00770ABB" w:rsidRPr="000F17D7" w:rsidRDefault="00770ABB" w:rsidP="000F17D7">
      <w:pPr>
        <w:pStyle w:val="List"/>
        <w:ind w:left="2160" w:firstLine="720"/>
      </w:pPr>
      <w:r w:rsidRPr="000F17D7">
        <w:t>(2)</w:t>
      </w:r>
      <w:r w:rsidRPr="000F17D7">
        <w:tab/>
        <w:t xml:space="preserve">Tangible </w:t>
      </w:r>
      <w:r w:rsidR="00651F88" w:rsidRPr="000F17D7">
        <w:t>N</w:t>
      </w:r>
      <w:r w:rsidRPr="000F17D7">
        <w:t xml:space="preserve">et </w:t>
      </w:r>
      <w:r w:rsidR="00651F88" w:rsidRPr="000F17D7">
        <w:t>W</w:t>
      </w:r>
      <w:r w:rsidRPr="000F17D7">
        <w:t xml:space="preserve">orth for all other Entities.  </w:t>
      </w:r>
    </w:p>
    <w:p w14:paraId="75B9DEC8" w14:textId="77777777" w:rsidR="00770ABB" w:rsidRPr="000F17D7" w:rsidRDefault="00770ABB" w:rsidP="00A93E8D">
      <w:pPr>
        <w:pStyle w:val="List"/>
        <w:ind w:left="2160"/>
      </w:pPr>
      <w:r w:rsidRPr="000F17D7">
        <w:t>(iii)</w:t>
      </w:r>
      <w:r w:rsidRPr="000F17D7">
        <w:tab/>
        <w:t>To fulfill the capitalization requirements above, a Counter-Party must provide:</w:t>
      </w:r>
    </w:p>
    <w:p w14:paraId="76A4A646" w14:textId="77777777" w:rsidR="00770ABB" w:rsidRPr="000F17D7" w:rsidRDefault="00770ABB" w:rsidP="000F17D7">
      <w:pPr>
        <w:pStyle w:val="List"/>
        <w:ind w:left="2880"/>
      </w:pPr>
      <w:r w:rsidRPr="000F17D7">
        <w:t>(A)</w:t>
      </w:r>
      <w:r w:rsidRPr="000F17D7">
        <w:tab/>
        <w:t xml:space="preserve">Audited financial statements of the Counter-Party or its guarantor in accordance with Section 16.11, Financial Security for Counter-Parties; and </w:t>
      </w:r>
    </w:p>
    <w:p w14:paraId="258BC2F1" w14:textId="77777777" w:rsidR="00770ABB" w:rsidRPr="000F17D7" w:rsidRDefault="00770ABB" w:rsidP="000F17D7">
      <w:pPr>
        <w:pStyle w:val="List"/>
        <w:ind w:left="2880"/>
      </w:pPr>
      <w:r w:rsidRPr="000F17D7">
        <w:t>(B)</w:t>
      </w:r>
      <w:r w:rsidRPr="000F17D7">
        <w:tab/>
        <w:t xml:space="preserve">If for a guarantor, a guarantee on one of the standard form documents approved by the ERCOT Board, for an amount no less than the minimum necessary to meet the capitalization requirements.  </w:t>
      </w:r>
    </w:p>
    <w:p w14:paraId="7DC26699" w14:textId="77777777" w:rsidR="00770ABB" w:rsidRDefault="00770ABB" w:rsidP="00770ABB">
      <w:pPr>
        <w:pStyle w:val="NoSpacing"/>
        <w:spacing w:after="240"/>
        <w:ind w:left="2160" w:hanging="720"/>
        <w:rPr>
          <w:rFonts w:ascii="Times New Roman" w:hAnsi="Times New Roman"/>
          <w:i/>
          <w:iCs/>
          <w:sz w:val="24"/>
          <w:szCs w:val="24"/>
        </w:rPr>
      </w:pPr>
      <w:r>
        <w:rPr>
          <w:rFonts w:ascii="Times New Roman" w:hAnsi="Times New Roman"/>
          <w:sz w:val="24"/>
          <w:szCs w:val="24"/>
        </w:rPr>
        <w:t>(iv)</w:t>
      </w:r>
      <w:r>
        <w:rPr>
          <w:rFonts w:ascii="Times New Roman" w:hAnsi="Times New Roman"/>
          <w:sz w:val="24"/>
          <w:szCs w:val="24"/>
        </w:rPr>
        <w:tab/>
      </w:r>
      <w:r w:rsidRPr="00137DB4">
        <w:rPr>
          <w:rFonts w:ascii="Times New Roman" w:hAnsi="Times New Roman"/>
          <w:sz w:val="24"/>
          <w:szCs w:val="24"/>
        </w:rPr>
        <w:t>Regardless of whether the Counter-Party or an acceptable guarantor meets the capitalization criteria</w:t>
      </w:r>
      <w:r>
        <w:rPr>
          <w:rFonts w:ascii="Times New Roman" w:hAnsi="Times New Roman"/>
          <w:sz w:val="24"/>
          <w:szCs w:val="24"/>
        </w:rPr>
        <w:t xml:space="preserve"> </w:t>
      </w:r>
      <w:r w:rsidRPr="00137DB4">
        <w:rPr>
          <w:rFonts w:ascii="Times New Roman" w:hAnsi="Times New Roman"/>
          <w:sz w:val="24"/>
          <w:szCs w:val="24"/>
        </w:rPr>
        <w:t>above, ERCOT may nevertheless require the Counter-Party to meet the capitalization criteria by posting an Independent Amount in the event that the Counter-Party or a guarantor has a material change</w:t>
      </w:r>
      <w:r>
        <w:rPr>
          <w:rFonts w:ascii="Times New Roman" w:hAnsi="Times New Roman"/>
          <w:sz w:val="24"/>
          <w:szCs w:val="24"/>
        </w:rPr>
        <w:t xml:space="preserve"> that may adversely affect the Counter-Party’s or an acceptable guarantor’s financial condition</w:t>
      </w:r>
      <w:r w:rsidRPr="00137DB4">
        <w:rPr>
          <w:rFonts w:ascii="Times New Roman" w:hAnsi="Times New Roman"/>
          <w:sz w:val="24"/>
          <w:szCs w:val="24"/>
        </w:rPr>
        <w:t xml:space="preserve"> in conjunction with or subsequent to the most recent audited annual or unaudited quarterly financial statements.  </w:t>
      </w:r>
      <w:r>
        <w:rPr>
          <w:rFonts w:ascii="Times New Roman" w:hAnsi="Times New Roman"/>
          <w:sz w:val="24"/>
          <w:szCs w:val="24"/>
        </w:rPr>
        <w:t xml:space="preserve">The Counter-Party shall notify ERCOT within one day after a material adverse change has occurred.  </w:t>
      </w:r>
      <w:r w:rsidRPr="00137DB4">
        <w:rPr>
          <w:rFonts w:ascii="Times New Roman" w:hAnsi="Times New Roman"/>
          <w:sz w:val="24"/>
          <w:szCs w:val="24"/>
        </w:rPr>
        <w:t xml:space="preserve">The </w:t>
      </w:r>
      <w:r>
        <w:rPr>
          <w:rFonts w:ascii="Times New Roman" w:hAnsi="Times New Roman"/>
          <w:sz w:val="24"/>
          <w:szCs w:val="24"/>
        </w:rPr>
        <w:t xml:space="preserve">final </w:t>
      </w:r>
      <w:r w:rsidRPr="00137DB4">
        <w:rPr>
          <w:rFonts w:ascii="Times New Roman" w:hAnsi="Times New Roman"/>
          <w:sz w:val="24"/>
          <w:szCs w:val="24"/>
        </w:rPr>
        <w:t>determination of a material</w:t>
      </w:r>
      <w:r>
        <w:rPr>
          <w:rFonts w:ascii="Times New Roman" w:hAnsi="Times New Roman"/>
          <w:sz w:val="24"/>
          <w:szCs w:val="24"/>
        </w:rPr>
        <w:t xml:space="preserve"> adverse change</w:t>
      </w:r>
      <w:r w:rsidRPr="00137DB4">
        <w:rPr>
          <w:rFonts w:ascii="Times New Roman" w:hAnsi="Times New Roman"/>
          <w:sz w:val="24"/>
          <w:szCs w:val="24"/>
        </w:rPr>
        <w:t xml:space="preserve"> is solely within ERCOT’s discretion.  </w:t>
      </w:r>
    </w:p>
    <w:p w14:paraId="25E6EDA0" w14:textId="77777777" w:rsidR="00770ABB" w:rsidRDefault="00770ABB" w:rsidP="000F17D7">
      <w:pPr>
        <w:pStyle w:val="List"/>
        <w:ind w:left="2160"/>
        <w:rPr>
          <w:szCs w:val="24"/>
        </w:rPr>
      </w:pPr>
      <w:r w:rsidRPr="00FB4E57">
        <w:rPr>
          <w:szCs w:val="24"/>
        </w:rPr>
        <w:t>(v)</w:t>
      </w:r>
      <w:r w:rsidRPr="00FB4E57">
        <w:rPr>
          <w:szCs w:val="24"/>
        </w:rPr>
        <w:tab/>
        <w:t>In the event audited financial statements do not meet the capitalization requirements</w:t>
      </w:r>
      <w:r>
        <w:rPr>
          <w:szCs w:val="24"/>
        </w:rPr>
        <w:t>,</w:t>
      </w:r>
      <w:r w:rsidRPr="00FB4E57">
        <w:rPr>
          <w:szCs w:val="24"/>
        </w:rPr>
        <w:t xml:space="preserve"> or there has been a material adverse change in the financial condition of the Counter-Party or acceptable guarantor in conjunction with or subsequent to the most recent audited annual or unaudited quarterly financial statements, Counter-Party will provide an Independent Amount in the form and amount necessary to participate in the ERCOT markets as follows:</w:t>
      </w:r>
    </w:p>
    <w:p w14:paraId="2736D849" w14:textId="77777777" w:rsidR="00770ABB" w:rsidRDefault="000F17D7" w:rsidP="000F17D7">
      <w:pPr>
        <w:pStyle w:val="List"/>
        <w:ind w:left="2880"/>
        <w:rPr>
          <w:szCs w:val="24"/>
        </w:rPr>
      </w:pPr>
      <w:r w:rsidRPr="000F17D7">
        <w:rPr>
          <w:szCs w:val="24"/>
        </w:rPr>
        <w:t>(A</w:t>
      </w:r>
      <w:r>
        <w:rPr>
          <w:szCs w:val="24"/>
        </w:rPr>
        <w:t>)</w:t>
      </w:r>
      <w:r>
        <w:rPr>
          <w:szCs w:val="24"/>
        </w:rPr>
        <w:tab/>
      </w:r>
      <w:r w:rsidR="00770ABB" w:rsidRPr="00FB4E57">
        <w:rPr>
          <w:szCs w:val="24"/>
        </w:rPr>
        <w:t>For a Counter-Party seeking authorization to participate or participating in all ERCOT markets, $500,000 Independent Amount.</w:t>
      </w:r>
    </w:p>
    <w:p w14:paraId="7E143518" w14:textId="77777777" w:rsidR="00770ABB" w:rsidRDefault="00770ABB" w:rsidP="000F17D7">
      <w:pPr>
        <w:pStyle w:val="ListParagraph"/>
        <w:spacing w:after="240" w:line="240" w:lineRule="auto"/>
        <w:ind w:left="2880" w:hanging="720"/>
        <w:rPr>
          <w:rFonts w:ascii="Times New Roman" w:hAnsi="Times New Roman"/>
          <w:sz w:val="24"/>
          <w:szCs w:val="24"/>
        </w:rPr>
      </w:pPr>
      <w:r w:rsidRPr="00FB4E57">
        <w:rPr>
          <w:rFonts w:ascii="Times New Roman" w:hAnsi="Times New Roman"/>
          <w:sz w:val="24"/>
          <w:szCs w:val="24"/>
        </w:rPr>
        <w:lastRenderedPageBreak/>
        <w:t>(B)</w:t>
      </w:r>
      <w:r w:rsidRPr="00FB4E57">
        <w:rPr>
          <w:rFonts w:ascii="Times New Roman" w:hAnsi="Times New Roman"/>
          <w:sz w:val="24"/>
          <w:szCs w:val="24"/>
        </w:rPr>
        <w:tab/>
        <w:t xml:space="preserve">For a Counter-Party seeking authorization to participate or participating in all ERCOT markets except for the CRR market, $200,000 Independent Amount.  </w:t>
      </w:r>
    </w:p>
    <w:p w14:paraId="6845CBFB" w14:textId="77777777" w:rsidR="00770ABB" w:rsidRPr="00FB4E57" w:rsidRDefault="00770ABB" w:rsidP="00770ABB">
      <w:pPr>
        <w:pStyle w:val="ListParagraph"/>
        <w:spacing w:after="240" w:line="240" w:lineRule="auto"/>
        <w:ind w:left="2880" w:hanging="720"/>
        <w:rPr>
          <w:rFonts w:ascii="Times New Roman" w:hAnsi="Times New Roman"/>
          <w:i/>
          <w:iCs/>
          <w:sz w:val="24"/>
          <w:szCs w:val="24"/>
        </w:rPr>
      </w:pPr>
    </w:p>
    <w:p w14:paraId="58AF5C89" w14:textId="77777777" w:rsidR="00770ABB" w:rsidRPr="00FB4E57" w:rsidRDefault="00770ABB" w:rsidP="00770ABB">
      <w:pPr>
        <w:pStyle w:val="ListParagraph"/>
        <w:spacing w:after="240" w:line="240" w:lineRule="auto"/>
        <w:ind w:left="2880" w:hanging="720"/>
        <w:rPr>
          <w:rFonts w:ascii="Times New Roman" w:hAnsi="Times New Roman"/>
          <w:i/>
          <w:iCs/>
          <w:sz w:val="24"/>
          <w:szCs w:val="24"/>
        </w:rPr>
      </w:pPr>
      <w:r w:rsidRPr="00FB4E57">
        <w:rPr>
          <w:rFonts w:ascii="Times New Roman" w:hAnsi="Times New Roman"/>
          <w:sz w:val="24"/>
          <w:szCs w:val="24"/>
        </w:rPr>
        <w:t>(C)</w:t>
      </w:r>
      <w:r w:rsidRPr="00FB4E57">
        <w:rPr>
          <w:rFonts w:ascii="Times New Roman" w:hAnsi="Times New Roman"/>
          <w:sz w:val="24"/>
          <w:szCs w:val="24"/>
        </w:rPr>
        <w:tab/>
        <w:t xml:space="preserve">For purposes of assessment of the Independent Amount, ERCOT will deem a Counter-Party that is or is applying to be a CRR Account Holder as having a desire to participate in all ERCOT markets.  </w:t>
      </w:r>
    </w:p>
    <w:p w14:paraId="5A7DD360" w14:textId="46D8E0ED" w:rsidR="00770ABB" w:rsidRPr="00FB4E57" w:rsidRDefault="006868C6" w:rsidP="00770ABB">
      <w:pPr>
        <w:pStyle w:val="NoSpacing"/>
        <w:spacing w:after="240"/>
        <w:ind w:left="2880" w:hanging="720"/>
        <w:rPr>
          <w:rFonts w:ascii="Times New Roman" w:hAnsi="Times New Roman"/>
          <w:i/>
          <w:iCs/>
          <w:sz w:val="24"/>
          <w:szCs w:val="24"/>
        </w:rPr>
      </w:pPr>
      <w:r w:rsidRPr="00FB4E57">
        <w:rPr>
          <w:rFonts w:ascii="Times New Roman" w:hAnsi="Times New Roman"/>
          <w:sz w:val="24"/>
          <w:szCs w:val="24"/>
        </w:rPr>
        <w:t>(D)</w:t>
      </w:r>
      <w:r w:rsidRPr="00FB4E57">
        <w:rPr>
          <w:rFonts w:ascii="Times New Roman" w:hAnsi="Times New Roman"/>
          <w:sz w:val="24"/>
          <w:szCs w:val="24"/>
        </w:rPr>
        <w:tab/>
        <w:t xml:space="preserve">Financial Security posted pursuant to this section is fully available to ERCOT in the event of the Counter-Party’s Payment Breach.  </w:t>
      </w:r>
    </w:p>
    <w:p w14:paraId="28230163" w14:textId="77777777" w:rsidR="00770ABB" w:rsidRPr="00FB4E57" w:rsidRDefault="00770ABB" w:rsidP="000F17D7">
      <w:pPr>
        <w:pStyle w:val="List"/>
        <w:ind w:left="2880"/>
        <w:rPr>
          <w:i/>
          <w:iCs/>
          <w:szCs w:val="24"/>
        </w:rPr>
      </w:pPr>
      <w:r w:rsidRPr="00FB4E57">
        <w:rPr>
          <w:szCs w:val="24"/>
        </w:rPr>
        <w:t>(E)</w:t>
      </w:r>
      <w:r w:rsidRPr="00FB4E57">
        <w:rPr>
          <w:szCs w:val="24"/>
        </w:rPr>
        <w:tab/>
        <w:t xml:space="preserve">ERCOT shall add the Independent Amount to that Counter-Party’s </w:t>
      </w:r>
      <w:r w:rsidRPr="00C860C0">
        <w:rPr>
          <w:szCs w:val="24"/>
        </w:rPr>
        <w:t xml:space="preserve">Total Potential Exposure Secured </w:t>
      </w:r>
      <w:r>
        <w:rPr>
          <w:szCs w:val="24"/>
        </w:rPr>
        <w:t>(</w:t>
      </w:r>
      <w:r w:rsidRPr="00FB4E57">
        <w:rPr>
          <w:szCs w:val="24"/>
        </w:rPr>
        <w:t>TPES</w:t>
      </w:r>
      <w:r>
        <w:rPr>
          <w:szCs w:val="24"/>
        </w:rPr>
        <w:t>)</w:t>
      </w:r>
      <w:r w:rsidRPr="00FB4E57">
        <w:rPr>
          <w:szCs w:val="24"/>
        </w:rPr>
        <w:t xml:space="preserve"> pursuant to Section 16.11 and designate it as the Independent Amount.  ERCOT will require Financial Security for the Independent Amount in the same way as it does for other TPES elements.</w:t>
      </w:r>
      <w:r w:rsidRPr="00FB4E57" w:rsidDel="00425237">
        <w:rPr>
          <w:szCs w:val="24"/>
        </w:rPr>
        <w:t xml:space="preserve"> </w:t>
      </w:r>
    </w:p>
    <w:p w14:paraId="61F901F0" w14:textId="77777777" w:rsidR="00770ABB" w:rsidRDefault="00770ABB" w:rsidP="00770ABB">
      <w:pPr>
        <w:pStyle w:val="List"/>
        <w:ind w:left="2880"/>
        <w:rPr>
          <w:i/>
          <w:iCs/>
          <w:szCs w:val="24"/>
        </w:rPr>
      </w:pPr>
      <w:r w:rsidRPr="00FB4E57">
        <w:rPr>
          <w:szCs w:val="24"/>
        </w:rPr>
        <w:t>(F)</w:t>
      </w:r>
      <w:r w:rsidRPr="00FB4E57">
        <w:rPr>
          <w:szCs w:val="24"/>
        </w:rPr>
        <w:tab/>
        <w:t>Any non-payment of the Independent Amount is considered a Payment Breach pursuant to Section 16.11.6, Payment Breach and Late Payments by Market Participants</w:t>
      </w:r>
      <w:r>
        <w:rPr>
          <w:szCs w:val="24"/>
        </w:rPr>
        <w:t>.</w:t>
      </w:r>
      <w:r w:rsidRPr="00FB4E57">
        <w:rPr>
          <w:szCs w:val="24"/>
        </w:rPr>
        <w:t xml:space="preserve">  ERCOT may use any of the remedies provided in Section 16.11.6 to collect the Independent Amount for each Counter-Party.</w:t>
      </w:r>
    </w:p>
    <w:p w14:paraId="28CC3F43" w14:textId="77777777" w:rsidR="00770ABB" w:rsidRDefault="00770ABB" w:rsidP="00770ABB">
      <w:pPr>
        <w:pStyle w:val="ListParagraph"/>
        <w:spacing w:after="240" w:line="240" w:lineRule="auto"/>
        <w:ind w:left="1440" w:hanging="720"/>
        <w:rPr>
          <w:rFonts w:ascii="Times New Roman" w:hAnsi="Times New Roman"/>
          <w:i/>
          <w:iCs/>
          <w:sz w:val="24"/>
          <w:szCs w:val="24"/>
        </w:rPr>
      </w:pPr>
      <w:r w:rsidRPr="00893FB4">
        <w:rPr>
          <w:rFonts w:ascii="Times New Roman" w:hAnsi="Times New Roman"/>
          <w:sz w:val="24"/>
          <w:szCs w:val="24"/>
        </w:rPr>
        <w:t>(</w:t>
      </w:r>
      <w:r w:rsidR="00A71039">
        <w:rPr>
          <w:rFonts w:ascii="Times New Roman" w:hAnsi="Times New Roman"/>
          <w:sz w:val="24"/>
          <w:szCs w:val="24"/>
        </w:rPr>
        <w:t>e</w:t>
      </w:r>
      <w:r w:rsidRPr="00893FB4">
        <w:rPr>
          <w:rFonts w:ascii="Times New Roman" w:hAnsi="Times New Roman"/>
          <w:sz w:val="24"/>
          <w:szCs w:val="24"/>
        </w:rPr>
        <w:t>)</w:t>
      </w:r>
      <w:r w:rsidRPr="00893FB4">
        <w:rPr>
          <w:rFonts w:ascii="Times New Roman" w:hAnsi="Times New Roman"/>
          <w:sz w:val="24"/>
          <w:szCs w:val="24"/>
        </w:rPr>
        <w:tab/>
      </w:r>
      <w:r w:rsidRPr="00C92A67">
        <w:rPr>
          <w:rFonts w:ascii="Times New Roman" w:hAnsi="Times New Roman"/>
          <w:b/>
          <w:sz w:val="24"/>
          <w:szCs w:val="24"/>
          <w:u w:val="single"/>
        </w:rPr>
        <w:t>Risk Management Capabilities</w:t>
      </w:r>
      <w:r w:rsidRPr="00AC734B">
        <w:rPr>
          <w:rFonts w:ascii="Times New Roman" w:hAnsi="Times New Roman"/>
          <w:sz w:val="24"/>
          <w:szCs w:val="24"/>
        </w:rPr>
        <w:t>.</w:t>
      </w:r>
      <w:r w:rsidRPr="00893FB4">
        <w:rPr>
          <w:rFonts w:ascii="Times New Roman" w:hAnsi="Times New Roman"/>
          <w:sz w:val="24"/>
          <w:szCs w:val="24"/>
        </w:rPr>
        <w:t xml:space="preserve">  </w:t>
      </w:r>
      <w:r w:rsidRPr="00AC734B">
        <w:rPr>
          <w:rFonts w:ascii="Times New Roman" w:hAnsi="Times New Roman"/>
          <w:sz w:val="24"/>
          <w:szCs w:val="24"/>
        </w:rPr>
        <w:t xml:space="preserve">Each Counter-Party shall maintain appropriate, comprehensive risk management </w:t>
      </w:r>
      <w:r>
        <w:rPr>
          <w:rFonts w:ascii="Times New Roman" w:hAnsi="Times New Roman"/>
          <w:sz w:val="24"/>
          <w:szCs w:val="24"/>
        </w:rPr>
        <w:t>capabilities</w:t>
      </w:r>
      <w:r w:rsidRPr="00AC734B">
        <w:rPr>
          <w:rFonts w:ascii="Times New Roman" w:hAnsi="Times New Roman"/>
          <w:sz w:val="24"/>
          <w:szCs w:val="24"/>
        </w:rPr>
        <w:t xml:space="preserve"> with respect to the ERCOT markets in which the Counter-Party transacts or wishes to transact.  </w:t>
      </w:r>
      <w:r w:rsidRPr="00AC734B">
        <w:rPr>
          <w:rFonts w:ascii="Times New Roman" w:hAnsi="Times New Roman"/>
          <w:b/>
          <w:sz w:val="24"/>
          <w:szCs w:val="24"/>
        </w:rPr>
        <w:t xml:space="preserve"> </w:t>
      </w:r>
      <w:r w:rsidRPr="00C924B3">
        <w:rPr>
          <w:rFonts w:ascii="Times New Roman" w:hAnsi="Times New Roman"/>
          <w:sz w:val="24"/>
          <w:szCs w:val="24"/>
        </w:rPr>
        <w:t xml:space="preserve">ERCOT may review documentation supporting </w:t>
      </w:r>
      <w:r>
        <w:rPr>
          <w:rFonts w:ascii="Times New Roman" w:hAnsi="Times New Roman"/>
          <w:sz w:val="24"/>
          <w:szCs w:val="24"/>
        </w:rPr>
        <w:t xml:space="preserve">a </w:t>
      </w:r>
      <w:r w:rsidRPr="00C924B3">
        <w:rPr>
          <w:rFonts w:ascii="Times New Roman" w:hAnsi="Times New Roman"/>
          <w:sz w:val="24"/>
          <w:szCs w:val="24"/>
        </w:rPr>
        <w:t xml:space="preserve">Counter-Party’s risk management </w:t>
      </w:r>
      <w:r>
        <w:rPr>
          <w:rFonts w:ascii="Times New Roman" w:hAnsi="Times New Roman"/>
          <w:sz w:val="24"/>
          <w:szCs w:val="24"/>
        </w:rPr>
        <w:t>framework</w:t>
      </w:r>
      <w:r w:rsidRPr="00C924B3">
        <w:rPr>
          <w:rFonts w:ascii="Times New Roman" w:hAnsi="Times New Roman"/>
          <w:sz w:val="24"/>
          <w:szCs w:val="24"/>
        </w:rPr>
        <w:t xml:space="preserve"> as part of its processes for verifying the implementation of a Counter-Party</w:t>
      </w:r>
      <w:r>
        <w:rPr>
          <w:rFonts w:ascii="Times New Roman" w:hAnsi="Times New Roman"/>
          <w:sz w:val="24"/>
          <w:szCs w:val="24"/>
        </w:rPr>
        <w:t>’s</w:t>
      </w:r>
      <w:r w:rsidRPr="00C924B3">
        <w:rPr>
          <w:rFonts w:ascii="Times New Roman" w:hAnsi="Times New Roman"/>
          <w:sz w:val="24"/>
          <w:szCs w:val="24"/>
        </w:rPr>
        <w:t xml:space="preserve"> risk management framework as described</w:t>
      </w:r>
      <w:r>
        <w:rPr>
          <w:rFonts w:ascii="Times New Roman" w:hAnsi="Times New Roman"/>
          <w:sz w:val="24"/>
          <w:szCs w:val="24"/>
        </w:rPr>
        <w:t xml:space="preserve"> in Section 16.16.3, Verification of Risk Management Framework.</w:t>
      </w:r>
      <w:r w:rsidRPr="00C924B3">
        <w:rPr>
          <w:rFonts w:ascii="Times New Roman" w:hAnsi="Times New Roman"/>
          <w:sz w:val="24"/>
          <w:szCs w:val="24"/>
        </w:rPr>
        <w:t xml:space="preserve">   </w:t>
      </w:r>
    </w:p>
    <w:p w14:paraId="3EA3B678" w14:textId="77777777" w:rsidR="00770ABB" w:rsidRDefault="00770ABB" w:rsidP="00F80DFA">
      <w:pPr>
        <w:pStyle w:val="H3"/>
      </w:pPr>
      <w:bookmarkStart w:id="720" w:name="_Toc390439003"/>
      <w:bookmarkStart w:id="721" w:name="_Toc405897714"/>
      <w:bookmarkStart w:id="722" w:name="_Toc415055806"/>
      <w:bookmarkStart w:id="723" w:name="_Toc415055932"/>
      <w:bookmarkStart w:id="724" w:name="_Toc415056031"/>
      <w:bookmarkStart w:id="725" w:name="_Toc415056131"/>
      <w:bookmarkStart w:id="726" w:name="_Toc70591675"/>
      <w:r>
        <w:t>16.16.2</w:t>
      </w:r>
      <w:r>
        <w:tab/>
        <w:t>Annual Certification</w:t>
      </w:r>
      <w:bookmarkEnd w:id="720"/>
      <w:bookmarkEnd w:id="721"/>
      <w:bookmarkEnd w:id="722"/>
      <w:bookmarkEnd w:id="723"/>
      <w:bookmarkEnd w:id="724"/>
      <w:bookmarkEnd w:id="725"/>
      <w:bookmarkEnd w:id="726"/>
      <w:r w:rsidRPr="00137DB4">
        <w:rPr>
          <w:szCs w:val="24"/>
        </w:rPr>
        <w:t xml:space="preserve">  </w:t>
      </w:r>
    </w:p>
    <w:p w14:paraId="299BFE39" w14:textId="77777777" w:rsidR="00770ABB" w:rsidRPr="002C3290" w:rsidRDefault="00770ABB" w:rsidP="00770ABB">
      <w:pPr>
        <w:pStyle w:val="List"/>
        <w:ind w:left="720"/>
      </w:pPr>
      <w:r w:rsidRPr="002C3290">
        <w:t>(1)</w:t>
      </w:r>
      <w:r w:rsidRPr="002C3290">
        <w:tab/>
        <w:t>Each Counter-Party must submit to ERCOT annually a notarized certificate, signed by an officer or executive with authority to bind the Counter-Party, in the form of Section 22, Attachment J, Annual Certification Form to Meet ERCOT Additional Minimum Participation Requirement</w:t>
      </w:r>
      <w:r>
        <w:t>s</w:t>
      </w:r>
      <w:r w:rsidRPr="002C3290">
        <w:t xml:space="preserve">, certifying that the Counter-Party is in compliance with each of the Counter-Party criteria and agrees to procedures for verification of its risk management framework as described in Section 16.16.3, Verification of Risk Management Framework.  </w:t>
      </w:r>
    </w:p>
    <w:p w14:paraId="6074A85F" w14:textId="77777777" w:rsidR="00770ABB" w:rsidRPr="002C3290" w:rsidRDefault="00770ABB" w:rsidP="00770ABB">
      <w:pPr>
        <w:pStyle w:val="List"/>
        <w:ind w:left="720"/>
      </w:pPr>
      <w:r w:rsidRPr="002C3290">
        <w:t>(2)</w:t>
      </w:r>
      <w:r w:rsidRPr="002C3290">
        <w:tab/>
        <w:t xml:space="preserve">The certificate must be received by ERCOT no later than 120 days after the close of the fiscal year of the Counter-Party or its guarantor.  ERCOT may extend the period for providing the certificate on a case-by-case basis. </w:t>
      </w:r>
    </w:p>
    <w:p w14:paraId="766C3247" w14:textId="77777777" w:rsidR="00770ABB" w:rsidRPr="002C3290" w:rsidRDefault="00770ABB" w:rsidP="00770ABB">
      <w:pPr>
        <w:pStyle w:val="List"/>
        <w:ind w:left="720"/>
      </w:pPr>
      <w:r w:rsidRPr="002C3290">
        <w:lastRenderedPageBreak/>
        <w:t>(3)</w:t>
      </w:r>
      <w:r w:rsidRPr="002C3290">
        <w:tab/>
        <w:t>For new entry Counter-Parties, the certificate must be received by ERCOT prior to participation in any ERCOT markets.</w:t>
      </w:r>
    </w:p>
    <w:p w14:paraId="2FD1D1F8" w14:textId="77777777" w:rsidR="00770ABB" w:rsidRDefault="00770ABB" w:rsidP="00770ABB">
      <w:pPr>
        <w:pStyle w:val="List"/>
        <w:ind w:left="720"/>
      </w:pPr>
      <w:r>
        <w:t>(4)</w:t>
      </w:r>
      <w:r>
        <w:tab/>
      </w:r>
      <w:r w:rsidRPr="00137DB4">
        <w:t xml:space="preserve">A Counter-Party shall </w:t>
      </w:r>
      <w:r>
        <w:t xml:space="preserve">notify </w:t>
      </w:r>
      <w:r w:rsidRPr="00137DB4">
        <w:t xml:space="preserve">ERCOT within one </w:t>
      </w:r>
      <w:r>
        <w:t>d</w:t>
      </w:r>
      <w:r w:rsidRPr="00137DB4">
        <w:t xml:space="preserve">ay if it has experienced a material adverse change that would make its most recent </w:t>
      </w:r>
      <w:r>
        <w:t>a</w:t>
      </w:r>
      <w:r w:rsidRPr="00137DB4">
        <w:t xml:space="preserve">nnual </w:t>
      </w:r>
      <w:r>
        <w:t>c</w:t>
      </w:r>
      <w:r w:rsidRPr="00137DB4">
        <w:t>ertifica</w:t>
      </w:r>
      <w:r>
        <w:t>te</w:t>
      </w:r>
      <w:r w:rsidRPr="00137DB4">
        <w:t xml:space="preserve"> inaccurate. </w:t>
      </w:r>
    </w:p>
    <w:p w14:paraId="1F70DA75" w14:textId="77777777" w:rsidR="00770ABB" w:rsidRPr="00951B55" w:rsidRDefault="00770ABB" w:rsidP="00770ABB">
      <w:pPr>
        <w:pStyle w:val="H3"/>
        <w:rPr>
          <w:b w:val="0"/>
        </w:rPr>
      </w:pPr>
      <w:bookmarkStart w:id="727" w:name="_Toc390439004"/>
      <w:bookmarkStart w:id="728" w:name="_Toc405897715"/>
      <w:bookmarkStart w:id="729" w:name="_Toc415055807"/>
      <w:bookmarkStart w:id="730" w:name="_Toc415055933"/>
      <w:bookmarkStart w:id="731" w:name="_Toc415056032"/>
      <w:bookmarkStart w:id="732" w:name="_Toc415056132"/>
      <w:bookmarkStart w:id="733" w:name="_Toc70591676"/>
      <w:r>
        <w:t>16.16.3</w:t>
      </w:r>
      <w:r>
        <w:tab/>
      </w:r>
      <w:r w:rsidRPr="00945FF8">
        <w:rPr>
          <w:szCs w:val="24"/>
        </w:rPr>
        <w:t>Verification of Risk Management Framework</w:t>
      </w:r>
      <w:bookmarkEnd w:id="727"/>
      <w:bookmarkEnd w:id="728"/>
      <w:bookmarkEnd w:id="729"/>
      <w:bookmarkEnd w:id="730"/>
      <w:bookmarkEnd w:id="731"/>
      <w:bookmarkEnd w:id="732"/>
      <w:bookmarkEnd w:id="733"/>
      <w:r w:rsidRPr="00137DB4">
        <w:rPr>
          <w:szCs w:val="24"/>
        </w:rPr>
        <w:t xml:space="preserve"> </w:t>
      </w:r>
    </w:p>
    <w:p w14:paraId="4779794B" w14:textId="77777777" w:rsidR="00770ABB" w:rsidRPr="00951B55" w:rsidRDefault="00770ABB" w:rsidP="00770ABB">
      <w:pPr>
        <w:pStyle w:val="List"/>
        <w:ind w:left="720"/>
      </w:pPr>
      <w:r w:rsidRPr="002C3290">
        <w:t>(1)</w:t>
      </w:r>
      <w:r w:rsidRPr="002C3290">
        <w:tab/>
        <w:t xml:space="preserve">ERCOT will periodically perform or cause to be performed procedures to assess the risk management framework of Counter-Parties, including its implementation.  </w:t>
      </w:r>
    </w:p>
    <w:p w14:paraId="1A2F1454" w14:textId="77777777" w:rsidR="00770ABB" w:rsidRPr="002C3290" w:rsidRDefault="00770ABB" w:rsidP="00770ABB">
      <w:pPr>
        <w:pStyle w:val="List"/>
        <w:ind w:left="720"/>
      </w:pPr>
      <w:r w:rsidRPr="002C3290">
        <w:t>(2)</w:t>
      </w:r>
      <w:r w:rsidRPr="002C3290">
        <w:tab/>
        <w:t xml:space="preserve">ERCOT may retain a third party either to assess the sufficiency of the Counter-Party’s risk management framework or to provide guidance and advice as to what constitutes appropriate content with respect to generally accepted risk management practices in their respective markets, commensurate and proportional in sophistication, scope and frequency to the volume of transactions and the nature and extent of risk taken by the Counter-Party.  </w:t>
      </w:r>
    </w:p>
    <w:p w14:paraId="1B2BAB71" w14:textId="77777777" w:rsidR="00770ABB" w:rsidRPr="002C3290" w:rsidRDefault="00770ABB" w:rsidP="00770ABB">
      <w:pPr>
        <w:pStyle w:val="List"/>
        <w:ind w:left="720"/>
      </w:pPr>
      <w:r w:rsidRPr="002C3290">
        <w:t>(3)</w:t>
      </w:r>
      <w:r w:rsidRPr="002C3290">
        <w:tab/>
        <w:t>ERCOT shall, identify the nature and scope of generally accepted risk management practices in their respective markets by which Counter-Party risk management frameworks will be assessed.  Key elements will include:</w:t>
      </w:r>
    </w:p>
    <w:p w14:paraId="755CC81E" w14:textId="77777777" w:rsidR="00770ABB" w:rsidRPr="007A2A43" w:rsidRDefault="00770ABB" w:rsidP="00770ABB">
      <w:pPr>
        <w:pStyle w:val="List2"/>
        <w:tabs>
          <w:tab w:val="num" w:pos="1620"/>
        </w:tabs>
        <w:ind w:left="1440"/>
      </w:pPr>
      <w:r w:rsidRPr="007A2A43">
        <w:t>(a)</w:t>
      </w:r>
      <w:r>
        <w:tab/>
      </w:r>
      <w:r w:rsidRPr="007A2A43">
        <w:t>The risk management framework is documented in a risk policy addressing market and credit risks that has been approved by a Counter-Party’s risk management function which includes appropriate corporate persons or bodies that are independent of the Counter-Party’s trading functions, such as a risk management committee, a designated risk officer, participant Counter-Party’s board or board committee, or, if applicable, a board or committee of the Counter-Party’s parent company.</w:t>
      </w:r>
    </w:p>
    <w:p w14:paraId="03761E57" w14:textId="77777777" w:rsidR="00770ABB" w:rsidRPr="007A2A43" w:rsidRDefault="00770ABB" w:rsidP="00770ABB">
      <w:pPr>
        <w:pStyle w:val="List2"/>
        <w:tabs>
          <w:tab w:val="num" w:pos="1620"/>
        </w:tabs>
        <w:ind w:left="1440"/>
      </w:pPr>
      <w:r>
        <w:t>(b)</w:t>
      </w:r>
      <w:r>
        <w:tab/>
      </w:r>
      <w:r w:rsidRPr="007A2A43">
        <w:t xml:space="preserve">A Counter-Party maintains an organizational structure with clearly defined roles and responsibilities that clearly segregate trading and risk control functions. </w:t>
      </w:r>
    </w:p>
    <w:p w14:paraId="65769165" w14:textId="77777777" w:rsidR="00770ABB" w:rsidRPr="007A2A43" w:rsidRDefault="00770ABB" w:rsidP="00770ABB">
      <w:pPr>
        <w:pStyle w:val="List2"/>
        <w:tabs>
          <w:tab w:val="num" w:pos="1620"/>
        </w:tabs>
        <w:ind w:left="1440"/>
      </w:pPr>
      <w:r>
        <w:t>(c)</w:t>
      </w:r>
      <w:r>
        <w:tab/>
      </w:r>
      <w:r w:rsidRPr="007A2A43">
        <w:t>There is clarity of authority specifying the transactions into which traders are allowed to enter.</w:t>
      </w:r>
    </w:p>
    <w:p w14:paraId="10B4CCD3" w14:textId="77777777" w:rsidR="00770ABB" w:rsidRPr="007A2A43" w:rsidRDefault="00770ABB" w:rsidP="00770ABB">
      <w:pPr>
        <w:pStyle w:val="List2"/>
        <w:tabs>
          <w:tab w:val="num" w:pos="1620"/>
        </w:tabs>
        <w:ind w:left="1440"/>
      </w:pPr>
      <w:r>
        <w:t>(d)</w:t>
      </w:r>
      <w:r>
        <w:tab/>
      </w:r>
      <w:r w:rsidRPr="007A2A43">
        <w:t>A Counter-Party ensures that traders have adequate training and/or experience relative to their delegations of authority in systems and the markets in which they transact.</w:t>
      </w:r>
    </w:p>
    <w:p w14:paraId="03227B2B" w14:textId="77777777" w:rsidR="00770ABB" w:rsidRPr="007A2A43" w:rsidRDefault="00770ABB" w:rsidP="00770ABB">
      <w:pPr>
        <w:pStyle w:val="List2"/>
        <w:tabs>
          <w:tab w:val="num" w:pos="1620"/>
        </w:tabs>
        <w:ind w:left="1440"/>
      </w:pPr>
      <w:r>
        <w:t>(e)</w:t>
      </w:r>
      <w:r>
        <w:tab/>
      </w:r>
      <w:r w:rsidRPr="007A2A43">
        <w:t>As appropriate, a Counter-Party has risk limits in place to control risk exposures.</w:t>
      </w:r>
    </w:p>
    <w:p w14:paraId="5CDBE328" w14:textId="77777777" w:rsidR="00770ABB" w:rsidRPr="007A2A43" w:rsidRDefault="00770ABB" w:rsidP="00770ABB">
      <w:pPr>
        <w:pStyle w:val="List2"/>
        <w:tabs>
          <w:tab w:val="num" w:pos="1620"/>
        </w:tabs>
        <w:ind w:left="1440"/>
      </w:pPr>
      <w:r>
        <w:t>(f)</w:t>
      </w:r>
      <w:r>
        <w:tab/>
      </w:r>
      <w:r w:rsidRPr="007A2A43">
        <w:t>A Counter-Party has reporting in place to ensure risks are adequately communicated throughout the organization.</w:t>
      </w:r>
    </w:p>
    <w:p w14:paraId="7AA65AC2" w14:textId="77777777" w:rsidR="00770ABB" w:rsidRPr="007A2A43" w:rsidRDefault="00770ABB" w:rsidP="00770ABB">
      <w:pPr>
        <w:pStyle w:val="List2"/>
        <w:tabs>
          <w:tab w:val="num" w:pos="1620"/>
        </w:tabs>
        <w:ind w:left="1440"/>
      </w:pPr>
      <w:r>
        <w:t>(g)</w:t>
      </w:r>
      <w:r>
        <w:tab/>
      </w:r>
      <w:r w:rsidRPr="007A2A43">
        <w:t>A Counter-Party has processes in place for independent confirmation of executed transactions.</w:t>
      </w:r>
    </w:p>
    <w:p w14:paraId="5AF4C487" w14:textId="77777777" w:rsidR="00770ABB" w:rsidRPr="007A2A43" w:rsidRDefault="00770ABB" w:rsidP="00770ABB">
      <w:pPr>
        <w:pStyle w:val="List2"/>
        <w:tabs>
          <w:tab w:val="num" w:pos="1620"/>
        </w:tabs>
        <w:ind w:left="1440"/>
      </w:pPr>
      <w:r w:rsidRPr="007A2A43">
        <w:lastRenderedPageBreak/>
        <w:t>(h)</w:t>
      </w:r>
      <w:r w:rsidRPr="007A2A43">
        <w:tab/>
        <w:t>A Counter-Party performs a periodic valuation or mark-to-market of risk positions, as appropriate.</w:t>
      </w:r>
    </w:p>
    <w:p w14:paraId="7B245937" w14:textId="77777777" w:rsidR="00770ABB" w:rsidRDefault="00770ABB" w:rsidP="00770ABB">
      <w:pPr>
        <w:pStyle w:val="List2"/>
        <w:tabs>
          <w:tab w:val="num" w:pos="1620"/>
        </w:tabs>
        <w:ind w:left="1440"/>
      </w:pPr>
      <w:r w:rsidRPr="00FB4E57">
        <w:t>(i)</w:t>
      </w:r>
      <w:r>
        <w:tab/>
        <w:t xml:space="preserve">The ERCOT Board may approve minimum standards under an Other Binding Document. </w:t>
      </w:r>
    </w:p>
    <w:p w14:paraId="3C7F7B95" w14:textId="77777777" w:rsidR="00770ABB" w:rsidRPr="008E27A2" w:rsidRDefault="00770ABB" w:rsidP="00770ABB">
      <w:pPr>
        <w:pStyle w:val="List"/>
        <w:ind w:left="720"/>
      </w:pPr>
      <w:r>
        <w:t>(4)</w:t>
      </w:r>
      <w:r>
        <w:tab/>
      </w:r>
      <w:r w:rsidRPr="002C3290">
        <w:t>Upon notice of being selected for verification, a Counter-Party will make available or submit to ERCOT, or a third party acting on ERCOT’s behalf, such documentation as is necessary to provide evidence of the sufficiency and implementation of its risk management framework.  Such information may include, but not be limited to, documents of the following nature:  risk policies, organizational charts, Delegations of Authority, training records, risk limit structure, reporting frameworks, and relevant procedures, all in a level of detail acceptable to ERCOT.  Along with such documentation, a Counter-Party will provide a written explanation to ERCOT or its agent of how its risk management framework conforms to the risk management standards noted above.  Requested information and documents must be made available for review by ERCOT, or a third party acting on ERCOT’s behalf, 30 days after Notice of the request.  ERCOT will provide Counter-Party Notice of inadequate documentation and will give Counter-Party ten Business Days to correct the inadequacy.  At ERCOT’s sole discretion, these deadlines may be extended on a case-by-case basis.</w:t>
      </w:r>
    </w:p>
    <w:p w14:paraId="01B4CC7D" w14:textId="77777777" w:rsidR="00770ABB" w:rsidRPr="002C3290" w:rsidRDefault="00770ABB" w:rsidP="00770ABB">
      <w:pPr>
        <w:pStyle w:val="List"/>
        <w:ind w:left="720"/>
      </w:pPr>
      <w:r w:rsidRPr="002C3290">
        <w:t>(5)</w:t>
      </w:r>
      <w:r w:rsidRPr="002C3290">
        <w:tab/>
        <w:t xml:space="preserve">If necessary, Counter-Parties will support the verification process by, among other things, making appropriate personnel available for interviews, permitting on-site observation of credit and risk management processes and procedures, and providing written responses to written inquiries on a timely basis.  A Counter-Party may request that ERCOT or a third party performing verification on ERCOT’s behalf perform the review on-site at the Counter-Party’s location.  Any resulting additional expenses will in this case be the sole responsibility of the Counter-Party making the request.   </w:t>
      </w:r>
    </w:p>
    <w:p w14:paraId="10158438" w14:textId="77777777" w:rsidR="00770ABB" w:rsidRPr="002C3290" w:rsidRDefault="00770ABB" w:rsidP="00770ABB">
      <w:pPr>
        <w:pStyle w:val="List"/>
        <w:ind w:left="720"/>
      </w:pPr>
      <w:r w:rsidRPr="002C3290">
        <w:t>(6)</w:t>
      </w:r>
      <w:r w:rsidRPr="002C3290">
        <w:tab/>
        <w:t>ERCOT will perform procedures to verify the risk management framework at least annually for any Counter-Party if that Counter-Party or its guarantor is:</w:t>
      </w:r>
    </w:p>
    <w:p w14:paraId="247E23A7" w14:textId="77777777" w:rsidR="00770ABB" w:rsidRDefault="00770ABB" w:rsidP="00770ABB">
      <w:pPr>
        <w:pStyle w:val="ListParagraph"/>
        <w:spacing w:after="240" w:line="240" w:lineRule="auto"/>
        <w:ind w:left="1440" w:hanging="720"/>
        <w:contextualSpacing w:val="0"/>
        <w:rPr>
          <w:rFonts w:ascii="Times New Roman" w:hAnsi="Times New Roman"/>
          <w:sz w:val="24"/>
          <w:szCs w:val="24"/>
        </w:rPr>
      </w:pPr>
      <w:r>
        <w:rPr>
          <w:rFonts w:ascii="Times New Roman" w:hAnsi="Times New Roman"/>
          <w:sz w:val="24"/>
          <w:szCs w:val="24"/>
        </w:rPr>
        <w:t>(a</w:t>
      </w:r>
      <w:r w:rsidRPr="00C37DC7">
        <w:rPr>
          <w:rFonts w:ascii="Times New Roman" w:hAnsi="Times New Roman"/>
          <w:sz w:val="24"/>
          <w:szCs w:val="24"/>
        </w:rPr>
        <w:t>)</w:t>
      </w:r>
      <w:r>
        <w:rPr>
          <w:rFonts w:ascii="Times New Roman" w:hAnsi="Times New Roman"/>
          <w:sz w:val="24"/>
          <w:szCs w:val="24"/>
        </w:rPr>
        <w:tab/>
        <w:t>I</w:t>
      </w:r>
      <w:r w:rsidRPr="00C37DC7">
        <w:rPr>
          <w:rFonts w:ascii="Times New Roman" w:hAnsi="Times New Roman"/>
          <w:sz w:val="24"/>
          <w:szCs w:val="24"/>
        </w:rPr>
        <w:t xml:space="preserve">neligible for unsecured credit under </w:t>
      </w:r>
      <w:r w:rsidR="00651F88" w:rsidRPr="00CC731E">
        <w:rPr>
          <w:rFonts w:ascii="Times New Roman" w:hAnsi="Times New Roman"/>
          <w:sz w:val="24"/>
          <w:szCs w:val="24"/>
        </w:rPr>
        <w:t>Section 16.11.2</w:t>
      </w:r>
      <w:r w:rsidR="00651F88">
        <w:rPr>
          <w:rFonts w:ascii="Times New Roman" w:hAnsi="Times New Roman"/>
          <w:sz w:val="24"/>
          <w:szCs w:val="24"/>
        </w:rPr>
        <w:t xml:space="preserve">, </w:t>
      </w:r>
      <w:r w:rsidR="00651F88" w:rsidRPr="00651F88">
        <w:rPr>
          <w:rFonts w:ascii="Times New Roman" w:hAnsi="Times New Roman"/>
          <w:sz w:val="24"/>
          <w:szCs w:val="24"/>
        </w:rPr>
        <w:t>Requirements for Setting a Counter-Party’s Unsecured Credit Limit</w:t>
      </w:r>
      <w:r>
        <w:rPr>
          <w:rFonts w:ascii="Times New Roman" w:hAnsi="Times New Roman"/>
          <w:sz w:val="24"/>
          <w:szCs w:val="24"/>
        </w:rPr>
        <w:t xml:space="preserve">; </w:t>
      </w:r>
      <w:r w:rsidRPr="00C37DC7">
        <w:rPr>
          <w:rFonts w:ascii="Times New Roman" w:hAnsi="Times New Roman"/>
          <w:sz w:val="24"/>
          <w:szCs w:val="24"/>
        </w:rPr>
        <w:t>and</w:t>
      </w:r>
    </w:p>
    <w:p w14:paraId="162A76D7" w14:textId="77777777" w:rsidR="00770ABB" w:rsidRDefault="00770ABB" w:rsidP="00A93E8D">
      <w:pPr>
        <w:pStyle w:val="ListParagraph"/>
        <w:spacing w:after="240" w:line="240" w:lineRule="auto"/>
        <w:ind w:left="1440" w:hanging="720"/>
        <w:contextualSpacing w:val="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H</w:t>
      </w:r>
      <w:r w:rsidRPr="00C37DC7">
        <w:rPr>
          <w:rFonts w:ascii="Times New Roman" w:hAnsi="Times New Roman"/>
          <w:sz w:val="24"/>
          <w:szCs w:val="24"/>
        </w:rPr>
        <w:t xml:space="preserve">as had exposure in CRR Obligations in </w:t>
      </w:r>
      <w:r>
        <w:rPr>
          <w:rFonts w:ascii="Times New Roman" w:hAnsi="Times New Roman"/>
          <w:sz w:val="24"/>
          <w:szCs w:val="24"/>
        </w:rPr>
        <w:t xml:space="preserve">the </w:t>
      </w:r>
      <w:r w:rsidRPr="00C37DC7">
        <w:rPr>
          <w:rFonts w:ascii="Times New Roman" w:hAnsi="Times New Roman"/>
          <w:sz w:val="24"/>
          <w:szCs w:val="24"/>
        </w:rPr>
        <w:t xml:space="preserve">ERCOT CRR market during the year preceding the date of the </w:t>
      </w:r>
      <w:r>
        <w:rPr>
          <w:rFonts w:ascii="Times New Roman" w:hAnsi="Times New Roman"/>
          <w:sz w:val="24"/>
          <w:szCs w:val="24"/>
        </w:rPr>
        <w:t>a</w:t>
      </w:r>
      <w:r w:rsidRPr="00C37DC7">
        <w:rPr>
          <w:rFonts w:ascii="Times New Roman" w:hAnsi="Times New Roman"/>
          <w:sz w:val="24"/>
          <w:szCs w:val="24"/>
        </w:rPr>
        <w:t xml:space="preserve">nnual </w:t>
      </w:r>
      <w:r>
        <w:rPr>
          <w:rFonts w:ascii="Times New Roman" w:hAnsi="Times New Roman"/>
          <w:sz w:val="24"/>
          <w:szCs w:val="24"/>
        </w:rPr>
        <w:t>c</w:t>
      </w:r>
      <w:r w:rsidRPr="00C37DC7">
        <w:rPr>
          <w:rFonts w:ascii="Times New Roman" w:hAnsi="Times New Roman"/>
          <w:sz w:val="24"/>
          <w:szCs w:val="24"/>
        </w:rPr>
        <w:t>ertificat</w:t>
      </w:r>
      <w:r>
        <w:rPr>
          <w:rFonts w:ascii="Times New Roman" w:hAnsi="Times New Roman"/>
          <w:sz w:val="24"/>
          <w:szCs w:val="24"/>
        </w:rPr>
        <w:t>e</w:t>
      </w:r>
      <w:r w:rsidRPr="00C37DC7">
        <w:rPr>
          <w:rFonts w:ascii="Times New Roman" w:hAnsi="Times New Roman"/>
          <w:sz w:val="24"/>
          <w:szCs w:val="24"/>
        </w:rPr>
        <w:t xml:space="preserve">. </w:t>
      </w:r>
    </w:p>
    <w:p w14:paraId="761DE048" w14:textId="77777777" w:rsidR="00770ABB" w:rsidRDefault="00770ABB" w:rsidP="00770ABB">
      <w:pPr>
        <w:pStyle w:val="ListParagraph"/>
        <w:spacing w:after="240" w:line="240" w:lineRule="auto"/>
        <w:ind w:left="2160" w:hanging="720"/>
        <w:contextualSpacing w:val="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Pr="00C37DC7">
        <w:rPr>
          <w:rFonts w:ascii="Times New Roman" w:hAnsi="Times New Roman"/>
          <w:sz w:val="24"/>
          <w:szCs w:val="24"/>
        </w:rPr>
        <w:t xml:space="preserve">Notwithstanding the above, ERCOT will perform risk management </w:t>
      </w:r>
      <w:r>
        <w:rPr>
          <w:rFonts w:ascii="Times New Roman" w:hAnsi="Times New Roman"/>
          <w:sz w:val="24"/>
          <w:szCs w:val="24"/>
        </w:rPr>
        <w:t xml:space="preserve">framework </w:t>
      </w:r>
      <w:r w:rsidRPr="00C37DC7">
        <w:rPr>
          <w:rFonts w:ascii="Times New Roman" w:hAnsi="Times New Roman"/>
          <w:sz w:val="24"/>
          <w:szCs w:val="24"/>
        </w:rPr>
        <w:t xml:space="preserve">verification procedures on other Counter-Parties at its sole discretion. </w:t>
      </w:r>
    </w:p>
    <w:p w14:paraId="7332239D" w14:textId="77777777" w:rsidR="00770ABB" w:rsidRDefault="00770ABB" w:rsidP="00770ABB">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Pr="00C37DC7">
        <w:rPr>
          <w:rFonts w:ascii="Times New Roman" w:hAnsi="Times New Roman"/>
          <w:sz w:val="24"/>
          <w:szCs w:val="24"/>
        </w:rPr>
        <w:t xml:space="preserve">Upon completion of </w:t>
      </w:r>
      <w:r>
        <w:rPr>
          <w:rFonts w:ascii="Times New Roman" w:hAnsi="Times New Roman"/>
          <w:sz w:val="24"/>
          <w:szCs w:val="24"/>
        </w:rPr>
        <w:t xml:space="preserve">its </w:t>
      </w:r>
      <w:r w:rsidRPr="00C37DC7">
        <w:rPr>
          <w:rFonts w:ascii="Times New Roman" w:hAnsi="Times New Roman"/>
          <w:sz w:val="24"/>
          <w:szCs w:val="24"/>
        </w:rPr>
        <w:t xml:space="preserve">review, ERCOT will notify </w:t>
      </w:r>
      <w:r>
        <w:rPr>
          <w:rFonts w:ascii="Times New Roman" w:hAnsi="Times New Roman"/>
          <w:sz w:val="24"/>
          <w:szCs w:val="24"/>
        </w:rPr>
        <w:t xml:space="preserve">the </w:t>
      </w:r>
      <w:r w:rsidRPr="00C37DC7">
        <w:rPr>
          <w:rFonts w:ascii="Times New Roman" w:hAnsi="Times New Roman"/>
          <w:sz w:val="24"/>
          <w:szCs w:val="24"/>
        </w:rPr>
        <w:t xml:space="preserve">Counter-Party whether or not any material deficiencies were noted.  If material deficiencies exist, ERCOT may, in its sole discretion, establish in consultation with the Counter-Party, a remediation plan for any deficiencies.  The remediation period allowed for specific deficiencies should be consistent with the severity of those deficiencies and may have incremental deadlines.  </w:t>
      </w:r>
      <w:r w:rsidRPr="00C37DC7">
        <w:rPr>
          <w:rFonts w:ascii="Times New Roman" w:hAnsi="Times New Roman"/>
          <w:sz w:val="24"/>
          <w:szCs w:val="24"/>
        </w:rPr>
        <w:lastRenderedPageBreak/>
        <w:t>The total remediation period will not exceed 90 days</w:t>
      </w:r>
      <w:r>
        <w:rPr>
          <w:rFonts w:ascii="Times New Roman" w:hAnsi="Times New Roman"/>
          <w:sz w:val="24"/>
          <w:szCs w:val="24"/>
        </w:rPr>
        <w:t>, unless extended, at ERCOT’s sole discretion, on a case-by-case basis</w:t>
      </w:r>
      <w:r w:rsidRPr="00C37DC7">
        <w:rPr>
          <w:rFonts w:ascii="Times New Roman" w:hAnsi="Times New Roman"/>
          <w:sz w:val="24"/>
          <w:szCs w:val="24"/>
        </w:rPr>
        <w:t xml:space="preserve">.    </w:t>
      </w:r>
    </w:p>
    <w:p w14:paraId="658D28CE" w14:textId="77777777" w:rsidR="00770ABB" w:rsidRDefault="00770ABB" w:rsidP="00770ABB">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Pr="00C37DC7">
        <w:rPr>
          <w:rFonts w:ascii="Times New Roman" w:hAnsi="Times New Roman"/>
          <w:sz w:val="24"/>
          <w:szCs w:val="24"/>
        </w:rPr>
        <w:t xml:space="preserve">Risk management deficiencies remaining beyond the ERCOT-defined remediation periods constitute a material </w:t>
      </w:r>
      <w:r>
        <w:rPr>
          <w:rFonts w:ascii="Times New Roman" w:hAnsi="Times New Roman"/>
          <w:sz w:val="24"/>
          <w:szCs w:val="24"/>
        </w:rPr>
        <w:t>b</w:t>
      </w:r>
      <w:r w:rsidRPr="00C37DC7">
        <w:rPr>
          <w:rFonts w:ascii="Times New Roman" w:hAnsi="Times New Roman"/>
          <w:sz w:val="24"/>
          <w:szCs w:val="24"/>
        </w:rPr>
        <w:t>reach under the Counter-Party’s Standard Form Market Participant Agreement</w:t>
      </w:r>
      <w:r>
        <w:rPr>
          <w:rFonts w:ascii="Times New Roman" w:hAnsi="Times New Roman"/>
          <w:sz w:val="24"/>
          <w:szCs w:val="24"/>
        </w:rPr>
        <w:t xml:space="preserve"> as provided for in Section 22, Attachment A, Standard Form Market Participant Agreement</w:t>
      </w:r>
      <w:r w:rsidRPr="00C37DC7">
        <w:rPr>
          <w:rFonts w:ascii="Times New Roman" w:hAnsi="Times New Roman"/>
          <w:sz w:val="24"/>
          <w:szCs w:val="24"/>
        </w:rPr>
        <w:t xml:space="preserve">.  Upon a material </w:t>
      </w:r>
      <w:r>
        <w:rPr>
          <w:rFonts w:ascii="Times New Roman" w:hAnsi="Times New Roman"/>
          <w:sz w:val="24"/>
          <w:szCs w:val="24"/>
        </w:rPr>
        <w:t>b</w:t>
      </w:r>
      <w:r w:rsidRPr="00C37DC7">
        <w:rPr>
          <w:rFonts w:ascii="Times New Roman" w:hAnsi="Times New Roman"/>
          <w:sz w:val="24"/>
          <w:szCs w:val="24"/>
        </w:rPr>
        <w:t>reach, ERCOT may, in addition to any other rights or remedies ERCOT has under any agreement, these Protocols or at common law, suspend any or all future activities in the ERCOT market, pending remediation of deficiencies.</w:t>
      </w:r>
      <w:r>
        <w:rPr>
          <w:rFonts w:ascii="Times New Roman" w:hAnsi="Times New Roman"/>
          <w:sz w:val="24"/>
          <w:szCs w:val="24"/>
        </w:rPr>
        <w:t xml:space="preserve">  An action by ERCOT to suspend activities in the ERCOT market is subject to the provisions of Section 20, Alternative Dispute Resolution Process.  </w:t>
      </w:r>
    </w:p>
    <w:p w14:paraId="736360E4" w14:textId="77777777" w:rsidR="00770ABB" w:rsidRDefault="00770ABB" w:rsidP="00770ABB">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sidRPr="00C37DC7">
        <w:rPr>
          <w:rFonts w:ascii="Times New Roman" w:hAnsi="Times New Roman"/>
          <w:sz w:val="24"/>
          <w:szCs w:val="24"/>
        </w:rPr>
        <w:t xml:space="preserve">Participation in ERCOT markets is contingent on verification by </w:t>
      </w:r>
      <w:r w:rsidRPr="00431601">
        <w:rPr>
          <w:rFonts w:ascii="Times New Roman" w:hAnsi="Times New Roman"/>
          <w:sz w:val="24"/>
          <w:szCs w:val="24"/>
        </w:rPr>
        <w:t xml:space="preserve">ERCOT, or by a third party acting on ERCOT’s behalf, that the proposed measures have been implemented.  </w:t>
      </w:r>
    </w:p>
    <w:p w14:paraId="468906E9" w14:textId="77777777" w:rsidR="00770ABB" w:rsidRDefault="00770ABB" w:rsidP="00770ABB">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r>
      <w:r w:rsidRPr="00431601">
        <w:rPr>
          <w:rFonts w:ascii="Times New Roman" w:hAnsi="Times New Roman"/>
          <w:sz w:val="24"/>
          <w:szCs w:val="24"/>
        </w:rPr>
        <w:t>If a Counter-Party provides evidence that its risk management framework has been deemed sufficient for transacting in another R</w:t>
      </w:r>
      <w:r>
        <w:rPr>
          <w:rFonts w:ascii="Times New Roman" w:hAnsi="Times New Roman"/>
          <w:sz w:val="24"/>
          <w:szCs w:val="24"/>
        </w:rPr>
        <w:t xml:space="preserve">egional </w:t>
      </w:r>
      <w:r w:rsidRPr="00431601">
        <w:rPr>
          <w:rFonts w:ascii="Times New Roman" w:hAnsi="Times New Roman"/>
          <w:sz w:val="24"/>
          <w:szCs w:val="24"/>
        </w:rPr>
        <w:t>T</w:t>
      </w:r>
      <w:r>
        <w:rPr>
          <w:rFonts w:ascii="Times New Roman" w:hAnsi="Times New Roman"/>
          <w:sz w:val="24"/>
          <w:szCs w:val="24"/>
        </w:rPr>
        <w:t xml:space="preserve">ransmission </w:t>
      </w:r>
      <w:r w:rsidRPr="00431601">
        <w:rPr>
          <w:rFonts w:ascii="Times New Roman" w:hAnsi="Times New Roman"/>
          <w:sz w:val="24"/>
          <w:szCs w:val="24"/>
        </w:rPr>
        <w:t>O</w:t>
      </w:r>
      <w:r>
        <w:rPr>
          <w:rFonts w:ascii="Times New Roman" w:hAnsi="Times New Roman"/>
          <w:sz w:val="24"/>
          <w:szCs w:val="24"/>
        </w:rPr>
        <w:t>perator</w:t>
      </w:r>
      <w:r w:rsidRPr="00431601">
        <w:rPr>
          <w:rFonts w:ascii="Times New Roman" w:hAnsi="Times New Roman"/>
          <w:sz w:val="24"/>
          <w:szCs w:val="24"/>
        </w:rPr>
        <w:t>/I</w:t>
      </w:r>
      <w:r>
        <w:rPr>
          <w:rFonts w:ascii="Times New Roman" w:hAnsi="Times New Roman"/>
          <w:sz w:val="24"/>
          <w:szCs w:val="24"/>
        </w:rPr>
        <w:t xml:space="preserve">ndependent </w:t>
      </w:r>
      <w:r w:rsidRPr="00431601">
        <w:rPr>
          <w:rFonts w:ascii="Times New Roman" w:hAnsi="Times New Roman"/>
          <w:sz w:val="24"/>
          <w:szCs w:val="24"/>
        </w:rPr>
        <w:t>S</w:t>
      </w:r>
      <w:r>
        <w:rPr>
          <w:rFonts w:ascii="Times New Roman" w:hAnsi="Times New Roman"/>
          <w:sz w:val="24"/>
          <w:szCs w:val="24"/>
        </w:rPr>
        <w:t xml:space="preserve">ystem </w:t>
      </w:r>
      <w:r w:rsidRPr="00431601">
        <w:rPr>
          <w:rFonts w:ascii="Times New Roman" w:hAnsi="Times New Roman"/>
          <w:sz w:val="24"/>
          <w:szCs w:val="24"/>
        </w:rPr>
        <w:t>O</w:t>
      </w:r>
      <w:r>
        <w:rPr>
          <w:rFonts w:ascii="Times New Roman" w:hAnsi="Times New Roman"/>
          <w:sz w:val="24"/>
          <w:szCs w:val="24"/>
        </w:rPr>
        <w:t>perator</w:t>
      </w:r>
      <w:r w:rsidRPr="00431601">
        <w:rPr>
          <w:rFonts w:ascii="Times New Roman" w:hAnsi="Times New Roman"/>
          <w:sz w:val="24"/>
          <w:szCs w:val="24"/>
        </w:rPr>
        <w:t xml:space="preserve"> market</w:t>
      </w:r>
      <w:r>
        <w:rPr>
          <w:rFonts w:ascii="Times New Roman" w:hAnsi="Times New Roman"/>
          <w:sz w:val="24"/>
          <w:szCs w:val="24"/>
        </w:rPr>
        <w:t xml:space="preserve"> in the United States</w:t>
      </w:r>
      <w:r w:rsidRPr="00431601">
        <w:rPr>
          <w:rFonts w:ascii="Times New Roman" w:hAnsi="Times New Roman"/>
          <w:sz w:val="24"/>
          <w:szCs w:val="24"/>
        </w:rPr>
        <w:t xml:space="preserve">, ERCOT may </w:t>
      </w:r>
      <w:r>
        <w:rPr>
          <w:rFonts w:ascii="Times New Roman" w:hAnsi="Times New Roman"/>
          <w:sz w:val="24"/>
          <w:szCs w:val="24"/>
        </w:rPr>
        <w:t xml:space="preserve">elect to forego </w:t>
      </w:r>
      <w:r w:rsidRPr="00431601">
        <w:rPr>
          <w:rFonts w:ascii="Times New Roman" w:hAnsi="Times New Roman"/>
          <w:sz w:val="24"/>
          <w:szCs w:val="24"/>
        </w:rPr>
        <w:t>verification processes</w:t>
      </w:r>
      <w:r>
        <w:rPr>
          <w:rFonts w:ascii="Times New Roman" w:hAnsi="Times New Roman"/>
          <w:sz w:val="24"/>
          <w:szCs w:val="24"/>
        </w:rPr>
        <w:t>.</w:t>
      </w:r>
    </w:p>
    <w:p w14:paraId="11DAEAB2" w14:textId="77777777" w:rsidR="00770ABB" w:rsidRDefault="00770ABB" w:rsidP="00770ABB">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 xml:space="preserve">In conjunction with providing its annual certificate, if a Counter-Party certifies that there has been no material change in its risk management capabilities since the framework was last verified, ERCOT may elect to forego verification.  ERCOT may not forego verification more than once in any </w:t>
      </w:r>
      <w:r w:rsidR="005839D0">
        <w:rPr>
          <w:rFonts w:ascii="Times New Roman" w:hAnsi="Times New Roman"/>
          <w:sz w:val="24"/>
          <w:szCs w:val="24"/>
        </w:rPr>
        <w:t>24-</w:t>
      </w:r>
      <w:r>
        <w:rPr>
          <w:rFonts w:ascii="Times New Roman" w:hAnsi="Times New Roman"/>
          <w:sz w:val="24"/>
          <w:szCs w:val="24"/>
        </w:rPr>
        <w:t>month period.</w:t>
      </w:r>
    </w:p>
    <w:p w14:paraId="166A5E2C" w14:textId="77777777" w:rsidR="00233DE1" w:rsidRPr="00233DE1" w:rsidRDefault="00233DE1" w:rsidP="00233DE1">
      <w:pPr>
        <w:pStyle w:val="H2"/>
        <w:ind w:left="907" w:hanging="907"/>
        <w:rPr>
          <w:szCs w:val="24"/>
          <w:lang w:val="en-US" w:eastAsia="en-US"/>
        </w:rPr>
      </w:pPr>
      <w:bookmarkStart w:id="734" w:name="_Toc70591677"/>
      <w:r w:rsidRPr="00233DE1">
        <w:rPr>
          <w:szCs w:val="24"/>
          <w:lang w:val="en-US" w:eastAsia="en-US"/>
        </w:rPr>
        <w:t xml:space="preserve">16.17 </w:t>
      </w:r>
      <w:r w:rsidRPr="00233DE1">
        <w:rPr>
          <w:szCs w:val="24"/>
          <w:lang w:val="en-US" w:eastAsia="en-US"/>
        </w:rPr>
        <w:tab/>
        <w:t>Exemption for Qualified Scheduling Entities Participating Only in Emergency Response Service</w:t>
      </w:r>
      <w:bookmarkEnd w:id="734"/>
    </w:p>
    <w:p w14:paraId="09AB779C" w14:textId="77777777" w:rsidR="00233DE1" w:rsidRPr="00233DE1" w:rsidRDefault="00233DE1" w:rsidP="00233DE1">
      <w:pPr>
        <w:pStyle w:val="BodyTextNumbered"/>
        <w:rPr>
          <w:szCs w:val="24"/>
        </w:rPr>
      </w:pPr>
      <w:r w:rsidRPr="00233DE1">
        <w:rPr>
          <w:szCs w:val="24"/>
        </w:rPr>
        <w:t>(1)</w:t>
      </w:r>
      <w:r w:rsidRPr="00233DE1">
        <w:rPr>
          <w:szCs w:val="24"/>
        </w:rPr>
        <w:tab/>
        <w:t xml:space="preserve">A Qualified Scheduling Entity (QSE) that is not also registered as a Congestion Revenue Rights (CRR) Account Holder, that does not participate in the Day-Ahead Market (DAM) or Real-Time Market (RTM), that represents only Emergency Response Service (ERS) Resources, and whose Total Potential Exposure (TPE) (as calculated in Section 16.11.4.1, Determination of Total Potential Exposure for a Counter-Party) is zero may request designation as an ERS-only QSE.  </w:t>
      </w:r>
    </w:p>
    <w:p w14:paraId="121842F0" w14:textId="77777777" w:rsidR="00233DE1" w:rsidRPr="00233DE1" w:rsidRDefault="00233DE1" w:rsidP="00233DE1">
      <w:pPr>
        <w:pStyle w:val="BodyTextNumbered"/>
        <w:rPr>
          <w:szCs w:val="24"/>
        </w:rPr>
      </w:pPr>
      <w:r w:rsidRPr="00233DE1">
        <w:rPr>
          <w:szCs w:val="24"/>
        </w:rPr>
        <w:t>(2)</w:t>
      </w:r>
      <w:r w:rsidRPr="00233DE1">
        <w:rPr>
          <w:szCs w:val="24"/>
        </w:rPr>
        <w:tab/>
        <w:t xml:space="preserve">A QSE must submit a written request for designation as an ERS-only QSE at least five Business Days before the desired effective date of the designation.  </w:t>
      </w:r>
    </w:p>
    <w:p w14:paraId="47CCAB8E" w14:textId="77777777" w:rsidR="00233DE1" w:rsidRPr="00233DE1" w:rsidRDefault="00233DE1" w:rsidP="00233DE1">
      <w:pPr>
        <w:pStyle w:val="BodyTextNumbered"/>
        <w:rPr>
          <w:szCs w:val="24"/>
        </w:rPr>
      </w:pPr>
      <w:r w:rsidRPr="00233DE1">
        <w:rPr>
          <w:szCs w:val="24"/>
        </w:rPr>
        <w:t>(3)</w:t>
      </w:r>
      <w:r w:rsidRPr="00233DE1">
        <w:rPr>
          <w:szCs w:val="24"/>
        </w:rPr>
        <w:tab/>
        <w:t>Upon determining that the QSE has addressed all financial risk to ERCOT’s satisfaction, ERCOT shall designate the QSE as an ERS-only QSE, and shall notify the QSE of that designation in writing.</w:t>
      </w:r>
    </w:p>
    <w:p w14:paraId="11DE5389" w14:textId="77777777" w:rsidR="00233DE1" w:rsidRPr="00233DE1" w:rsidRDefault="00233DE1" w:rsidP="00233DE1">
      <w:pPr>
        <w:pStyle w:val="BodyTextNumbered"/>
        <w:rPr>
          <w:szCs w:val="24"/>
        </w:rPr>
      </w:pPr>
      <w:r w:rsidRPr="00233DE1">
        <w:rPr>
          <w:szCs w:val="24"/>
        </w:rPr>
        <w:t>(4)</w:t>
      </w:r>
      <w:r w:rsidRPr="00233DE1">
        <w:rPr>
          <w:szCs w:val="24"/>
        </w:rPr>
        <w:tab/>
        <w:t xml:space="preserve">Except as provided in paragraph (5) below, an ERS-only QSE is exempt from the following requirements: </w:t>
      </w:r>
    </w:p>
    <w:p w14:paraId="1937664B" w14:textId="77777777" w:rsidR="00233DE1" w:rsidRPr="00233DE1" w:rsidRDefault="00233DE1" w:rsidP="00233DE1">
      <w:pPr>
        <w:pStyle w:val="List"/>
        <w:rPr>
          <w:szCs w:val="24"/>
        </w:rPr>
      </w:pPr>
      <w:r w:rsidRPr="00233DE1">
        <w:rPr>
          <w:szCs w:val="24"/>
        </w:rPr>
        <w:lastRenderedPageBreak/>
        <w:t>(a)</w:t>
      </w:r>
      <w:r w:rsidRPr="00233DE1">
        <w:rPr>
          <w:szCs w:val="24"/>
        </w:rPr>
        <w:tab/>
        <w:t>The requirement to maintain sufficient collateral under Sections 16.11.1, ERCOT Creditworthiness Requirements for Counter-Parties, and 16.11.5, Monitoring of a Counter-Party’s Creditworthiness and Credit Exposure by ERCOT;</w:t>
      </w:r>
    </w:p>
    <w:p w14:paraId="7D5C1592" w14:textId="77777777" w:rsidR="00233DE1" w:rsidRPr="00233DE1" w:rsidRDefault="00233DE1" w:rsidP="00233DE1">
      <w:pPr>
        <w:pStyle w:val="List"/>
        <w:rPr>
          <w:szCs w:val="24"/>
        </w:rPr>
      </w:pPr>
      <w:r w:rsidRPr="00233DE1">
        <w:rPr>
          <w:szCs w:val="24"/>
        </w:rPr>
        <w:t>(b)</w:t>
      </w:r>
      <w:r w:rsidRPr="00233DE1">
        <w:rPr>
          <w:szCs w:val="24"/>
        </w:rPr>
        <w:tab/>
        <w:t>The requirement to submit financial statements and any notice of material changes under paragraph (1) of Section 16.11.5; and</w:t>
      </w:r>
    </w:p>
    <w:p w14:paraId="50B4896F" w14:textId="77777777" w:rsidR="00233DE1" w:rsidRPr="00233DE1" w:rsidRDefault="00233DE1" w:rsidP="00233DE1">
      <w:pPr>
        <w:pStyle w:val="List"/>
        <w:rPr>
          <w:szCs w:val="24"/>
        </w:rPr>
      </w:pPr>
      <w:r w:rsidRPr="00233DE1">
        <w:rPr>
          <w:szCs w:val="24"/>
        </w:rPr>
        <w:t>(c)</w:t>
      </w:r>
      <w:r w:rsidRPr="00233DE1">
        <w:rPr>
          <w:szCs w:val="24"/>
        </w:rPr>
        <w:tab/>
        <w:t>All requirements under Section 16.16, Additional Counter-Party Qualification Requirements.</w:t>
      </w:r>
    </w:p>
    <w:p w14:paraId="390949DB" w14:textId="77777777" w:rsidR="00233DE1" w:rsidRPr="00233DE1" w:rsidRDefault="00233DE1" w:rsidP="00233DE1">
      <w:pPr>
        <w:pStyle w:val="List"/>
        <w:ind w:left="720"/>
        <w:rPr>
          <w:szCs w:val="24"/>
        </w:rPr>
      </w:pPr>
      <w:r w:rsidRPr="00233DE1">
        <w:rPr>
          <w:szCs w:val="24"/>
        </w:rPr>
        <w:t>(5)</w:t>
      </w:r>
      <w:r w:rsidRPr="00233DE1">
        <w:rPr>
          <w:szCs w:val="24"/>
        </w:rPr>
        <w:tab/>
        <w:t>If ERCOT posts an RTM True-Up Statement or RTM Resettlement Statement providing for a resettlement of any ERS Time Period, and as a result of that resettlement alone, ERCOT determines that an ERS-only QSE has a positive TPE as calculated in Section 16.11.4.1, ERCOT will require that QSE to comply with Section 16.11.5, excluding paragraph (1), until its TPE again equals zero.  If the QSE fails to pay when due any payment or Financial Security obligation owed to ERCOT, ERCOT may terminate the QSE’s ERS-only status.</w:t>
      </w:r>
    </w:p>
    <w:p w14:paraId="34632AEE" w14:textId="77777777" w:rsidR="00233DE1" w:rsidRPr="00233DE1" w:rsidRDefault="00233DE1" w:rsidP="00233DE1">
      <w:pPr>
        <w:pStyle w:val="List"/>
        <w:ind w:left="720"/>
        <w:rPr>
          <w:szCs w:val="24"/>
        </w:rPr>
      </w:pPr>
      <w:r w:rsidRPr="00233DE1">
        <w:rPr>
          <w:szCs w:val="24"/>
        </w:rPr>
        <w:t>(6)</w:t>
      </w:r>
      <w:r w:rsidRPr="00233DE1">
        <w:rPr>
          <w:szCs w:val="24"/>
        </w:rPr>
        <w:tab/>
        <w:t>ERCOT shall ensure that its systems prevent participation by ERS-only QSEs in the DAM and RTM.</w:t>
      </w:r>
    </w:p>
    <w:p w14:paraId="5B72B42A" w14:textId="77777777" w:rsidR="00233DE1" w:rsidRPr="00233DE1" w:rsidRDefault="00233DE1" w:rsidP="00233DE1">
      <w:pPr>
        <w:pStyle w:val="List"/>
        <w:ind w:left="720"/>
        <w:rPr>
          <w:szCs w:val="24"/>
        </w:rPr>
      </w:pPr>
      <w:r w:rsidRPr="00233DE1">
        <w:rPr>
          <w:szCs w:val="24"/>
        </w:rPr>
        <w:t>(7)</w:t>
      </w:r>
      <w:r w:rsidRPr="00233DE1">
        <w:rPr>
          <w:szCs w:val="24"/>
        </w:rPr>
        <w:tab/>
        <w:t xml:space="preserve">A QSE must request termination of its ERS-only status in writing.  Termination of ERS-only status will be effective only upon ERCOT’s written confirmation that the QSE has satisfied all creditworthiness and capitalization requirements applicable to QSEs.  </w:t>
      </w:r>
    </w:p>
    <w:p w14:paraId="5A76A8F1" w14:textId="0A0431A9" w:rsidR="00233DE1" w:rsidRPr="00233DE1" w:rsidRDefault="00233DE1" w:rsidP="00233DE1">
      <w:pPr>
        <w:pStyle w:val="ListParagraph"/>
        <w:spacing w:after="240" w:line="240" w:lineRule="auto"/>
        <w:ind w:hanging="720"/>
        <w:contextualSpacing w:val="0"/>
        <w:rPr>
          <w:rFonts w:ascii="Times New Roman" w:hAnsi="Times New Roman"/>
          <w:sz w:val="24"/>
          <w:szCs w:val="24"/>
        </w:rPr>
      </w:pPr>
      <w:r w:rsidRPr="00233DE1">
        <w:rPr>
          <w:rFonts w:ascii="Times New Roman" w:hAnsi="Times New Roman"/>
          <w:sz w:val="24"/>
          <w:szCs w:val="24"/>
        </w:rPr>
        <w:t>(8)</w:t>
      </w:r>
      <w:r w:rsidRPr="00233DE1">
        <w:rPr>
          <w:rFonts w:ascii="Times New Roman" w:hAnsi="Times New Roman"/>
          <w:sz w:val="24"/>
          <w:szCs w:val="24"/>
        </w:rPr>
        <w:tab/>
        <w:t>Nothing in this section affects an ERS-only QSE’s obligation under paragraph (3) of Section 16.2.1, Criteria for Qualification as a Qualified Scheduling Entity, to provide ERCOT notice of any material change that could adversely affect the reliability or safety of the ERCOT System.  Additionally, ERCOT may at any time require any ERS-only QSE to demonstrate that its risk management policies and practices are sufficient to ensure that it will be capable of meeting its ERS performance requirements during any ERS Standard Contract Term for which it has submitted an offer or for which it is committed to provide ERS.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3B7BC8" w14:paraId="34E8D6EF" w14:textId="77777777" w:rsidTr="005716FA">
        <w:tc>
          <w:tcPr>
            <w:tcW w:w="9332" w:type="dxa"/>
            <w:shd w:val="pct12" w:color="auto" w:fill="auto"/>
          </w:tcPr>
          <w:p w14:paraId="153BFECB" w14:textId="74589543" w:rsidR="003B7BC8" w:rsidRPr="0002450E" w:rsidRDefault="003B7BC8" w:rsidP="001D1B26">
            <w:pPr>
              <w:pStyle w:val="Instructions"/>
              <w:spacing w:before="120"/>
              <w:rPr>
                <w:iCs/>
              </w:rPr>
            </w:pPr>
            <w:r w:rsidRPr="0002450E">
              <w:rPr>
                <w:iCs/>
              </w:rPr>
              <w:t>[NPRR</w:t>
            </w:r>
            <w:r>
              <w:rPr>
                <w:iCs/>
              </w:rPr>
              <w:t>857</w:t>
            </w:r>
            <w:r w:rsidRPr="0002450E">
              <w:rPr>
                <w:iCs/>
              </w:rPr>
              <w:t xml:space="preserve">:  </w:t>
            </w:r>
            <w:r>
              <w:rPr>
                <w:iCs/>
              </w:rPr>
              <w:t>Insert Section 16.18 below</w:t>
            </w:r>
            <w:r w:rsidRPr="0002450E">
              <w:rPr>
                <w:iCs/>
              </w:rPr>
              <w:t xml:space="preserve"> upon system implementation</w:t>
            </w:r>
            <w:r w:rsidR="00D611BB">
              <w:rPr>
                <w:iCs/>
              </w:rPr>
              <w:t xml:space="preserve"> and renumber accordingly</w:t>
            </w:r>
            <w:r w:rsidRPr="0002450E">
              <w:rPr>
                <w:iCs/>
              </w:rPr>
              <w:t xml:space="preserve">:] </w:t>
            </w:r>
          </w:p>
          <w:p w14:paraId="39AA7209" w14:textId="77777777" w:rsidR="003B7BC8" w:rsidRPr="00E55E72" w:rsidRDefault="003B7BC8" w:rsidP="003B7BC8">
            <w:pPr>
              <w:keepNext/>
              <w:tabs>
                <w:tab w:val="left" w:pos="900"/>
              </w:tabs>
              <w:spacing w:before="240" w:after="240"/>
              <w:ind w:left="900" w:hanging="900"/>
              <w:outlineLvl w:val="1"/>
              <w:rPr>
                <w:b/>
              </w:rPr>
            </w:pPr>
            <w:bookmarkStart w:id="735" w:name="_Toc10024122"/>
            <w:bookmarkStart w:id="736" w:name="_Toc11053083"/>
            <w:bookmarkStart w:id="737" w:name="_Toc34728550"/>
            <w:bookmarkStart w:id="738" w:name="_Toc44403983"/>
            <w:bookmarkStart w:id="739" w:name="_Toc54882179"/>
            <w:bookmarkStart w:id="740" w:name="_Toc54882284"/>
            <w:bookmarkStart w:id="741" w:name="_Toc70591678"/>
            <w:r w:rsidRPr="00E55E72">
              <w:rPr>
                <w:b/>
              </w:rPr>
              <w:t>16.1</w:t>
            </w:r>
            <w:r>
              <w:rPr>
                <w:b/>
              </w:rPr>
              <w:t>8</w:t>
            </w:r>
            <w:r w:rsidRPr="003B7BC8">
              <w:rPr>
                <w:b/>
              </w:rPr>
              <w:tab/>
            </w:r>
            <w:r w:rsidRPr="00E55E72">
              <w:rPr>
                <w:b/>
              </w:rPr>
              <w:t>Registration of a Direct Current Tie Operator</w:t>
            </w:r>
            <w:bookmarkEnd w:id="735"/>
            <w:bookmarkEnd w:id="736"/>
            <w:bookmarkEnd w:id="737"/>
            <w:bookmarkEnd w:id="738"/>
            <w:bookmarkEnd w:id="739"/>
            <w:bookmarkEnd w:id="740"/>
            <w:bookmarkEnd w:id="741"/>
          </w:p>
          <w:p w14:paraId="5AE59743" w14:textId="77777777" w:rsidR="003B7BC8" w:rsidRPr="008C7774" w:rsidRDefault="003B7BC8" w:rsidP="003B7BC8">
            <w:pPr>
              <w:spacing w:after="240"/>
              <w:ind w:left="720" w:hanging="720"/>
            </w:pPr>
            <w:r w:rsidRPr="00E55E72">
              <w:t>(1)</w:t>
            </w:r>
            <w:r w:rsidRPr="00E55E72">
              <w:tab/>
              <w:t xml:space="preserve">Each Entity that operates a Direct Current Tie </w:t>
            </w:r>
            <w:r>
              <w:t xml:space="preserve">(DC Tie) </w:t>
            </w:r>
            <w:r w:rsidRPr="00E55E72">
              <w:t xml:space="preserve">shall register as a Direct Current Tie Operator (DCTO) with ERCOT.  To register as a DCTO, an Entity must execute a Standard Form Market Participant Agreement (using the form provided in Section 22, Attachment A, Standard Form Market Participant Agreement), designate a DCTO Authorized Representative and contacts, confirm </w:t>
            </w:r>
            <w:r>
              <w:t>that it is either registered with ERCOT as a Transmission Service Provider (TSP) that is subject</w:t>
            </w:r>
            <w:r w:rsidRPr="00E55E72">
              <w:t xml:space="preserve"> to a Public Utility Commission of Texas (PUCT)-approved code of conduct or</w:t>
            </w:r>
            <w:r>
              <w:t xml:space="preserve"> is subject to</w:t>
            </w:r>
            <w:r w:rsidRPr="00E55E72">
              <w:t xml:space="preserve"> Federal </w:t>
            </w:r>
            <w:r w:rsidRPr="00E55E72">
              <w:lastRenderedPageBreak/>
              <w:t>Energy Regulatory Commission (FERC)-approved standards of conduct, and be capable of performing the functions of a DCTO, as applicable, as described in these Protocols.</w:t>
            </w:r>
          </w:p>
        </w:tc>
      </w:tr>
    </w:tbl>
    <w:p w14:paraId="7D0BC41E" w14:textId="7038486D" w:rsidR="005716FA" w:rsidRPr="009A08C4" w:rsidRDefault="005716FA" w:rsidP="00D611BB">
      <w:pPr>
        <w:pStyle w:val="H2"/>
        <w:spacing w:before="480"/>
      </w:pPr>
      <w:bookmarkStart w:id="742" w:name="_Toc70591679"/>
      <w:r w:rsidRPr="009A08C4">
        <w:lastRenderedPageBreak/>
        <w:t>16.1</w:t>
      </w:r>
      <w:r w:rsidR="00D611BB">
        <w:rPr>
          <w:lang w:val="en-US"/>
        </w:rPr>
        <w:t>8</w:t>
      </w:r>
      <w:r w:rsidRPr="009A08C4">
        <w:tab/>
        <w:t>Cybersecurity Incident Notification</w:t>
      </w:r>
      <w:bookmarkEnd w:id="742"/>
    </w:p>
    <w:p w14:paraId="476FB19A" w14:textId="77777777" w:rsidR="005716FA" w:rsidRDefault="005716FA" w:rsidP="005716FA">
      <w:pPr>
        <w:pStyle w:val="BodyText"/>
        <w:ind w:left="720" w:hanging="720"/>
      </w:pPr>
      <w:r>
        <w:rPr>
          <w:lang w:eastAsia="x-none"/>
        </w:rPr>
        <w:t>(1)</w:t>
      </w:r>
      <w:r>
        <w:rPr>
          <w:lang w:eastAsia="x-none"/>
        </w:rPr>
        <w:tab/>
        <w:t xml:space="preserve">Each Market Participant </w:t>
      </w:r>
      <w:r>
        <w:t>shall designate and maintain a Cybersecurity Contact for communications with ERCOT with respect to Cybersecurity Incidents.  Registered Market Participants shall use the Notice of Change of Information form, as provided for in Section 23, Form E, Notice of Change of Information, to designate a Cybersecurity Contact, and maintain updated Cybersecurity Contact information.</w:t>
      </w:r>
    </w:p>
    <w:p w14:paraId="12236532" w14:textId="77777777" w:rsidR="00067F7E" w:rsidRDefault="00067F7E" w:rsidP="00067F7E">
      <w:pPr>
        <w:pStyle w:val="BodyText"/>
        <w:ind w:left="720" w:hanging="720"/>
      </w:pPr>
      <w:r>
        <w:t>(2)</w:t>
      </w:r>
      <w:r>
        <w:tab/>
        <w:t>As soon as practicable upon determination of a Cybersecurity Incident on a Market Participant’s</w:t>
      </w:r>
      <w:r w:rsidRPr="000C5CB3">
        <w:t xml:space="preserve"> </w:t>
      </w:r>
      <w:r w:rsidRPr="004F3B65">
        <w:t>computer network or system that interfaces with an ERCOT computer network or system</w:t>
      </w:r>
      <w:r>
        <w:t>, the Market Participant shall notify ERCOT</w:t>
      </w:r>
      <w:r w:rsidRPr="004F3B65">
        <w:t xml:space="preserve">. </w:t>
      </w:r>
    </w:p>
    <w:p w14:paraId="72EDE496" w14:textId="5DF1DD16" w:rsidR="00067F7E" w:rsidRDefault="00067F7E" w:rsidP="00067F7E">
      <w:pPr>
        <w:pStyle w:val="BodyText"/>
        <w:ind w:left="720" w:hanging="720"/>
      </w:pPr>
      <w:r>
        <w:t>(3)</w:t>
      </w:r>
      <w:r>
        <w:tab/>
        <w:t xml:space="preserve">For purposes of this section, in the event a Market Participant delegates authority to an agent, the Market Participant shall ensure that the agent is obligated to notify the Market Participant, as soon as practicable, upon the agent’s discovery of a Cybersecurity Incident on the agent’s computer network or system that interfaces with an ERCOT computer network or system. </w:t>
      </w:r>
    </w:p>
    <w:p w14:paraId="2B673BE4" w14:textId="22BB73C7" w:rsidR="00067F7E" w:rsidRDefault="00067F7E" w:rsidP="00067F7E">
      <w:pPr>
        <w:pStyle w:val="BodyText"/>
        <w:ind w:left="720" w:hanging="720"/>
      </w:pPr>
      <w:r>
        <w:t>(4)</w:t>
      </w:r>
      <w:r>
        <w:tab/>
      </w:r>
      <w:r w:rsidRPr="004F3B65">
        <w:t xml:space="preserve">A Market Participant shall notify ERCOT, as soon as practicable, upon </w:t>
      </w:r>
      <w:r>
        <w:t>the agent’s notification to the Market Participant</w:t>
      </w:r>
      <w:r w:rsidRPr="004F3B65">
        <w:t xml:space="preserve"> of a Cybersecurity Incident on </w:t>
      </w:r>
      <w:r>
        <w:t>the</w:t>
      </w:r>
      <w:r w:rsidRPr="004F3B65">
        <w:t xml:space="preserve"> agent’s computer network or system that interfaces with an ERCOT computer network or system for the purpose of transacting with ERCOT on behalf of the Market Participant.</w:t>
      </w:r>
      <w:r>
        <w:t xml:space="preserve">  If a Market Participant’s agent is also registered with ERCOT as a Market Participant, only the agent is required to report a Cybersecurity Incident on its computer network or system that interfaces with an ERCOT computer network or system to ERCOT.  The failure of an agent to notify the Market Participant of a Cybersecurity Incident shall not constitute a violation of this section if the Market Participant can demonstrate that a reporting mandate exists in a contract between the Market Participant and its agent.</w:t>
      </w:r>
    </w:p>
    <w:p w14:paraId="327154CC" w14:textId="77777777" w:rsidR="00067F7E" w:rsidRDefault="00067F7E" w:rsidP="00067F7E">
      <w:pPr>
        <w:pStyle w:val="BodyText"/>
        <w:ind w:left="720" w:hanging="720"/>
        <w:rPr>
          <w:lang w:eastAsia="x-none"/>
        </w:rPr>
      </w:pPr>
      <w:r>
        <w:rPr>
          <w:lang w:eastAsia="x-none"/>
        </w:rPr>
        <w:t>(5)</w:t>
      </w:r>
      <w:r>
        <w:rPr>
          <w:lang w:eastAsia="x-none"/>
        </w:rPr>
        <w:tab/>
        <w:t>In order to notify ERCOT of a Cybersecurity Incident, Market Participants shall submit a Notice of Cybersecurity Incident</w:t>
      </w:r>
      <w:r w:rsidDel="00AC3DDC">
        <w:rPr>
          <w:lang w:eastAsia="x-none"/>
        </w:rPr>
        <w:t xml:space="preserve"> </w:t>
      </w:r>
      <w:r>
        <w:rPr>
          <w:lang w:eastAsia="x-none"/>
        </w:rPr>
        <w:t xml:space="preserve">(Section 23, Form O, Notice of Cybersecurity Incident) to </w:t>
      </w:r>
      <w:hyperlink r:id="rId22" w:history="1">
        <w:r w:rsidRPr="00574AB5">
          <w:rPr>
            <w:rStyle w:val="Hyperlink"/>
            <w:lang w:eastAsia="x-none"/>
          </w:rPr>
          <w:t>NCSI@ercot.com</w:t>
        </w:r>
      </w:hyperlink>
      <w:r>
        <w:rPr>
          <w:lang w:eastAsia="x-none"/>
        </w:rPr>
        <w:t>.  If, as a result of the Cybersecurity Incident, a Market Participant is unable to securely send the Notice of Cybersecurity Incident</w:t>
      </w:r>
      <w:r w:rsidDel="00AC3DDC">
        <w:rPr>
          <w:lang w:eastAsia="x-none"/>
        </w:rPr>
        <w:t xml:space="preserve"> </w:t>
      </w:r>
      <w:r>
        <w:rPr>
          <w:lang w:eastAsia="x-none"/>
        </w:rPr>
        <w:t xml:space="preserve">to ERCOT, the Market Participant shall call the ERCOT HelpDesk </w:t>
      </w:r>
      <w:r w:rsidRPr="006C6BC1">
        <w:rPr>
          <w:lang w:eastAsia="x-none"/>
        </w:rPr>
        <w:t>at (512) 248-6800</w:t>
      </w:r>
      <w:r>
        <w:rPr>
          <w:lang w:eastAsia="x-none"/>
        </w:rPr>
        <w:t xml:space="preserve"> and/or its Client Service Representative to request a secure means for sending the Notice of Cybersecurity Incident to ERCOT.</w:t>
      </w:r>
    </w:p>
    <w:p w14:paraId="40CEEE13" w14:textId="77777777" w:rsidR="00067F7E" w:rsidRDefault="00067F7E" w:rsidP="00067F7E">
      <w:pPr>
        <w:pStyle w:val="BodyText"/>
        <w:ind w:left="1440" w:hanging="720"/>
        <w:rPr>
          <w:lang w:eastAsia="x-none"/>
        </w:rPr>
      </w:pPr>
      <w:r>
        <w:rPr>
          <w:lang w:eastAsia="x-none"/>
        </w:rPr>
        <w:t>(a)</w:t>
      </w:r>
      <w:r>
        <w:rPr>
          <w:lang w:eastAsia="x-none"/>
        </w:rPr>
        <w:tab/>
        <w:t xml:space="preserve">A Market Participant </w:t>
      </w:r>
      <w:r w:rsidRPr="002031AC">
        <w:rPr>
          <w:lang w:eastAsia="x-none"/>
        </w:rPr>
        <w:t xml:space="preserve">may designate a temporary </w:t>
      </w:r>
      <w:r>
        <w:rPr>
          <w:lang w:eastAsia="x-none"/>
        </w:rPr>
        <w:t>cybersecurity c</w:t>
      </w:r>
      <w:r w:rsidRPr="002031AC">
        <w:rPr>
          <w:lang w:eastAsia="x-none"/>
        </w:rPr>
        <w:t xml:space="preserve">ontact for a particular </w:t>
      </w:r>
      <w:r>
        <w:rPr>
          <w:lang w:eastAsia="x-none"/>
        </w:rPr>
        <w:t>Cybersecurity Incident</w:t>
      </w:r>
      <w:r w:rsidDel="00AC3DDC">
        <w:rPr>
          <w:lang w:eastAsia="x-none"/>
        </w:rPr>
        <w:t xml:space="preserve"> </w:t>
      </w:r>
      <w:r w:rsidRPr="002031AC">
        <w:rPr>
          <w:lang w:eastAsia="x-none"/>
        </w:rPr>
        <w:t xml:space="preserve">by </w:t>
      </w:r>
      <w:r>
        <w:rPr>
          <w:lang w:eastAsia="x-none"/>
        </w:rPr>
        <w:t>providing contact information for such individual in the Notice of Cybersecurity Incident form submitted to ERCOT.</w:t>
      </w:r>
      <w:r w:rsidRPr="002031AC">
        <w:rPr>
          <w:lang w:eastAsia="x-none"/>
        </w:rPr>
        <w:t xml:space="preserve"> </w:t>
      </w:r>
      <w:r>
        <w:rPr>
          <w:lang w:eastAsia="x-none"/>
        </w:rPr>
        <w:t xml:space="preserve">Should a Market Participant designate a temporary cybersecurity contact in its </w:t>
      </w:r>
      <w:r>
        <w:rPr>
          <w:lang w:eastAsia="x-none"/>
        </w:rPr>
        <w:lastRenderedPageBreak/>
        <w:t xml:space="preserve">Notice of Cybersecurity Incident, </w:t>
      </w:r>
      <w:r w:rsidRPr="002031AC">
        <w:rPr>
          <w:lang w:eastAsia="x-none"/>
        </w:rPr>
        <w:t xml:space="preserve">ERCOT will direct communications </w:t>
      </w:r>
      <w:r>
        <w:rPr>
          <w:lang w:eastAsia="x-none"/>
        </w:rPr>
        <w:t>concerning that particular Cybersecurity Incident</w:t>
      </w:r>
      <w:r w:rsidDel="00AC3DDC">
        <w:rPr>
          <w:lang w:eastAsia="x-none"/>
        </w:rPr>
        <w:t xml:space="preserve"> </w:t>
      </w:r>
      <w:r>
        <w:rPr>
          <w:lang w:eastAsia="x-none"/>
        </w:rPr>
        <w:t>to the te</w:t>
      </w:r>
      <w:r w:rsidRPr="002031AC">
        <w:rPr>
          <w:lang w:eastAsia="x-none"/>
        </w:rPr>
        <w:t xml:space="preserve">mporary </w:t>
      </w:r>
      <w:r>
        <w:rPr>
          <w:lang w:eastAsia="x-none"/>
        </w:rPr>
        <w:t>cybersecurity c</w:t>
      </w:r>
      <w:r w:rsidRPr="002031AC">
        <w:rPr>
          <w:lang w:eastAsia="x-none"/>
        </w:rPr>
        <w:t>ontact.</w:t>
      </w:r>
    </w:p>
    <w:p w14:paraId="5D90322E" w14:textId="77777777" w:rsidR="00067F7E" w:rsidRDefault="00067F7E" w:rsidP="00067F7E">
      <w:pPr>
        <w:pStyle w:val="BodyText"/>
        <w:ind w:left="1440" w:hanging="720"/>
        <w:rPr>
          <w:lang w:eastAsia="x-none"/>
        </w:rPr>
      </w:pPr>
      <w:r>
        <w:t>(b)</w:t>
      </w:r>
      <w:r>
        <w:tab/>
        <w:t>Following initial notification, Market Participant shall provide ERCOT with updated information concerning the Cybersecurity</w:t>
      </w:r>
      <w:r>
        <w:rPr>
          <w:lang w:eastAsia="x-none"/>
        </w:rPr>
        <w:t xml:space="preserve"> Incident</w:t>
      </w:r>
      <w:r w:rsidDel="00AC3DDC">
        <w:t xml:space="preserve"> </w:t>
      </w:r>
      <w:r>
        <w:t>as it becomes available, and upon ERCOT’s request, until ERCOT provides notice to Market Participant that information regarding the Cybersecurity</w:t>
      </w:r>
      <w:r>
        <w:rPr>
          <w:lang w:eastAsia="x-none"/>
        </w:rPr>
        <w:t xml:space="preserve"> Incident</w:t>
      </w:r>
      <w:r w:rsidDel="00AC3DDC">
        <w:t xml:space="preserve"> </w:t>
      </w:r>
      <w:r>
        <w:t xml:space="preserve">is no longer needed.  To the extent practicable, the </w:t>
      </w:r>
      <w:r>
        <w:rPr>
          <w:lang w:eastAsia="x-none"/>
        </w:rPr>
        <w:t>Notice of Cybersecurity Incident</w:t>
      </w:r>
      <w:r w:rsidDel="00AC3DDC">
        <w:rPr>
          <w:lang w:eastAsia="x-none"/>
        </w:rPr>
        <w:t xml:space="preserve"> </w:t>
      </w:r>
      <w:r>
        <w:rPr>
          <w:lang w:eastAsia="x-none"/>
        </w:rPr>
        <w:t>form shall be used to provide ERCOT with updated information.</w:t>
      </w:r>
    </w:p>
    <w:p w14:paraId="22181D29" w14:textId="0B58E2AA" w:rsidR="00067F7E" w:rsidRDefault="00067F7E" w:rsidP="00067F7E">
      <w:pPr>
        <w:pStyle w:val="BodyText"/>
        <w:ind w:left="720" w:hanging="720"/>
      </w:pPr>
      <w:r w:rsidRPr="00E25D10">
        <w:t>(</w:t>
      </w:r>
      <w:r>
        <w:t>6</w:t>
      </w:r>
      <w:r w:rsidRPr="00E25D10">
        <w:t>)</w:t>
      </w:r>
      <w:r w:rsidRPr="00E25D10">
        <w:tab/>
        <w:t xml:space="preserve">In the event ERCOT determines that a Cybersecurity Incident </w:t>
      </w:r>
      <w:r>
        <w:t>may</w:t>
      </w:r>
      <w:r w:rsidRPr="00E25D10">
        <w:t xml:space="preserve"> </w:t>
      </w:r>
      <w:r>
        <w:t xml:space="preserve">materially </w:t>
      </w:r>
      <w:r w:rsidRPr="00E25D10">
        <w:t xml:space="preserve">impact computer networks or systems of ERCOT and/or Market Participants, ERCOT </w:t>
      </w:r>
      <w:r>
        <w:t>shall</w:t>
      </w:r>
      <w:r w:rsidRPr="00E25D10">
        <w:t xml:space="preserve"> issue a Market </w:t>
      </w:r>
      <w:r w:rsidRPr="0081684A">
        <w:rPr>
          <w:szCs w:val="24"/>
        </w:rPr>
        <w:t xml:space="preserve">Notice to all Market Participants with general information concerning the Cybersecurity Incident.  ERCOT may utilize the information contained in a Notice of </w:t>
      </w:r>
      <w:r w:rsidRPr="007D280D">
        <w:rPr>
          <w:szCs w:val="24"/>
        </w:rPr>
        <w:t xml:space="preserve">Cybersecurity Incident, except that in no event shall the Market Notice contain information identifiable to a specific Market Participant or </w:t>
      </w:r>
      <w:r w:rsidR="00E32319">
        <w:rPr>
          <w:szCs w:val="24"/>
        </w:rPr>
        <w:t xml:space="preserve">ERCOT </w:t>
      </w:r>
      <w:r w:rsidRPr="007D280D">
        <w:rPr>
          <w:szCs w:val="24"/>
        </w:rPr>
        <w:t>Critical Energy Infrastructure Information (</w:t>
      </w:r>
      <w:r w:rsidR="00E32319">
        <w:rPr>
          <w:szCs w:val="24"/>
        </w:rPr>
        <w:t>E</w:t>
      </w:r>
      <w:r w:rsidRPr="007D280D">
        <w:rPr>
          <w:szCs w:val="24"/>
        </w:rPr>
        <w:t>CEII).</w:t>
      </w:r>
    </w:p>
    <w:p w14:paraId="39FD7E6F" w14:textId="77777777" w:rsidR="006C277F" w:rsidRPr="006C277F" w:rsidRDefault="006C277F" w:rsidP="00974AFC">
      <w:pPr>
        <w:pStyle w:val="H2"/>
        <w:rPr>
          <w:b w:val="0"/>
          <w:bCs/>
          <w:snapToGrid w:val="0"/>
        </w:rPr>
      </w:pPr>
      <w:bookmarkStart w:id="743" w:name="_Toc70591680"/>
      <w:r w:rsidRPr="006C277F">
        <w:rPr>
          <w:bCs/>
          <w:snapToGrid w:val="0"/>
        </w:rPr>
        <w:t>16.19</w:t>
      </w:r>
      <w:r w:rsidRPr="006C277F">
        <w:rPr>
          <w:bCs/>
          <w:snapToGrid w:val="0"/>
        </w:rPr>
        <w:tab/>
      </w:r>
      <w:r w:rsidRPr="00974AFC">
        <w:t>Designation</w:t>
      </w:r>
      <w:r w:rsidRPr="006C277F">
        <w:rPr>
          <w:bCs/>
          <w:snapToGrid w:val="0"/>
        </w:rPr>
        <w:t xml:space="preserve"> of Transmission Operators</w:t>
      </w:r>
      <w:bookmarkEnd w:id="743"/>
      <w:r w:rsidRPr="006C277F">
        <w:rPr>
          <w:bCs/>
          <w:snapToGrid w:val="0"/>
        </w:rPr>
        <w:t xml:space="preserve"> </w:t>
      </w:r>
    </w:p>
    <w:p w14:paraId="4CE82F5B" w14:textId="0E564F23" w:rsidR="006C277F" w:rsidRPr="006C277F" w:rsidRDefault="006C277F" w:rsidP="006C277F">
      <w:pPr>
        <w:spacing w:after="240"/>
        <w:ind w:left="720" w:hanging="720"/>
        <w:rPr>
          <w:iCs/>
          <w:color w:val="000000"/>
          <w:szCs w:val="24"/>
        </w:rPr>
      </w:pPr>
      <w:r w:rsidRPr="006C277F">
        <w:rPr>
          <w:iCs/>
          <w:color w:val="000000"/>
          <w:szCs w:val="24"/>
        </w:rPr>
        <w:t>(1)</w:t>
      </w:r>
      <w:r w:rsidRPr="006C277F">
        <w:rPr>
          <w:iCs/>
          <w:color w:val="000000"/>
          <w:szCs w:val="24"/>
        </w:rPr>
        <w:tab/>
        <w:t>Each Transmission Service Provider (TSP) shall either register as a Transmission Operator (TO) or designate one or more other</w:t>
      </w:r>
      <w:r w:rsidR="00087B14" w:rsidRPr="006C277F">
        <w:rPr>
          <w:iCs/>
          <w:color w:val="000000"/>
          <w:szCs w:val="24"/>
        </w:rPr>
        <w:t xml:space="preserve"> </w:t>
      </w:r>
      <w:r w:rsidR="00087B14">
        <w:rPr>
          <w:iCs/>
          <w:color w:val="000000"/>
          <w:szCs w:val="24"/>
        </w:rPr>
        <w:t>Transmission and/or Distribution Service Providers (</w:t>
      </w:r>
      <w:r w:rsidR="00087B14" w:rsidRPr="006C277F">
        <w:rPr>
          <w:iCs/>
          <w:color w:val="000000"/>
          <w:szCs w:val="24"/>
        </w:rPr>
        <w:t>TDSPs</w:t>
      </w:r>
      <w:r w:rsidR="00087B14">
        <w:rPr>
          <w:iCs/>
          <w:color w:val="000000"/>
          <w:szCs w:val="24"/>
        </w:rPr>
        <w:t>)</w:t>
      </w:r>
      <w:r w:rsidR="00087B14" w:rsidRPr="006C277F">
        <w:rPr>
          <w:iCs/>
          <w:color w:val="000000"/>
          <w:szCs w:val="24"/>
        </w:rPr>
        <w:t xml:space="preserve"> </w:t>
      </w:r>
      <w:r w:rsidRPr="006C277F">
        <w:rPr>
          <w:iCs/>
          <w:color w:val="000000"/>
          <w:szCs w:val="24"/>
        </w:rPr>
        <w:t xml:space="preserve">as its TO for each Transmission Facility owned by the TSP.  Each DSP shall either register as a TO or designate another TDSP as its TO.  A TDSP shall designate another Entity as its TO only with the written consent of that other Entity.  </w:t>
      </w:r>
    </w:p>
    <w:p w14:paraId="026D9765" w14:textId="77777777" w:rsidR="006C277F" w:rsidRPr="006C277F" w:rsidRDefault="006C277F" w:rsidP="006C277F">
      <w:pPr>
        <w:spacing w:after="240"/>
        <w:ind w:left="720" w:hanging="720"/>
        <w:rPr>
          <w:iCs/>
          <w:color w:val="000000"/>
          <w:szCs w:val="24"/>
        </w:rPr>
      </w:pPr>
      <w:r w:rsidRPr="006C277F">
        <w:rPr>
          <w:iCs/>
          <w:color w:val="000000"/>
          <w:szCs w:val="24"/>
        </w:rPr>
        <w:t>(2)</w:t>
      </w:r>
      <w:r w:rsidRPr="006C277F">
        <w:rPr>
          <w:iCs/>
          <w:color w:val="000000"/>
          <w:szCs w:val="24"/>
        </w:rPr>
        <w:tab/>
        <w:t xml:space="preserve">A TO shall have full authority to act on behalf of the designating TDSP in the performance of all TO responsibilities provided in the ERCOT Protocols or Other Binding Documents, including effectuating any Load-shed that may be necessary during any Energy Emergency Alert (EEA) event, Under-Frequency Load Shed (UFLS) event, or Under-Voltage Load Shed (UVLS) event.  </w:t>
      </w:r>
    </w:p>
    <w:p w14:paraId="4155AF4B" w14:textId="77777777" w:rsidR="006C277F" w:rsidRPr="006C277F" w:rsidRDefault="006C277F" w:rsidP="006C277F">
      <w:pPr>
        <w:spacing w:after="240"/>
        <w:ind w:left="720" w:hanging="720"/>
        <w:rPr>
          <w:iCs/>
          <w:color w:val="000000"/>
          <w:szCs w:val="24"/>
        </w:rPr>
      </w:pPr>
      <w:r w:rsidRPr="006C277F">
        <w:rPr>
          <w:iCs/>
          <w:color w:val="000000"/>
          <w:szCs w:val="24"/>
        </w:rPr>
        <w:t>(3)</w:t>
      </w:r>
      <w:r w:rsidRPr="006C277F">
        <w:rPr>
          <w:iCs/>
          <w:color w:val="000000"/>
          <w:szCs w:val="24"/>
        </w:rPr>
        <w:tab/>
        <w:t xml:space="preserve">To qualify for designation as a TO, a TDSP shall be connected to the ERCOT Wide Area Network (WAN) and maintain 24x7 operations and Hotline communications with ERCOT. </w:t>
      </w:r>
    </w:p>
    <w:p w14:paraId="0F32B388" w14:textId="77777777" w:rsidR="006C277F" w:rsidRPr="006C277F" w:rsidRDefault="006C277F" w:rsidP="006C277F">
      <w:pPr>
        <w:spacing w:after="240"/>
        <w:ind w:left="720" w:hanging="720"/>
        <w:rPr>
          <w:iCs/>
          <w:color w:val="000000"/>
          <w:szCs w:val="24"/>
        </w:rPr>
      </w:pPr>
      <w:r w:rsidRPr="006C277F">
        <w:rPr>
          <w:iCs/>
          <w:color w:val="000000"/>
          <w:szCs w:val="24"/>
        </w:rPr>
        <w:t>(4)</w:t>
      </w:r>
      <w:r w:rsidRPr="006C277F">
        <w:rPr>
          <w:iCs/>
          <w:color w:val="000000"/>
          <w:szCs w:val="24"/>
        </w:rPr>
        <w:tab/>
        <w:t xml:space="preserve">A TSP shall enter a TO designation for each Transmission Facility it owns in the Network Operations Model.  Any designation or change to that designation shall be submitted to ERCOT within the time required for submitting physical changes to the Network Operations Model specified in paragraph (3) of Section 3.10.1, Time Line for Network Operations Model Changes.  </w:t>
      </w:r>
      <w:r w:rsidRPr="00087B14">
        <w:rPr>
          <w:szCs w:val="24"/>
        </w:rPr>
        <w:t xml:space="preserve">Any TSP designated as a TO for another TSP’s facilities may unilaterally reject or resign from that designation </w:t>
      </w:r>
      <w:r w:rsidRPr="006C277F">
        <w:rPr>
          <w:iCs/>
          <w:color w:val="000000"/>
          <w:szCs w:val="24"/>
        </w:rPr>
        <w:t xml:space="preserve">by providing written notice to the designating TSP and the TSP shall promptly update the TO designation in the Network Operations Model for the affected Transmission Facility.  </w:t>
      </w:r>
    </w:p>
    <w:p w14:paraId="271E2660" w14:textId="4EE450FC" w:rsidR="006C277F" w:rsidRPr="006C277F" w:rsidRDefault="006C277F" w:rsidP="006C277F">
      <w:pPr>
        <w:spacing w:after="240"/>
        <w:ind w:left="720" w:hanging="720"/>
        <w:rPr>
          <w:iCs/>
          <w:color w:val="000000"/>
          <w:szCs w:val="24"/>
        </w:rPr>
      </w:pPr>
      <w:r w:rsidRPr="006C277F">
        <w:rPr>
          <w:iCs/>
          <w:color w:val="000000"/>
          <w:szCs w:val="24"/>
        </w:rPr>
        <w:t>(5)</w:t>
      </w:r>
      <w:r w:rsidRPr="006C277F">
        <w:rPr>
          <w:iCs/>
          <w:color w:val="000000"/>
          <w:szCs w:val="24"/>
        </w:rPr>
        <w:tab/>
        <w:t xml:space="preserve">ERCOT shall post a Transmission Operator Designation Form on the ERCOT website.  </w:t>
      </w:r>
      <w:r w:rsidR="00087B14" w:rsidRPr="006C277F">
        <w:rPr>
          <w:iCs/>
          <w:color w:val="000000"/>
          <w:szCs w:val="24"/>
        </w:rPr>
        <w:t xml:space="preserve">A </w:t>
      </w:r>
      <w:r w:rsidR="00087B14">
        <w:rPr>
          <w:iCs/>
          <w:color w:val="000000"/>
          <w:szCs w:val="24"/>
        </w:rPr>
        <w:t>Distribution Service Provider (</w:t>
      </w:r>
      <w:r w:rsidR="00087B14" w:rsidRPr="006C277F">
        <w:rPr>
          <w:iCs/>
          <w:color w:val="000000"/>
          <w:szCs w:val="24"/>
        </w:rPr>
        <w:t>DSP</w:t>
      </w:r>
      <w:r w:rsidR="00087B14">
        <w:rPr>
          <w:iCs/>
          <w:color w:val="000000"/>
          <w:szCs w:val="24"/>
        </w:rPr>
        <w:t>)</w:t>
      </w:r>
      <w:r w:rsidR="00087B14" w:rsidRPr="006C277F">
        <w:rPr>
          <w:iCs/>
          <w:color w:val="000000"/>
          <w:szCs w:val="24"/>
        </w:rPr>
        <w:t xml:space="preserve"> </w:t>
      </w:r>
      <w:r w:rsidRPr="006C277F">
        <w:rPr>
          <w:iCs/>
          <w:color w:val="000000"/>
          <w:szCs w:val="24"/>
        </w:rPr>
        <w:t xml:space="preserve">may designate a TO or make any change to its </w:t>
      </w:r>
      <w:r w:rsidRPr="006C277F">
        <w:rPr>
          <w:iCs/>
          <w:color w:val="000000"/>
          <w:szCs w:val="24"/>
        </w:rPr>
        <w:lastRenderedPageBreak/>
        <w:t xml:space="preserve">designation, including revoking a TO designation, by properly completing the Transmission Operator Designation Form and submitting it via email to ERCOT with a copy provided to the TDSP designated as TO.  Any such change shall be submitted to ERCOT at least 30 days before the change becomes effective. </w:t>
      </w:r>
      <w:r>
        <w:rPr>
          <w:iCs/>
          <w:color w:val="000000"/>
          <w:szCs w:val="24"/>
        </w:rPr>
        <w:t xml:space="preserve"> </w:t>
      </w:r>
      <w:r w:rsidRPr="006C277F">
        <w:rPr>
          <w:iCs/>
          <w:color w:val="000000"/>
          <w:szCs w:val="24"/>
        </w:rPr>
        <w:t xml:space="preserve">The designation of a TO shall not be effective unless the Transmission Operator Designation Form has been signed by an officer or other Authorized Representative of the designating DSP and the TDSP designated as TO.  </w:t>
      </w:r>
    </w:p>
    <w:p w14:paraId="4AB2ECAB" w14:textId="77777777" w:rsidR="006C277F" w:rsidRPr="006C277F" w:rsidRDefault="006C277F" w:rsidP="006C277F">
      <w:pPr>
        <w:spacing w:after="240"/>
        <w:ind w:left="720" w:hanging="720"/>
        <w:rPr>
          <w:iCs/>
          <w:color w:val="000000"/>
          <w:szCs w:val="24"/>
        </w:rPr>
      </w:pPr>
      <w:r w:rsidRPr="006C277F">
        <w:rPr>
          <w:iCs/>
          <w:color w:val="000000"/>
          <w:szCs w:val="24"/>
        </w:rPr>
        <w:t>(6)</w:t>
      </w:r>
      <w:r w:rsidRPr="006C277F">
        <w:rPr>
          <w:iCs/>
          <w:color w:val="000000"/>
          <w:szCs w:val="24"/>
        </w:rPr>
        <w:tab/>
        <w:t xml:space="preserve">A TO for a DSP may unilaterally resign from a designation as TO by submitting a properly completed Transmission Operator Designation Form to ERCOT reflecting the TO’s resignation of its TO status at least 30 days before the resignation becomes effective.  The resigning TO shall provide simultaneous notice of the resignation to the DSP it represents.   </w:t>
      </w:r>
    </w:p>
    <w:p w14:paraId="4D2E3403" w14:textId="77777777" w:rsidR="006C277F" w:rsidRPr="006C277F" w:rsidRDefault="006C277F" w:rsidP="006C277F">
      <w:pPr>
        <w:spacing w:after="240"/>
        <w:ind w:left="720" w:hanging="720"/>
        <w:rPr>
          <w:iCs/>
          <w:color w:val="000000"/>
          <w:szCs w:val="24"/>
        </w:rPr>
      </w:pPr>
      <w:r w:rsidRPr="006C277F">
        <w:rPr>
          <w:iCs/>
          <w:color w:val="000000"/>
          <w:szCs w:val="24"/>
        </w:rPr>
        <w:t>(7)</w:t>
      </w:r>
      <w:r w:rsidRPr="006C277F">
        <w:rPr>
          <w:iCs/>
          <w:color w:val="000000"/>
          <w:szCs w:val="24"/>
        </w:rPr>
        <w:tab/>
        <w:t xml:space="preserve">On the effective date of a TO’s resignation, the DSP previously represented by the resigning TO shall be deemed its own TO and shall assume all TO responsibilities unless and until it has properly designated another TDSP as its TO.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6C277F" w:rsidRPr="006C277F" w14:paraId="28B6F8D7" w14:textId="77777777" w:rsidTr="006C277F">
        <w:trPr>
          <w:trHeight w:val="476"/>
        </w:trPr>
        <w:tc>
          <w:tcPr>
            <w:tcW w:w="9350" w:type="dxa"/>
            <w:tcBorders>
              <w:top w:val="single" w:sz="4" w:space="0" w:color="auto"/>
              <w:bottom w:val="single" w:sz="4" w:space="0" w:color="auto"/>
            </w:tcBorders>
            <w:shd w:val="clear" w:color="auto" w:fill="E0E0E0"/>
          </w:tcPr>
          <w:p w14:paraId="6A56C7DD" w14:textId="67BB3A5F" w:rsidR="006C277F" w:rsidRPr="006C277F" w:rsidRDefault="006C277F" w:rsidP="006C277F">
            <w:pPr>
              <w:spacing w:before="120" w:after="240"/>
              <w:rPr>
                <w:b/>
                <w:i/>
                <w:iCs/>
                <w:color w:val="000000"/>
                <w:szCs w:val="24"/>
              </w:rPr>
            </w:pPr>
            <w:r w:rsidRPr="006C277F">
              <w:rPr>
                <w:b/>
                <w:i/>
                <w:iCs/>
                <w:color w:val="000000"/>
                <w:szCs w:val="24"/>
              </w:rPr>
              <w:t>[NPRR1045:  Replace Section 16.19 above with the following upon system implementation of NPRR857:]</w:t>
            </w:r>
          </w:p>
          <w:p w14:paraId="1E3E5423" w14:textId="77777777" w:rsidR="006C277F" w:rsidRPr="006C277F" w:rsidRDefault="006C277F" w:rsidP="00974AFC">
            <w:pPr>
              <w:pStyle w:val="H2"/>
              <w:rPr>
                <w:b w:val="0"/>
                <w:bCs/>
                <w:snapToGrid w:val="0"/>
              </w:rPr>
            </w:pPr>
            <w:bookmarkStart w:id="744" w:name="_Toc70591681"/>
            <w:r w:rsidRPr="006C277F">
              <w:rPr>
                <w:bCs/>
                <w:snapToGrid w:val="0"/>
              </w:rPr>
              <w:t>16.19</w:t>
            </w:r>
            <w:r w:rsidRPr="006C277F">
              <w:rPr>
                <w:bCs/>
                <w:snapToGrid w:val="0"/>
              </w:rPr>
              <w:tab/>
              <w:t>Designation of Transmission Operators</w:t>
            </w:r>
            <w:bookmarkEnd w:id="744"/>
            <w:r w:rsidRPr="006C277F">
              <w:rPr>
                <w:bCs/>
                <w:snapToGrid w:val="0"/>
              </w:rPr>
              <w:t xml:space="preserve"> </w:t>
            </w:r>
          </w:p>
          <w:p w14:paraId="582E8267" w14:textId="2DC9F832" w:rsidR="006C277F" w:rsidRPr="006C277F" w:rsidRDefault="006C277F" w:rsidP="006C277F">
            <w:pPr>
              <w:spacing w:after="240"/>
              <w:ind w:left="720" w:hanging="720"/>
              <w:rPr>
                <w:iCs/>
                <w:color w:val="000000"/>
                <w:szCs w:val="24"/>
              </w:rPr>
            </w:pPr>
            <w:r w:rsidRPr="006C277F">
              <w:rPr>
                <w:iCs/>
                <w:color w:val="000000"/>
                <w:szCs w:val="24"/>
              </w:rPr>
              <w:t>(1)</w:t>
            </w:r>
            <w:r w:rsidRPr="006C277F">
              <w:rPr>
                <w:iCs/>
                <w:color w:val="000000"/>
                <w:szCs w:val="24"/>
              </w:rPr>
              <w:tab/>
              <w:t xml:space="preserve">Each Transmission Service Provider (TSP) </w:t>
            </w:r>
            <w:r w:rsidR="00087B14" w:rsidRPr="006C277F">
              <w:rPr>
                <w:iCs/>
                <w:color w:val="000000"/>
                <w:szCs w:val="24"/>
              </w:rPr>
              <w:t xml:space="preserve">shall either register as a Transmission Operator (TO) or designate one or more other </w:t>
            </w:r>
            <w:r w:rsidR="00087B14">
              <w:rPr>
                <w:iCs/>
                <w:color w:val="000000"/>
                <w:szCs w:val="24"/>
              </w:rPr>
              <w:t>Transmission and/or Distribution Service Providers (</w:t>
            </w:r>
            <w:r w:rsidR="00087B14" w:rsidRPr="006C277F">
              <w:rPr>
                <w:iCs/>
                <w:color w:val="000000"/>
                <w:szCs w:val="24"/>
              </w:rPr>
              <w:t>TDSPs</w:t>
            </w:r>
            <w:r w:rsidR="00087B14">
              <w:rPr>
                <w:iCs/>
                <w:color w:val="000000"/>
                <w:szCs w:val="24"/>
              </w:rPr>
              <w:t>)</w:t>
            </w:r>
            <w:r w:rsidR="00087B14" w:rsidRPr="006C277F">
              <w:rPr>
                <w:iCs/>
                <w:color w:val="000000"/>
                <w:szCs w:val="24"/>
              </w:rPr>
              <w:t xml:space="preserve"> as its TO for each Transmission Facility owned by the TSP.  Each Direct Current Tie Operator (DCTO) shall designate a TDSP as its TO for each DC Tie it operates.  Each </w:t>
            </w:r>
            <w:r w:rsidR="00087B14">
              <w:rPr>
                <w:iCs/>
                <w:color w:val="000000"/>
                <w:szCs w:val="24"/>
              </w:rPr>
              <w:t>Distribution Service Provider (</w:t>
            </w:r>
            <w:r w:rsidR="00087B14" w:rsidRPr="006C277F">
              <w:rPr>
                <w:iCs/>
                <w:color w:val="000000"/>
                <w:szCs w:val="24"/>
              </w:rPr>
              <w:t>DSP</w:t>
            </w:r>
            <w:r w:rsidR="00087B14">
              <w:rPr>
                <w:iCs/>
                <w:color w:val="000000"/>
                <w:szCs w:val="24"/>
              </w:rPr>
              <w:t>)</w:t>
            </w:r>
            <w:r w:rsidR="00087B14" w:rsidRPr="006C277F">
              <w:rPr>
                <w:iCs/>
                <w:color w:val="000000"/>
                <w:szCs w:val="24"/>
              </w:rPr>
              <w:t xml:space="preserve"> shall either register as a TO or designate another TDSP as its TO.  A TDSP or DCTO shall designate another Entity as its TO only with the written consent of that other Entity.  </w:t>
            </w:r>
          </w:p>
          <w:p w14:paraId="0B4D9265" w14:textId="77777777" w:rsidR="006C277F" w:rsidRPr="006C277F" w:rsidRDefault="006C277F" w:rsidP="006C277F">
            <w:pPr>
              <w:spacing w:after="240"/>
              <w:ind w:left="720" w:hanging="720"/>
              <w:rPr>
                <w:iCs/>
                <w:color w:val="000000"/>
                <w:szCs w:val="24"/>
              </w:rPr>
            </w:pPr>
            <w:r w:rsidRPr="006C277F">
              <w:rPr>
                <w:iCs/>
                <w:color w:val="000000"/>
                <w:szCs w:val="24"/>
              </w:rPr>
              <w:t>(2)</w:t>
            </w:r>
            <w:r w:rsidRPr="006C277F">
              <w:rPr>
                <w:iCs/>
                <w:color w:val="000000"/>
                <w:szCs w:val="24"/>
              </w:rPr>
              <w:tab/>
              <w:t xml:space="preserve">A TO shall have full authority to act on behalf of the designating TDSP or DCTO in the performance of all TO responsibilities provided in the ERCOT Protocols or Other Binding Documents, including effectuating any Load-shed that may be necessary during any Energy Emergency Alert (EEA) event, Under-Frequency Load Shed (UFLS) event, or Under-Voltage Load Shed (UVLS) event.  </w:t>
            </w:r>
          </w:p>
          <w:p w14:paraId="39F5F286" w14:textId="77777777" w:rsidR="006C277F" w:rsidRPr="006C277F" w:rsidRDefault="006C277F" w:rsidP="006C277F">
            <w:pPr>
              <w:spacing w:after="240"/>
              <w:ind w:left="720" w:hanging="720"/>
              <w:rPr>
                <w:iCs/>
                <w:color w:val="000000"/>
                <w:szCs w:val="24"/>
              </w:rPr>
            </w:pPr>
            <w:r w:rsidRPr="006C277F">
              <w:rPr>
                <w:iCs/>
                <w:color w:val="000000"/>
                <w:szCs w:val="24"/>
              </w:rPr>
              <w:t>(3)</w:t>
            </w:r>
            <w:r w:rsidRPr="006C277F">
              <w:rPr>
                <w:iCs/>
                <w:color w:val="000000"/>
                <w:szCs w:val="24"/>
              </w:rPr>
              <w:tab/>
              <w:t xml:space="preserve">To qualify for designation as a TO, a TDSP shall be connected to the ERCOT Wide Area Network (WAN) and maintain 24x7 operations and Hotline communications with ERCOT. </w:t>
            </w:r>
          </w:p>
          <w:p w14:paraId="2B65E39C" w14:textId="77777777" w:rsidR="006C277F" w:rsidRPr="006C277F" w:rsidRDefault="006C277F" w:rsidP="006C277F">
            <w:pPr>
              <w:spacing w:after="240"/>
              <w:ind w:left="720" w:hanging="720"/>
              <w:rPr>
                <w:iCs/>
                <w:color w:val="000000"/>
                <w:szCs w:val="24"/>
              </w:rPr>
            </w:pPr>
            <w:r w:rsidRPr="006C277F">
              <w:rPr>
                <w:iCs/>
                <w:color w:val="000000"/>
                <w:szCs w:val="24"/>
              </w:rPr>
              <w:t>(4)</w:t>
            </w:r>
            <w:r w:rsidRPr="006C277F">
              <w:rPr>
                <w:iCs/>
                <w:color w:val="000000"/>
                <w:szCs w:val="24"/>
              </w:rPr>
              <w:tab/>
              <w:t xml:space="preserve">A TSP or DCTO shall enter a TO designation for each Transmission Facility it owns in the Network Operations Model.  Any designation or change to that designation shall be submitted to ERCOT within the time required for submitting physical changes to the Network Operations Model specified in paragraph (3) of Section 3.10.1, Time Line for Network Operations Model Changes.  </w:t>
            </w:r>
            <w:r w:rsidRPr="00087B14">
              <w:rPr>
                <w:szCs w:val="24"/>
              </w:rPr>
              <w:t xml:space="preserve">Any TSP designated as a TO for another TSP or </w:t>
            </w:r>
            <w:r w:rsidRPr="00087B14">
              <w:rPr>
                <w:szCs w:val="24"/>
              </w:rPr>
              <w:lastRenderedPageBreak/>
              <w:t xml:space="preserve">DCTO’s facilities may unilaterally reject or resign from that designation </w:t>
            </w:r>
            <w:r w:rsidRPr="006C277F">
              <w:rPr>
                <w:iCs/>
                <w:color w:val="000000"/>
                <w:szCs w:val="24"/>
              </w:rPr>
              <w:t xml:space="preserve">by providing written notice to the designating TSP and the TSP shall promptly update the TO designation in the Network Operations Model for the affected Transmission Facility.  </w:t>
            </w:r>
          </w:p>
          <w:p w14:paraId="7ED9A4D8" w14:textId="55991B82" w:rsidR="006C277F" w:rsidRPr="006C277F" w:rsidRDefault="006C277F" w:rsidP="006C277F">
            <w:pPr>
              <w:spacing w:after="240"/>
              <w:ind w:left="720" w:hanging="720"/>
              <w:rPr>
                <w:iCs/>
                <w:color w:val="000000"/>
                <w:szCs w:val="24"/>
              </w:rPr>
            </w:pPr>
            <w:r w:rsidRPr="006C277F">
              <w:rPr>
                <w:iCs/>
                <w:color w:val="000000"/>
                <w:szCs w:val="24"/>
              </w:rPr>
              <w:t>(5)</w:t>
            </w:r>
            <w:r w:rsidRPr="006C277F">
              <w:rPr>
                <w:iCs/>
                <w:color w:val="000000"/>
                <w:szCs w:val="24"/>
              </w:rPr>
              <w:tab/>
              <w:t xml:space="preserve">ERCOT shall post a Transmission Operator Designation Form on the ERCOT website.  A DSP may designate a TO or make any change to its designation, including revoking a TO designation, by properly completing the Transmission Operator Designation Form and submitting it via email to ERCOT with a copy provided to the TDSP designated as TO.  Any such change shall be submitted to ERCOT at least 30 days before the change becomes effective. </w:t>
            </w:r>
            <w:r>
              <w:rPr>
                <w:iCs/>
                <w:color w:val="000000"/>
                <w:szCs w:val="24"/>
              </w:rPr>
              <w:t xml:space="preserve"> </w:t>
            </w:r>
            <w:r w:rsidRPr="006C277F">
              <w:rPr>
                <w:iCs/>
                <w:color w:val="000000"/>
                <w:szCs w:val="24"/>
              </w:rPr>
              <w:t xml:space="preserve">The designation of a TO shall not be effective unless the Transmission Operator Designation Form has been signed by an officer or other Authorized Representative of the designating DSP or DCTO and the TDSP designated as TO.  </w:t>
            </w:r>
          </w:p>
          <w:p w14:paraId="7E95F61D" w14:textId="77777777" w:rsidR="006C277F" w:rsidRPr="006C277F" w:rsidRDefault="006C277F" w:rsidP="006C277F">
            <w:pPr>
              <w:spacing w:after="240"/>
              <w:ind w:left="720" w:hanging="720"/>
              <w:rPr>
                <w:iCs/>
                <w:color w:val="000000"/>
                <w:szCs w:val="24"/>
              </w:rPr>
            </w:pPr>
            <w:r w:rsidRPr="006C277F">
              <w:rPr>
                <w:iCs/>
                <w:color w:val="000000"/>
                <w:szCs w:val="24"/>
              </w:rPr>
              <w:t>(6)</w:t>
            </w:r>
            <w:r w:rsidRPr="006C277F">
              <w:rPr>
                <w:iCs/>
                <w:color w:val="000000"/>
                <w:szCs w:val="24"/>
              </w:rPr>
              <w:tab/>
              <w:t xml:space="preserve">A TO for a DSP may unilaterally resign from a designation as TO by submitting a properly completed Transmission Operator Designation Form to ERCOT reflecting the TO’s resignation of its TO status at least 30 days before the resignation becomes effective.  The resigning TO shall provide simultaneous notice of the resignation to the DSP it represents.   </w:t>
            </w:r>
          </w:p>
          <w:p w14:paraId="5A0FBC48" w14:textId="77777777" w:rsidR="006C277F" w:rsidRPr="006C277F" w:rsidRDefault="006C277F" w:rsidP="006C277F">
            <w:pPr>
              <w:spacing w:after="240"/>
              <w:ind w:left="720" w:hanging="720"/>
              <w:rPr>
                <w:iCs/>
                <w:color w:val="000000"/>
                <w:szCs w:val="24"/>
              </w:rPr>
            </w:pPr>
            <w:r w:rsidRPr="006C277F">
              <w:rPr>
                <w:iCs/>
                <w:color w:val="000000"/>
                <w:szCs w:val="24"/>
              </w:rPr>
              <w:t>(7)</w:t>
            </w:r>
            <w:r w:rsidRPr="006C277F">
              <w:rPr>
                <w:iCs/>
                <w:color w:val="000000"/>
                <w:szCs w:val="24"/>
              </w:rPr>
              <w:tab/>
              <w:t xml:space="preserve">On the effective date of a TO’s resignation, the DSP previously represented by the resigning TO shall be deemed its own TO and shall assume all TO responsibilities unless and until it has properly designated another TDSP as its TO.   </w:t>
            </w:r>
          </w:p>
        </w:tc>
      </w:tr>
    </w:tbl>
    <w:p w14:paraId="7E9177BE" w14:textId="77777777" w:rsidR="0081684A" w:rsidRDefault="0081684A" w:rsidP="00CC002A">
      <w:pPr>
        <w:pStyle w:val="BodyText"/>
      </w:pPr>
    </w:p>
    <w:sectPr w:rsidR="0081684A" w:rsidSect="00FC1C5F">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6F90C" w14:textId="77777777" w:rsidR="006F2D2A" w:rsidRDefault="006F2D2A">
      <w:r>
        <w:separator/>
      </w:r>
    </w:p>
  </w:endnote>
  <w:endnote w:type="continuationSeparator" w:id="0">
    <w:p w14:paraId="39924015" w14:textId="77777777" w:rsidR="006F2D2A" w:rsidRDefault="006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9A2F7" w14:textId="77777777" w:rsidR="006F2D2A" w:rsidRDefault="006F2D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EDD457" w14:textId="77777777" w:rsidR="006F2D2A" w:rsidRDefault="006F2D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D4EAD" w14:textId="77777777" w:rsidR="006F2D2A" w:rsidRDefault="006F2D2A">
    <w:pPr>
      <w:pStyle w:val="Footer"/>
      <w:pBdr>
        <w:top w:val="none" w:sz="0" w:space="0" w:color="auto"/>
      </w:pBdr>
      <w:jc w:val="center"/>
    </w:pPr>
    <w: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2CC5E" w14:textId="77777777" w:rsidR="006F2D2A" w:rsidRDefault="006F2D2A">
    <w:pPr>
      <w:pStyle w:val="Footer"/>
      <w:tabs>
        <w:tab w:val="clear" w:pos="4680"/>
      </w:tabs>
    </w:pPr>
    <w:r>
      <w:t xml:space="preserve">ERCOT Nodal Protocols Draft – </w:t>
    </w:r>
    <w:smartTag w:uri="urn:schemas-microsoft-com:office:smarttags" w:element="date">
      <w:smartTagPr>
        <w:attr w:name="ls" w:val="trans"/>
        <w:attr w:name="Month" w:val="5"/>
        <w:attr w:name="Day" w:val="26"/>
        <w:attr w:name="Year" w:val="2004"/>
      </w:smartTagPr>
      <w:smartTag w:uri="urn:schemas-microsoft-com:office:smarttags" w:element="stockticker">
        <w:r>
          <w:t>May</w:t>
        </w:r>
      </w:smartTag>
      <w:r>
        <w:t xml:space="preserve"> 26, 2004</w:t>
      </w:r>
    </w:smartTag>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7B75E" w14:textId="7B01D87B" w:rsidR="006F2D2A" w:rsidRDefault="006F2D2A">
    <w:pPr>
      <w:pStyle w:val="Footer"/>
      <w:tabs>
        <w:tab w:val="right" w:pos="9450"/>
      </w:tabs>
      <w:spacing w:before="0" w:after="0"/>
    </w:pPr>
    <w:r>
      <w:t>ERCOT Nodal Protocols – September 1</w:t>
    </w:r>
    <w:r w:rsidR="00CB2A95">
      <w:t>0</w:t>
    </w:r>
    <w:r>
      <w:t>, 2021</w:t>
    </w:r>
  </w:p>
  <w:p w14:paraId="47D279AC" w14:textId="77777777" w:rsidR="006F2D2A" w:rsidRDefault="006F2D2A">
    <w:pPr>
      <w:pStyle w:val="Footer"/>
      <w:tabs>
        <w:tab w:val="right" w:pos="9450"/>
      </w:tabs>
      <w:spacing w:before="0" w:after="0"/>
      <w:jc w:val="center"/>
    </w:pPr>
    <w:r>
      <w:t>PUBLIC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13672" w14:textId="77777777" w:rsidR="006F2D2A" w:rsidRDefault="006F2D2A">
    <w:pPr>
      <w:pStyle w:val="Footer"/>
      <w:tabs>
        <w:tab w:val="clear" w:pos="4680"/>
      </w:tabs>
    </w:pPr>
    <w:r>
      <w:t xml:space="preserve">ERCOT Nodal Protocols Draft – </w:t>
    </w:r>
    <w:smartTag w:uri="urn:schemas-microsoft-com:office:smarttags" w:element="date">
      <w:smartTagPr>
        <w:attr w:name="ls" w:val="trans"/>
        <w:attr w:name="Month" w:val="5"/>
        <w:attr w:name="Day" w:val="26"/>
        <w:attr w:name="Year" w:val="2004"/>
      </w:smartTagPr>
      <w:smartTag w:uri="urn:schemas-microsoft-com:office:smarttags" w:element="stockticker">
        <w:r>
          <w:t>May</w:t>
        </w:r>
      </w:smartTag>
      <w:r>
        <w:t xml:space="preserve"> 26, 2004</w:t>
      </w:r>
    </w:smartTag>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F178C" w14:textId="77777777" w:rsidR="006F2D2A" w:rsidRDefault="006F2D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1725BC" w14:textId="77777777" w:rsidR="006F2D2A" w:rsidRDefault="006F2D2A">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823F6" w14:textId="10DAE41E" w:rsidR="006F2D2A" w:rsidRDefault="006F2D2A">
    <w:pPr>
      <w:pStyle w:val="Footer"/>
      <w:tabs>
        <w:tab w:val="right" w:pos="9450"/>
      </w:tabs>
      <w:spacing w:before="0" w:after="0"/>
      <w:rPr>
        <w:rStyle w:val="PageNumber"/>
      </w:rPr>
    </w:pPr>
    <w:r>
      <w:t>ERCOT Nodal Protocols – September 1</w:t>
    </w:r>
    <w:r w:rsidR="00CB2A95">
      <w:t>0</w:t>
    </w:r>
    <w:r>
      <w:t>, 2021</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p w14:paraId="22C85721" w14:textId="77777777" w:rsidR="006F2D2A" w:rsidRDefault="006F2D2A">
    <w:pPr>
      <w:pStyle w:val="Footer"/>
      <w:tabs>
        <w:tab w:val="right" w:pos="9450"/>
      </w:tabs>
      <w:spacing w:before="0" w:after="0"/>
      <w:jc w:val="center"/>
    </w:pPr>
    <w:r>
      <w:rPr>
        <w:rStyle w:val="PageNumber"/>
      </w:rPr>
      <w:t>PUBLIC</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D5D31" w14:textId="77777777" w:rsidR="006F2D2A" w:rsidRDefault="006F2D2A">
    <w:pPr>
      <w:pStyle w:val="Footer"/>
      <w:framePr w:wrap="around" w:vAnchor="text" w:hAnchor="margin" w:xAlign="right" w:y="1"/>
      <w:rPr>
        <w:rStyle w:val="PageNumber"/>
      </w:rPr>
    </w:pPr>
  </w:p>
  <w:p w14:paraId="721CD2C6" w14:textId="77777777" w:rsidR="006F2D2A" w:rsidRDefault="006F2D2A">
    <w:pPr>
      <w:pStyle w:val="Footer"/>
    </w:pPr>
    <w:r>
      <w:t xml:space="preserve">ERCOT Nodal Protocols – Draft </w:t>
    </w:r>
    <w:smartTag w:uri="urn:schemas-microsoft-com:office:smarttags" w:element="date">
      <w:smartTagPr>
        <w:attr w:name="Year" w:val="2004"/>
        <w:attr w:name="Day" w:val="26"/>
        <w:attr w:name="Month" w:val="5"/>
        <w:attr w:name="ls" w:val="trans"/>
      </w:smartTagPr>
      <w:smartTag w:uri="urn:schemas-microsoft-com:office:smarttags" w:element="stockticker">
        <w:r>
          <w:t>May</w:t>
        </w:r>
      </w:smartTag>
      <w:r>
        <w:t xml:space="preserve"> 26, 2004</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2D2E2" w14:textId="77777777" w:rsidR="006F2D2A" w:rsidRDefault="006F2D2A">
      <w:r>
        <w:separator/>
      </w:r>
    </w:p>
  </w:footnote>
  <w:footnote w:type="continuationSeparator" w:id="0">
    <w:p w14:paraId="61E7EEF0" w14:textId="77777777" w:rsidR="006F2D2A" w:rsidRDefault="006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1EF5A" w14:textId="77777777" w:rsidR="006F2D2A" w:rsidRDefault="006F2D2A">
    <w:pPr>
      <w:pStyle w:val="Header"/>
      <w:pBdr>
        <w:bottom w:val="none" w:sz="0" w:space="0" w:color="auto"/>
      </w:pBd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C7F8E" w14:textId="77777777" w:rsidR="006F2D2A" w:rsidRDefault="006F2D2A">
    <w:pPr>
      <w:pStyle w:val="Header"/>
    </w:pPr>
    <w:r>
      <w:t>Table of Contents:  Section 16</w:t>
    </w:r>
  </w:p>
  <w:p w14:paraId="1E6632AB" w14:textId="77777777" w:rsidR="006F2D2A" w:rsidRDefault="006F2D2A">
    <w:pPr>
      <w:pStyle w:val="Header"/>
      <w:pBdr>
        <w:bottom w:val="none" w:sz="0" w:space="0" w:color="auto"/>
      </w:pBd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36917" w14:textId="77777777" w:rsidR="006F2D2A" w:rsidRDefault="006F2D2A">
    <w:pPr>
      <w:pStyle w:val="Header"/>
    </w:pPr>
    <w:r>
      <w:t>Section 16:  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D796F" w14:textId="77777777" w:rsidR="006F2D2A" w:rsidRDefault="006F2D2A">
    <w:pPr>
      <w:pStyle w:val="Header"/>
    </w:pPr>
    <w:r>
      <w:t xml:space="preserve">Section 16:  Registration </w:t>
    </w:r>
    <w:smartTag w:uri="urn:schemas-microsoft-com:office:smarttags" w:element="stockticker">
      <w:r>
        <w:t>and</w:t>
      </w:r>
    </w:smartTag>
    <w:r>
      <w:t xml:space="preserve"> qualification of Market Participants</w:t>
    </w:r>
  </w:p>
  <w:p w14:paraId="2F584375" w14:textId="77777777" w:rsidR="006F2D2A" w:rsidRDefault="006F2D2A">
    <w:pPr>
      <w:pStyle w:val="Header"/>
      <w:pBdr>
        <w:bottom w:val="none" w:sz="0" w:space="0" w:color="auto"/>
      </w:pBdr>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3CF2A" w14:textId="77777777" w:rsidR="006F2D2A" w:rsidRDefault="006F2D2A">
    <w:pPr>
      <w:pStyle w:val="Header"/>
    </w:pPr>
    <w:r>
      <w:t xml:space="preserve">Section 16:  Registration </w:t>
    </w:r>
    <w:smartTag w:uri="urn:schemas-microsoft-com:office:smarttags" w:element="stockticker">
      <w:r>
        <w:t>and</w:t>
      </w:r>
    </w:smartTag>
    <w:r>
      <w:t xml:space="preserve"> qualification of Market Participants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6"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66510064"/>
    <w:multiLevelType w:val="multilevel"/>
    <w:tmpl w:val="DBDC0E34"/>
    <w:lvl w:ilvl="0">
      <w:start w:val="16"/>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0"/>
  </w:num>
  <w:num w:numId="4">
    <w:abstractNumId w:val="13"/>
  </w:num>
  <w:num w:numId="5">
    <w:abstractNumId w:val="12"/>
  </w:num>
  <w:num w:numId="6">
    <w:abstractNumId w:val="8"/>
  </w:num>
  <w:num w:numId="7">
    <w:abstractNumId w:val="7"/>
  </w:num>
  <w:num w:numId="8">
    <w:abstractNumId w:val="15"/>
  </w:num>
  <w:num w:numId="9">
    <w:abstractNumId w:val="14"/>
  </w:num>
  <w:num w:numId="10">
    <w:abstractNumId w:val="20"/>
  </w:num>
  <w:num w:numId="11">
    <w:abstractNumId w:val="1"/>
  </w:num>
  <w:num w:numId="12">
    <w:abstractNumId w:val="5"/>
  </w:num>
  <w:num w:numId="13">
    <w:abstractNumId w:val="10"/>
  </w:num>
  <w:num w:numId="14">
    <w:abstractNumId w:val="17"/>
  </w:num>
  <w:num w:numId="15">
    <w:abstractNumId w:val="3"/>
  </w:num>
  <w:num w:numId="16">
    <w:abstractNumId w:val="4"/>
  </w:num>
  <w:num w:numId="17">
    <w:abstractNumId w:val="6"/>
  </w:num>
  <w:num w:numId="18">
    <w:abstractNumId w:val="16"/>
  </w:num>
  <w:num w:numId="19">
    <w:abstractNumId w:val="19"/>
  </w:num>
  <w:num w:numId="20">
    <w:abstractNumId w:val="9"/>
  </w:num>
  <w:num w:numId="21">
    <w:abstractNumId w:val="2"/>
  </w:num>
  <w:num w:numId="2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C5F"/>
    <w:rsid w:val="00000D77"/>
    <w:rsid w:val="00002B03"/>
    <w:rsid w:val="00002F41"/>
    <w:rsid w:val="0000582A"/>
    <w:rsid w:val="000121AD"/>
    <w:rsid w:val="00013289"/>
    <w:rsid w:val="0001588A"/>
    <w:rsid w:val="000160E0"/>
    <w:rsid w:val="0001661E"/>
    <w:rsid w:val="00017145"/>
    <w:rsid w:val="00022A2E"/>
    <w:rsid w:val="00023149"/>
    <w:rsid w:val="000232E6"/>
    <w:rsid w:val="0002345B"/>
    <w:rsid w:val="00023D5B"/>
    <w:rsid w:val="0002450E"/>
    <w:rsid w:val="00024BE1"/>
    <w:rsid w:val="00026476"/>
    <w:rsid w:val="00027ABD"/>
    <w:rsid w:val="00030891"/>
    <w:rsid w:val="00036EC4"/>
    <w:rsid w:val="000370C5"/>
    <w:rsid w:val="000376C9"/>
    <w:rsid w:val="00040698"/>
    <w:rsid w:val="00042D82"/>
    <w:rsid w:val="00046F88"/>
    <w:rsid w:val="000479AE"/>
    <w:rsid w:val="00052835"/>
    <w:rsid w:val="00053F81"/>
    <w:rsid w:val="0005725D"/>
    <w:rsid w:val="00062400"/>
    <w:rsid w:val="00062769"/>
    <w:rsid w:val="00062C56"/>
    <w:rsid w:val="00062E50"/>
    <w:rsid w:val="00063CFE"/>
    <w:rsid w:val="0006626C"/>
    <w:rsid w:val="00067F7E"/>
    <w:rsid w:val="000723E8"/>
    <w:rsid w:val="00072418"/>
    <w:rsid w:val="00073866"/>
    <w:rsid w:val="00077067"/>
    <w:rsid w:val="0007756C"/>
    <w:rsid w:val="00077E23"/>
    <w:rsid w:val="000812B4"/>
    <w:rsid w:val="0008133B"/>
    <w:rsid w:val="00081A43"/>
    <w:rsid w:val="00082575"/>
    <w:rsid w:val="00086624"/>
    <w:rsid w:val="00087B14"/>
    <w:rsid w:val="00090786"/>
    <w:rsid w:val="00090BA5"/>
    <w:rsid w:val="000929F0"/>
    <w:rsid w:val="00093A94"/>
    <w:rsid w:val="000A063B"/>
    <w:rsid w:val="000A08CF"/>
    <w:rsid w:val="000A0A43"/>
    <w:rsid w:val="000B23CB"/>
    <w:rsid w:val="000B27F0"/>
    <w:rsid w:val="000B3DA3"/>
    <w:rsid w:val="000B3F7F"/>
    <w:rsid w:val="000B55EF"/>
    <w:rsid w:val="000B5BEC"/>
    <w:rsid w:val="000B62BB"/>
    <w:rsid w:val="000B6F80"/>
    <w:rsid w:val="000B6FE0"/>
    <w:rsid w:val="000B7636"/>
    <w:rsid w:val="000C0A5D"/>
    <w:rsid w:val="000C22D2"/>
    <w:rsid w:val="000C3577"/>
    <w:rsid w:val="000C3CFF"/>
    <w:rsid w:val="000C5AE0"/>
    <w:rsid w:val="000C7043"/>
    <w:rsid w:val="000C7415"/>
    <w:rsid w:val="000C76A4"/>
    <w:rsid w:val="000D00F4"/>
    <w:rsid w:val="000D36D7"/>
    <w:rsid w:val="000D71F8"/>
    <w:rsid w:val="000E23B0"/>
    <w:rsid w:val="000E3528"/>
    <w:rsid w:val="000E49BB"/>
    <w:rsid w:val="000E695C"/>
    <w:rsid w:val="000E7458"/>
    <w:rsid w:val="000F0BE1"/>
    <w:rsid w:val="000F17D7"/>
    <w:rsid w:val="000F1E71"/>
    <w:rsid w:val="000F24BA"/>
    <w:rsid w:val="000F40DF"/>
    <w:rsid w:val="000F5E03"/>
    <w:rsid w:val="000F619B"/>
    <w:rsid w:val="001067AB"/>
    <w:rsid w:val="001075EF"/>
    <w:rsid w:val="0011177E"/>
    <w:rsid w:val="00113057"/>
    <w:rsid w:val="001139F7"/>
    <w:rsid w:val="001168CD"/>
    <w:rsid w:val="00116F52"/>
    <w:rsid w:val="0011779D"/>
    <w:rsid w:val="00122597"/>
    <w:rsid w:val="001229DC"/>
    <w:rsid w:val="00122A47"/>
    <w:rsid w:val="00122AC9"/>
    <w:rsid w:val="0012314B"/>
    <w:rsid w:val="00126ABB"/>
    <w:rsid w:val="0012720F"/>
    <w:rsid w:val="001277A1"/>
    <w:rsid w:val="00130062"/>
    <w:rsid w:val="00130D6C"/>
    <w:rsid w:val="00131A66"/>
    <w:rsid w:val="00135A5B"/>
    <w:rsid w:val="001414F9"/>
    <w:rsid w:val="00142152"/>
    <w:rsid w:val="00143445"/>
    <w:rsid w:val="00144199"/>
    <w:rsid w:val="001475C2"/>
    <w:rsid w:val="001525EC"/>
    <w:rsid w:val="00152E4B"/>
    <w:rsid w:val="00156B07"/>
    <w:rsid w:val="00160197"/>
    <w:rsid w:val="0016049E"/>
    <w:rsid w:val="001613F1"/>
    <w:rsid w:val="00161E0E"/>
    <w:rsid w:val="001641C4"/>
    <w:rsid w:val="00165F10"/>
    <w:rsid w:val="00170B18"/>
    <w:rsid w:val="00173006"/>
    <w:rsid w:val="00173C35"/>
    <w:rsid w:val="00174B30"/>
    <w:rsid w:val="00174F6C"/>
    <w:rsid w:val="0017700F"/>
    <w:rsid w:val="00177995"/>
    <w:rsid w:val="001802C7"/>
    <w:rsid w:val="0018288A"/>
    <w:rsid w:val="00183BC3"/>
    <w:rsid w:val="001856AB"/>
    <w:rsid w:val="001856C4"/>
    <w:rsid w:val="001868F9"/>
    <w:rsid w:val="00193BF2"/>
    <w:rsid w:val="00194EEE"/>
    <w:rsid w:val="001A085D"/>
    <w:rsid w:val="001A1562"/>
    <w:rsid w:val="001A17DD"/>
    <w:rsid w:val="001A55B7"/>
    <w:rsid w:val="001A738B"/>
    <w:rsid w:val="001A7AB9"/>
    <w:rsid w:val="001B30AF"/>
    <w:rsid w:val="001B3DAE"/>
    <w:rsid w:val="001B4A1F"/>
    <w:rsid w:val="001B5901"/>
    <w:rsid w:val="001C15BC"/>
    <w:rsid w:val="001C2322"/>
    <w:rsid w:val="001C2FDE"/>
    <w:rsid w:val="001C3D6D"/>
    <w:rsid w:val="001C46D9"/>
    <w:rsid w:val="001C6988"/>
    <w:rsid w:val="001C739C"/>
    <w:rsid w:val="001D00A8"/>
    <w:rsid w:val="001D19E3"/>
    <w:rsid w:val="001D1B26"/>
    <w:rsid w:val="001D374E"/>
    <w:rsid w:val="001D554C"/>
    <w:rsid w:val="001D6445"/>
    <w:rsid w:val="001D6FDB"/>
    <w:rsid w:val="001E0A81"/>
    <w:rsid w:val="001E1629"/>
    <w:rsid w:val="001E2553"/>
    <w:rsid w:val="001E41FD"/>
    <w:rsid w:val="001E52BE"/>
    <w:rsid w:val="001E5A7E"/>
    <w:rsid w:val="001E6046"/>
    <w:rsid w:val="001F126B"/>
    <w:rsid w:val="001F13B8"/>
    <w:rsid w:val="001F44D0"/>
    <w:rsid w:val="001F775A"/>
    <w:rsid w:val="0020488A"/>
    <w:rsid w:val="00206023"/>
    <w:rsid w:val="00206C6A"/>
    <w:rsid w:val="0020706C"/>
    <w:rsid w:val="002148BB"/>
    <w:rsid w:val="0021565F"/>
    <w:rsid w:val="00216388"/>
    <w:rsid w:val="002166E7"/>
    <w:rsid w:val="00216B4F"/>
    <w:rsid w:val="002206AD"/>
    <w:rsid w:val="00221C60"/>
    <w:rsid w:val="00222D7B"/>
    <w:rsid w:val="00230BAE"/>
    <w:rsid w:val="00233DE1"/>
    <w:rsid w:val="002349CD"/>
    <w:rsid w:val="00234DC8"/>
    <w:rsid w:val="002403C3"/>
    <w:rsid w:val="002424BD"/>
    <w:rsid w:val="002475CE"/>
    <w:rsid w:val="00262EEB"/>
    <w:rsid w:val="002631D7"/>
    <w:rsid w:val="002635D3"/>
    <w:rsid w:val="002639A4"/>
    <w:rsid w:val="00264712"/>
    <w:rsid w:val="00271A97"/>
    <w:rsid w:val="00271ED3"/>
    <w:rsid w:val="00275EFD"/>
    <w:rsid w:val="00277384"/>
    <w:rsid w:val="00277F36"/>
    <w:rsid w:val="00280035"/>
    <w:rsid w:val="002803BF"/>
    <w:rsid w:val="00280B6F"/>
    <w:rsid w:val="0028136E"/>
    <w:rsid w:val="0028363C"/>
    <w:rsid w:val="00284BF0"/>
    <w:rsid w:val="002864A5"/>
    <w:rsid w:val="002877C9"/>
    <w:rsid w:val="00290196"/>
    <w:rsid w:val="00296FC2"/>
    <w:rsid w:val="002A15C4"/>
    <w:rsid w:val="002A209E"/>
    <w:rsid w:val="002A20D9"/>
    <w:rsid w:val="002A5374"/>
    <w:rsid w:val="002A5591"/>
    <w:rsid w:val="002A61C4"/>
    <w:rsid w:val="002A6390"/>
    <w:rsid w:val="002B0F9B"/>
    <w:rsid w:val="002B1C61"/>
    <w:rsid w:val="002B1F67"/>
    <w:rsid w:val="002B20DD"/>
    <w:rsid w:val="002B286A"/>
    <w:rsid w:val="002B2C07"/>
    <w:rsid w:val="002B3DDF"/>
    <w:rsid w:val="002B43B7"/>
    <w:rsid w:val="002B565A"/>
    <w:rsid w:val="002B668C"/>
    <w:rsid w:val="002B72D0"/>
    <w:rsid w:val="002C19E5"/>
    <w:rsid w:val="002C3290"/>
    <w:rsid w:val="002C64F9"/>
    <w:rsid w:val="002C787B"/>
    <w:rsid w:val="002D0B2E"/>
    <w:rsid w:val="002D0D49"/>
    <w:rsid w:val="002D20F3"/>
    <w:rsid w:val="002D23B1"/>
    <w:rsid w:val="002D2785"/>
    <w:rsid w:val="002D2799"/>
    <w:rsid w:val="002D332F"/>
    <w:rsid w:val="002D4566"/>
    <w:rsid w:val="002E0A9C"/>
    <w:rsid w:val="002E0E66"/>
    <w:rsid w:val="002E18F8"/>
    <w:rsid w:val="002E1E52"/>
    <w:rsid w:val="002E2051"/>
    <w:rsid w:val="002E2641"/>
    <w:rsid w:val="002E6C8C"/>
    <w:rsid w:val="002E76DA"/>
    <w:rsid w:val="002F03A7"/>
    <w:rsid w:val="002F2328"/>
    <w:rsid w:val="002F2A6A"/>
    <w:rsid w:val="002F309C"/>
    <w:rsid w:val="002F409F"/>
    <w:rsid w:val="002F50F2"/>
    <w:rsid w:val="002F6EC9"/>
    <w:rsid w:val="002F7F47"/>
    <w:rsid w:val="0030023B"/>
    <w:rsid w:val="00300E30"/>
    <w:rsid w:val="00304032"/>
    <w:rsid w:val="0030579C"/>
    <w:rsid w:val="0030612E"/>
    <w:rsid w:val="003062A3"/>
    <w:rsid w:val="00310113"/>
    <w:rsid w:val="0031049E"/>
    <w:rsid w:val="00311559"/>
    <w:rsid w:val="003126BC"/>
    <w:rsid w:val="00312F55"/>
    <w:rsid w:val="003135AE"/>
    <w:rsid w:val="00313674"/>
    <w:rsid w:val="00314DBD"/>
    <w:rsid w:val="0031594F"/>
    <w:rsid w:val="0031595F"/>
    <w:rsid w:val="003167F7"/>
    <w:rsid w:val="0032725A"/>
    <w:rsid w:val="00331248"/>
    <w:rsid w:val="003317F7"/>
    <w:rsid w:val="00331D8A"/>
    <w:rsid w:val="0033404D"/>
    <w:rsid w:val="0033459A"/>
    <w:rsid w:val="003367E9"/>
    <w:rsid w:val="0033728C"/>
    <w:rsid w:val="0033760D"/>
    <w:rsid w:val="00340001"/>
    <w:rsid w:val="00341131"/>
    <w:rsid w:val="003430B1"/>
    <w:rsid w:val="00345245"/>
    <w:rsid w:val="00345E2E"/>
    <w:rsid w:val="00346051"/>
    <w:rsid w:val="003470FF"/>
    <w:rsid w:val="00350FB0"/>
    <w:rsid w:val="003532D1"/>
    <w:rsid w:val="00355A24"/>
    <w:rsid w:val="00355D7A"/>
    <w:rsid w:val="003573E3"/>
    <w:rsid w:val="00360E2C"/>
    <w:rsid w:val="00362E3D"/>
    <w:rsid w:val="00364DE6"/>
    <w:rsid w:val="003651B3"/>
    <w:rsid w:val="00365293"/>
    <w:rsid w:val="00367720"/>
    <w:rsid w:val="00367889"/>
    <w:rsid w:val="003711E0"/>
    <w:rsid w:val="003747A8"/>
    <w:rsid w:val="00375D5D"/>
    <w:rsid w:val="00380985"/>
    <w:rsid w:val="0038379B"/>
    <w:rsid w:val="003845B8"/>
    <w:rsid w:val="00386628"/>
    <w:rsid w:val="00391A70"/>
    <w:rsid w:val="00394A28"/>
    <w:rsid w:val="003A234E"/>
    <w:rsid w:val="003A36DF"/>
    <w:rsid w:val="003A38A3"/>
    <w:rsid w:val="003A5AEB"/>
    <w:rsid w:val="003B0D6B"/>
    <w:rsid w:val="003B2CA7"/>
    <w:rsid w:val="003B4253"/>
    <w:rsid w:val="003B4662"/>
    <w:rsid w:val="003B47DA"/>
    <w:rsid w:val="003B5A82"/>
    <w:rsid w:val="003B6728"/>
    <w:rsid w:val="003B76F6"/>
    <w:rsid w:val="003B7BC8"/>
    <w:rsid w:val="003B7CFE"/>
    <w:rsid w:val="003C1ED7"/>
    <w:rsid w:val="003C2CC8"/>
    <w:rsid w:val="003C2F9B"/>
    <w:rsid w:val="003C371E"/>
    <w:rsid w:val="003C539E"/>
    <w:rsid w:val="003C6F50"/>
    <w:rsid w:val="003D3A4F"/>
    <w:rsid w:val="003D7970"/>
    <w:rsid w:val="003E021A"/>
    <w:rsid w:val="003E09AF"/>
    <w:rsid w:val="003E1243"/>
    <w:rsid w:val="003E1CB9"/>
    <w:rsid w:val="003E3E50"/>
    <w:rsid w:val="003E475D"/>
    <w:rsid w:val="003E7FD4"/>
    <w:rsid w:val="003F13E9"/>
    <w:rsid w:val="003F1980"/>
    <w:rsid w:val="003F3142"/>
    <w:rsid w:val="003F41DA"/>
    <w:rsid w:val="003F530B"/>
    <w:rsid w:val="003F60BE"/>
    <w:rsid w:val="003F6E4E"/>
    <w:rsid w:val="003F77D3"/>
    <w:rsid w:val="004000C1"/>
    <w:rsid w:val="004011EC"/>
    <w:rsid w:val="004032AE"/>
    <w:rsid w:val="004033D4"/>
    <w:rsid w:val="00403872"/>
    <w:rsid w:val="0040645E"/>
    <w:rsid w:val="004077E1"/>
    <w:rsid w:val="0041089D"/>
    <w:rsid w:val="00413194"/>
    <w:rsid w:val="00413864"/>
    <w:rsid w:val="004171B4"/>
    <w:rsid w:val="00417FC4"/>
    <w:rsid w:val="00425EC8"/>
    <w:rsid w:val="00443D81"/>
    <w:rsid w:val="0044531C"/>
    <w:rsid w:val="00445EDD"/>
    <w:rsid w:val="00451058"/>
    <w:rsid w:val="0045278E"/>
    <w:rsid w:val="0045424F"/>
    <w:rsid w:val="00454BC0"/>
    <w:rsid w:val="004551DD"/>
    <w:rsid w:val="004569B6"/>
    <w:rsid w:val="00456C37"/>
    <w:rsid w:val="004628C3"/>
    <w:rsid w:val="00462B48"/>
    <w:rsid w:val="00466B3B"/>
    <w:rsid w:val="00466F24"/>
    <w:rsid w:val="00470627"/>
    <w:rsid w:val="00471783"/>
    <w:rsid w:val="004770C1"/>
    <w:rsid w:val="004809A4"/>
    <w:rsid w:val="00483ECB"/>
    <w:rsid w:val="004842DD"/>
    <w:rsid w:val="00484E48"/>
    <w:rsid w:val="004855F1"/>
    <w:rsid w:val="00487B3A"/>
    <w:rsid w:val="00487D48"/>
    <w:rsid w:val="00491D4C"/>
    <w:rsid w:val="00492866"/>
    <w:rsid w:val="004953FF"/>
    <w:rsid w:val="0049638D"/>
    <w:rsid w:val="00497503"/>
    <w:rsid w:val="00497B7E"/>
    <w:rsid w:val="004A13E5"/>
    <w:rsid w:val="004A1A20"/>
    <w:rsid w:val="004A233E"/>
    <w:rsid w:val="004A2C80"/>
    <w:rsid w:val="004A37B9"/>
    <w:rsid w:val="004A3EB0"/>
    <w:rsid w:val="004A403A"/>
    <w:rsid w:val="004A501E"/>
    <w:rsid w:val="004A51F6"/>
    <w:rsid w:val="004A65D8"/>
    <w:rsid w:val="004A6DF4"/>
    <w:rsid w:val="004A751B"/>
    <w:rsid w:val="004B0BDA"/>
    <w:rsid w:val="004B1A7F"/>
    <w:rsid w:val="004B1C32"/>
    <w:rsid w:val="004B638C"/>
    <w:rsid w:val="004B70A5"/>
    <w:rsid w:val="004C1750"/>
    <w:rsid w:val="004C20EE"/>
    <w:rsid w:val="004C2D2E"/>
    <w:rsid w:val="004C4936"/>
    <w:rsid w:val="004C5640"/>
    <w:rsid w:val="004C627A"/>
    <w:rsid w:val="004D0BB6"/>
    <w:rsid w:val="004D10E4"/>
    <w:rsid w:val="004D245C"/>
    <w:rsid w:val="004D36E3"/>
    <w:rsid w:val="004D5E09"/>
    <w:rsid w:val="004E101F"/>
    <w:rsid w:val="004E20CE"/>
    <w:rsid w:val="004E2CBB"/>
    <w:rsid w:val="004E450B"/>
    <w:rsid w:val="004E5434"/>
    <w:rsid w:val="004E603E"/>
    <w:rsid w:val="004E6267"/>
    <w:rsid w:val="004F1296"/>
    <w:rsid w:val="004F16FC"/>
    <w:rsid w:val="004F217C"/>
    <w:rsid w:val="004F25FC"/>
    <w:rsid w:val="004F59D3"/>
    <w:rsid w:val="004F5CBD"/>
    <w:rsid w:val="004F6DC4"/>
    <w:rsid w:val="0050013B"/>
    <w:rsid w:val="00502BFE"/>
    <w:rsid w:val="005045BA"/>
    <w:rsid w:val="00504E97"/>
    <w:rsid w:val="0050531A"/>
    <w:rsid w:val="00505AE3"/>
    <w:rsid w:val="0050618D"/>
    <w:rsid w:val="00510619"/>
    <w:rsid w:val="00510CB6"/>
    <w:rsid w:val="00511DFB"/>
    <w:rsid w:val="00512B05"/>
    <w:rsid w:val="00512B0E"/>
    <w:rsid w:val="00513648"/>
    <w:rsid w:val="00513A73"/>
    <w:rsid w:val="00513F1B"/>
    <w:rsid w:val="00516305"/>
    <w:rsid w:val="00516719"/>
    <w:rsid w:val="00520F89"/>
    <w:rsid w:val="00521FE5"/>
    <w:rsid w:val="005220DB"/>
    <w:rsid w:val="00522CB8"/>
    <w:rsid w:val="005250EA"/>
    <w:rsid w:val="005252C8"/>
    <w:rsid w:val="00530F8C"/>
    <w:rsid w:val="00532FED"/>
    <w:rsid w:val="00535550"/>
    <w:rsid w:val="00537326"/>
    <w:rsid w:val="00541022"/>
    <w:rsid w:val="005444D9"/>
    <w:rsid w:val="005473F9"/>
    <w:rsid w:val="00547C9D"/>
    <w:rsid w:val="005548A2"/>
    <w:rsid w:val="005551AD"/>
    <w:rsid w:val="00556A2A"/>
    <w:rsid w:val="005610DA"/>
    <w:rsid w:val="00561BB7"/>
    <w:rsid w:val="00562B70"/>
    <w:rsid w:val="005672E5"/>
    <w:rsid w:val="00570A1E"/>
    <w:rsid w:val="005716FA"/>
    <w:rsid w:val="00572466"/>
    <w:rsid w:val="00573E18"/>
    <w:rsid w:val="00574116"/>
    <w:rsid w:val="00574F81"/>
    <w:rsid w:val="00575DA9"/>
    <w:rsid w:val="0058051D"/>
    <w:rsid w:val="00583752"/>
    <w:rsid w:val="005839D0"/>
    <w:rsid w:val="005858F9"/>
    <w:rsid w:val="005874B4"/>
    <w:rsid w:val="005900F1"/>
    <w:rsid w:val="005918BE"/>
    <w:rsid w:val="00592980"/>
    <w:rsid w:val="00592FF0"/>
    <w:rsid w:val="00594F28"/>
    <w:rsid w:val="005962F1"/>
    <w:rsid w:val="00596FCF"/>
    <w:rsid w:val="005A2AD9"/>
    <w:rsid w:val="005A32AC"/>
    <w:rsid w:val="005A657E"/>
    <w:rsid w:val="005A6DFE"/>
    <w:rsid w:val="005B394D"/>
    <w:rsid w:val="005B3FC0"/>
    <w:rsid w:val="005B5E24"/>
    <w:rsid w:val="005B5F12"/>
    <w:rsid w:val="005B62E1"/>
    <w:rsid w:val="005B6316"/>
    <w:rsid w:val="005B6D42"/>
    <w:rsid w:val="005C0302"/>
    <w:rsid w:val="005C0D79"/>
    <w:rsid w:val="005C2B65"/>
    <w:rsid w:val="005C33FD"/>
    <w:rsid w:val="005C4DAF"/>
    <w:rsid w:val="005C5A94"/>
    <w:rsid w:val="005C655C"/>
    <w:rsid w:val="005C70BE"/>
    <w:rsid w:val="005C7370"/>
    <w:rsid w:val="005D0D2C"/>
    <w:rsid w:val="005D2A84"/>
    <w:rsid w:val="005D36D8"/>
    <w:rsid w:val="005D4020"/>
    <w:rsid w:val="005D6933"/>
    <w:rsid w:val="005E001D"/>
    <w:rsid w:val="005E2071"/>
    <w:rsid w:val="005E2523"/>
    <w:rsid w:val="005E2EB8"/>
    <w:rsid w:val="005E4854"/>
    <w:rsid w:val="005E6212"/>
    <w:rsid w:val="005E7DFD"/>
    <w:rsid w:val="005F0286"/>
    <w:rsid w:val="005F0794"/>
    <w:rsid w:val="005F0847"/>
    <w:rsid w:val="005F17D7"/>
    <w:rsid w:val="005F4AF1"/>
    <w:rsid w:val="005F7B90"/>
    <w:rsid w:val="0060096C"/>
    <w:rsid w:val="006024F1"/>
    <w:rsid w:val="00604018"/>
    <w:rsid w:val="00605187"/>
    <w:rsid w:val="00605B1F"/>
    <w:rsid w:val="006075E4"/>
    <w:rsid w:val="00611264"/>
    <w:rsid w:val="006116EE"/>
    <w:rsid w:val="00613686"/>
    <w:rsid w:val="00613851"/>
    <w:rsid w:val="00614484"/>
    <w:rsid w:val="00622227"/>
    <w:rsid w:val="006228BB"/>
    <w:rsid w:val="006234E9"/>
    <w:rsid w:val="00624A1F"/>
    <w:rsid w:val="00624AEB"/>
    <w:rsid w:val="00624C96"/>
    <w:rsid w:val="006251B0"/>
    <w:rsid w:val="0062670A"/>
    <w:rsid w:val="00627A8D"/>
    <w:rsid w:val="00631551"/>
    <w:rsid w:val="00634F5C"/>
    <w:rsid w:val="00635A03"/>
    <w:rsid w:val="0064086E"/>
    <w:rsid w:val="00640B38"/>
    <w:rsid w:val="00642E33"/>
    <w:rsid w:val="00643A57"/>
    <w:rsid w:val="00644274"/>
    <w:rsid w:val="00644C98"/>
    <w:rsid w:val="0064702E"/>
    <w:rsid w:val="00650D06"/>
    <w:rsid w:val="00651F88"/>
    <w:rsid w:val="0065206B"/>
    <w:rsid w:val="006623FA"/>
    <w:rsid w:val="00662A93"/>
    <w:rsid w:val="00662CE1"/>
    <w:rsid w:val="006646CD"/>
    <w:rsid w:val="00665DAD"/>
    <w:rsid w:val="00666351"/>
    <w:rsid w:val="006677AF"/>
    <w:rsid w:val="00673A1A"/>
    <w:rsid w:val="00677F98"/>
    <w:rsid w:val="006817E2"/>
    <w:rsid w:val="006835F1"/>
    <w:rsid w:val="00683945"/>
    <w:rsid w:val="006868C6"/>
    <w:rsid w:val="0068709B"/>
    <w:rsid w:val="006907B3"/>
    <w:rsid w:val="0069182F"/>
    <w:rsid w:val="006962E1"/>
    <w:rsid w:val="00696404"/>
    <w:rsid w:val="00697EF2"/>
    <w:rsid w:val="006A0711"/>
    <w:rsid w:val="006A535F"/>
    <w:rsid w:val="006A6079"/>
    <w:rsid w:val="006B2812"/>
    <w:rsid w:val="006B3926"/>
    <w:rsid w:val="006B39C7"/>
    <w:rsid w:val="006B3C70"/>
    <w:rsid w:val="006B4A4C"/>
    <w:rsid w:val="006B620C"/>
    <w:rsid w:val="006B7162"/>
    <w:rsid w:val="006C1BD3"/>
    <w:rsid w:val="006C2726"/>
    <w:rsid w:val="006C277F"/>
    <w:rsid w:val="006C2E36"/>
    <w:rsid w:val="006C31C7"/>
    <w:rsid w:val="006C461F"/>
    <w:rsid w:val="006D15A4"/>
    <w:rsid w:val="006D661D"/>
    <w:rsid w:val="006D7B51"/>
    <w:rsid w:val="006E0440"/>
    <w:rsid w:val="006E388E"/>
    <w:rsid w:val="006E469D"/>
    <w:rsid w:val="006E497F"/>
    <w:rsid w:val="006E63A2"/>
    <w:rsid w:val="006F0344"/>
    <w:rsid w:val="006F1E0B"/>
    <w:rsid w:val="006F253D"/>
    <w:rsid w:val="006F2D2A"/>
    <w:rsid w:val="006F38FD"/>
    <w:rsid w:val="006F4056"/>
    <w:rsid w:val="006F4CA1"/>
    <w:rsid w:val="006F5FAC"/>
    <w:rsid w:val="006F6630"/>
    <w:rsid w:val="006F78AD"/>
    <w:rsid w:val="006F7F4A"/>
    <w:rsid w:val="007004EA"/>
    <w:rsid w:val="00700EE1"/>
    <w:rsid w:val="007015F3"/>
    <w:rsid w:val="0070380B"/>
    <w:rsid w:val="0070469A"/>
    <w:rsid w:val="00705029"/>
    <w:rsid w:val="00705103"/>
    <w:rsid w:val="00705882"/>
    <w:rsid w:val="007066E2"/>
    <w:rsid w:val="00706CCB"/>
    <w:rsid w:val="00712065"/>
    <w:rsid w:val="00712AC3"/>
    <w:rsid w:val="00713B7A"/>
    <w:rsid w:val="00714287"/>
    <w:rsid w:val="007146EA"/>
    <w:rsid w:val="00720B51"/>
    <w:rsid w:val="00721DAB"/>
    <w:rsid w:val="00723F73"/>
    <w:rsid w:val="00725DCF"/>
    <w:rsid w:val="00727575"/>
    <w:rsid w:val="007276FC"/>
    <w:rsid w:val="00727761"/>
    <w:rsid w:val="00727E32"/>
    <w:rsid w:val="007349BB"/>
    <w:rsid w:val="00734DD3"/>
    <w:rsid w:val="00740809"/>
    <w:rsid w:val="00740987"/>
    <w:rsid w:val="00743192"/>
    <w:rsid w:val="007460BB"/>
    <w:rsid w:val="00747765"/>
    <w:rsid w:val="00751D1C"/>
    <w:rsid w:val="00751EF0"/>
    <w:rsid w:val="00752123"/>
    <w:rsid w:val="00752418"/>
    <w:rsid w:val="00753977"/>
    <w:rsid w:val="00755D31"/>
    <w:rsid w:val="00755FA0"/>
    <w:rsid w:val="00756282"/>
    <w:rsid w:val="007574C5"/>
    <w:rsid w:val="00757B8F"/>
    <w:rsid w:val="007615FC"/>
    <w:rsid w:val="00761805"/>
    <w:rsid w:val="00761894"/>
    <w:rsid w:val="00762BB5"/>
    <w:rsid w:val="00762CD1"/>
    <w:rsid w:val="00764109"/>
    <w:rsid w:val="007642DD"/>
    <w:rsid w:val="00764928"/>
    <w:rsid w:val="007657EB"/>
    <w:rsid w:val="00765998"/>
    <w:rsid w:val="007661F6"/>
    <w:rsid w:val="00767EC3"/>
    <w:rsid w:val="00770ABB"/>
    <w:rsid w:val="00770F44"/>
    <w:rsid w:val="00771D6A"/>
    <w:rsid w:val="00775F45"/>
    <w:rsid w:val="0078184C"/>
    <w:rsid w:val="007818FB"/>
    <w:rsid w:val="00782BD6"/>
    <w:rsid w:val="00783AD4"/>
    <w:rsid w:val="00784E29"/>
    <w:rsid w:val="00787E67"/>
    <w:rsid w:val="00790912"/>
    <w:rsid w:val="00791F39"/>
    <w:rsid w:val="007923E0"/>
    <w:rsid w:val="0079360E"/>
    <w:rsid w:val="0079442B"/>
    <w:rsid w:val="007952A8"/>
    <w:rsid w:val="00797281"/>
    <w:rsid w:val="007A2782"/>
    <w:rsid w:val="007A2A43"/>
    <w:rsid w:val="007A32E2"/>
    <w:rsid w:val="007A4FAF"/>
    <w:rsid w:val="007A687F"/>
    <w:rsid w:val="007B2FC7"/>
    <w:rsid w:val="007B37EF"/>
    <w:rsid w:val="007B6516"/>
    <w:rsid w:val="007C05DE"/>
    <w:rsid w:val="007C0CBF"/>
    <w:rsid w:val="007C0E99"/>
    <w:rsid w:val="007C0F43"/>
    <w:rsid w:val="007C6CFD"/>
    <w:rsid w:val="007D0909"/>
    <w:rsid w:val="007D1348"/>
    <w:rsid w:val="007D179C"/>
    <w:rsid w:val="007D222C"/>
    <w:rsid w:val="007D280D"/>
    <w:rsid w:val="007D2DA7"/>
    <w:rsid w:val="007D3565"/>
    <w:rsid w:val="007D37D4"/>
    <w:rsid w:val="007E08C9"/>
    <w:rsid w:val="007E15D9"/>
    <w:rsid w:val="007E1826"/>
    <w:rsid w:val="007E5719"/>
    <w:rsid w:val="007F2BD2"/>
    <w:rsid w:val="007F3EB6"/>
    <w:rsid w:val="007F6FDC"/>
    <w:rsid w:val="00800210"/>
    <w:rsid w:val="008012E7"/>
    <w:rsid w:val="00803167"/>
    <w:rsid w:val="00804491"/>
    <w:rsid w:val="00805649"/>
    <w:rsid w:val="00810680"/>
    <w:rsid w:val="008107C4"/>
    <w:rsid w:val="008137B6"/>
    <w:rsid w:val="0081541F"/>
    <w:rsid w:val="008166F3"/>
    <w:rsid w:val="0081684A"/>
    <w:rsid w:val="00816A7E"/>
    <w:rsid w:val="00817BB0"/>
    <w:rsid w:val="00820087"/>
    <w:rsid w:val="00822545"/>
    <w:rsid w:val="00823E5F"/>
    <w:rsid w:val="00825A48"/>
    <w:rsid w:val="00826ED4"/>
    <w:rsid w:val="00834D46"/>
    <w:rsid w:val="00835680"/>
    <w:rsid w:val="00835F1C"/>
    <w:rsid w:val="00836206"/>
    <w:rsid w:val="0083787A"/>
    <w:rsid w:val="00837E1E"/>
    <w:rsid w:val="00840653"/>
    <w:rsid w:val="0084081E"/>
    <w:rsid w:val="008421B7"/>
    <w:rsid w:val="008458E2"/>
    <w:rsid w:val="00846B94"/>
    <w:rsid w:val="00850E01"/>
    <w:rsid w:val="0085242C"/>
    <w:rsid w:val="00853D39"/>
    <w:rsid w:val="008552F8"/>
    <w:rsid w:val="00856F40"/>
    <w:rsid w:val="00857548"/>
    <w:rsid w:val="008620A1"/>
    <w:rsid w:val="00865CBD"/>
    <w:rsid w:val="00866318"/>
    <w:rsid w:val="0086658E"/>
    <w:rsid w:val="00867A6A"/>
    <w:rsid w:val="008702CB"/>
    <w:rsid w:val="0087337F"/>
    <w:rsid w:val="00875803"/>
    <w:rsid w:val="00875E25"/>
    <w:rsid w:val="008779D4"/>
    <w:rsid w:val="00877B2F"/>
    <w:rsid w:val="0088125F"/>
    <w:rsid w:val="008823C1"/>
    <w:rsid w:val="00886D05"/>
    <w:rsid w:val="0088783B"/>
    <w:rsid w:val="00891D7E"/>
    <w:rsid w:val="00892FC2"/>
    <w:rsid w:val="008932A4"/>
    <w:rsid w:val="00893FB4"/>
    <w:rsid w:val="00896D89"/>
    <w:rsid w:val="008A0E79"/>
    <w:rsid w:val="008A5859"/>
    <w:rsid w:val="008B0E6A"/>
    <w:rsid w:val="008B25DB"/>
    <w:rsid w:val="008B5EFD"/>
    <w:rsid w:val="008B7956"/>
    <w:rsid w:val="008B7E55"/>
    <w:rsid w:val="008C0679"/>
    <w:rsid w:val="008C0A8E"/>
    <w:rsid w:val="008C11BB"/>
    <w:rsid w:val="008C3EF7"/>
    <w:rsid w:val="008C7774"/>
    <w:rsid w:val="008D1477"/>
    <w:rsid w:val="008D1D4A"/>
    <w:rsid w:val="008D26F3"/>
    <w:rsid w:val="008D3D7F"/>
    <w:rsid w:val="008D49E7"/>
    <w:rsid w:val="008D6749"/>
    <w:rsid w:val="008D69E1"/>
    <w:rsid w:val="008D727E"/>
    <w:rsid w:val="008E0107"/>
    <w:rsid w:val="008E158D"/>
    <w:rsid w:val="008E27A2"/>
    <w:rsid w:val="008E39D6"/>
    <w:rsid w:val="008E3E19"/>
    <w:rsid w:val="008F2B28"/>
    <w:rsid w:val="008F375D"/>
    <w:rsid w:val="008F39F8"/>
    <w:rsid w:val="008F414D"/>
    <w:rsid w:val="008F574B"/>
    <w:rsid w:val="008F6D05"/>
    <w:rsid w:val="008F6DDC"/>
    <w:rsid w:val="00900AF4"/>
    <w:rsid w:val="00900D4E"/>
    <w:rsid w:val="00900F5C"/>
    <w:rsid w:val="00900F8C"/>
    <w:rsid w:val="009017C8"/>
    <w:rsid w:val="009019FA"/>
    <w:rsid w:val="00902283"/>
    <w:rsid w:val="009032A1"/>
    <w:rsid w:val="009033D0"/>
    <w:rsid w:val="009055A4"/>
    <w:rsid w:val="00906156"/>
    <w:rsid w:val="00907C05"/>
    <w:rsid w:val="00910A0B"/>
    <w:rsid w:val="009123E8"/>
    <w:rsid w:val="00913629"/>
    <w:rsid w:val="009163B3"/>
    <w:rsid w:val="009178A1"/>
    <w:rsid w:val="009200FE"/>
    <w:rsid w:val="009209AF"/>
    <w:rsid w:val="00925CF6"/>
    <w:rsid w:val="009271FC"/>
    <w:rsid w:val="00927F43"/>
    <w:rsid w:val="00931BE1"/>
    <w:rsid w:val="00936A27"/>
    <w:rsid w:val="00941154"/>
    <w:rsid w:val="009443BF"/>
    <w:rsid w:val="009453A8"/>
    <w:rsid w:val="0094627F"/>
    <w:rsid w:val="009462B9"/>
    <w:rsid w:val="00951B55"/>
    <w:rsid w:val="009561AA"/>
    <w:rsid w:val="0095675E"/>
    <w:rsid w:val="00961231"/>
    <w:rsid w:val="00962B19"/>
    <w:rsid w:val="00962B8D"/>
    <w:rsid w:val="00962CB3"/>
    <w:rsid w:val="00964743"/>
    <w:rsid w:val="009648F5"/>
    <w:rsid w:val="009661DF"/>
    <w:rsid w:val="0097211A"/>
    <w:rsid w:val="00972A93"/>
    <w:rsid w:val="00972D5D"/>
    <w:rsid w:val="00972F74"/>
    <w:rsid w:val="00974936"/>
    <w:rsid w:val="00974AFC"/>
    <w:rsid w:val="00975194"/>
    <w:rsid w:val="009774A2"/>
    <w:rsid w:val="009822E2"/>
    <w:rsid w:val="00983313"/>
    <w:rsid w:val="0098663E"/>
    <w:rsid w:val="0099753C"/>
    <w:rsid w:val="009A04A4"/>
    <w:rsid w:val="009A38CD"/>
    <w:rsid w:val="009B0932"/>
    <w:rsid w:val="009B0BEE"/>
    <w:rsid w:val="009B33DC"/>
    <w:rsid w:val="009B3E4D"/>
    <w:rsid w:val="009B5939"/>
    <w:rsid w:val="009C0763"/>
    <w:rsid w:val="009C0D78"/>
    <w:rsid w:val="009C1272"/>
    <w:rsid w:val="009C364C"/>
    <w:rsid w:val="009C3708"/>
    <w:rsid w:val="009C4DA3"/>
    <w:rsid w:val="009C52ED"/>
    <w:rsid w:val="009C5641"/>
    <w:rsid w:val="009C6332"/>
    <w:rsid w:val="009C675A"/>
    <w:rsid w:val="009C6D50"/>
    <w:rsid w:val="009C7B52"/>
    <w:rsid w:val="009D3451"/>
    <w:rsid w:val="009D70F4"/>
    <w:rsid w:val="009E21E3"/>
    <w:rsid w:val="009E5B83"/>
    <w:rsid w:val="009F0904"/>
    <w:rsid w:val="009F10FE"/>
    <w:rsid w:val="009F2C2F"/>
    <w:rsid w:val="009F38E1"/>
    <w:rsid w:val="009F570E"/>
    <w:rsid w:val="009F5854"/>
    <w:rsid w:val="009F7255"/>
    <w:rsid w:val="009F7CCE"/>
    <w:rsid w:val="00A00BC1"/>
    <w:rsid w:val="00A11D70"/>
    <w:rsid w:val="00A13EEA"/>
    <w:rsid w:val="00A15FCC"/>
    <w:rsid w:val="00A17206"/>
    <w:rsid w:val="00A2075E"/>
    <w:rsid w:val="00A2125F"/>
    <w:rsid w:val="00A214CD"/>
    <w:rsid w:val="00A23A1D"/>
    <w:rsid w:val="00A257BA"/>
    <w:rsid w:val="00A30349"/>
    <w:rsid w:val="00A327C2"/>
    <w:rsid w:val="00A35655"/>
    <w:rsid w:val="00A36A5A"/>
    <w:rsid w:val="00A37CA1"/>
    <w:rsid w:val="00A41575"/>
    <w:rsid w:val="00A439CB"/>
    <w:rsid w:val="00A44688"/>
    <w:rsid w:val="00A44D99"/>
    <w:rsid w:val="00A51DE4"/>
    <w:rsid w:val="00A52B9E"/>
    <w:rsid w:val="00A5311D"/>
    <w:rsid w:val="00A53560"/>
    <w:rsid w:val="00A55DAB"/>
    <w:rsid w:val="00A5763A"/>
    <w:rsid w:val="00A61A15"/>
    <w:rsid w:val="00A627EF"/>
    <w:rsid w:val="00A63004"/>
    <w:rsid w:val="00A64189"/>
    <w:rsid w:val="00A643DE"/>
    <w:rsid w:val="00A64F62"/>
    <w:rsid w:val="00A65B06"/>
    <w:rsid w:val="00A669A2"/>
    <w:rsid w:val="00A675A9"/>
    <w:rsid w:val="00A67E26"/>
    <w:rsid w:val="00A71039"/>
    <w:rsid w:val="00A723FE"/>
    <w:rsid w:val="00A7244B"/>
    <w:rsid w:val="00A81BF6"/>
    <w:rsid w:val="00A82DA2"/>
    <w:rsid w:val="00A8702E"/>
    <w:rsid w:val="00A9389C"/>
    <w:rsid w:val="00A93E8D"/>
    <w:rsid w:val="00A94A72"/>
    <w:rsid w:val="00A95E4E"/>
    <w:rsid w:val="00A95EE7"/>
    <w:rsid w:val="00A96B38"/>
    <w:rsid w:val="00A97A91"/>
    <w:rsid w:val="00A97D78"/>
    <w:rsid w:val="00AA207C"/>
    <w:rsid w:val="00AA270D"/>
    <w:rsid w:val="00AA3246"/>
    <w:rsid w:val="00AA42E8"/>
    <w:rsid w:val="00AA5406"/>
    <w:rsid w:val="00AA570A"/>
    <w:rsid w:val="00AA6CF6"/>
    <w:rsid w:val="00AA6D6D"/>
    <w:rsid w:val="00AA7675"/>
    <w:rsid w:val="00AA794D"/>
    <w:rsid w:val="00AB2D05"/>
    <w:rsid w:val="00AB68CC"/>
    <w:rsid w:val="00AB6BAD"/>
    <w:rsid w:val="00AB727D"/>
    <w:rsid w:val="00AC0153"/>
    <w:rsid w:val="00AC0942"/>
    <w:rsid w:val="00AC20AA"/>
    <w:rsid w:val="00AC2765"/>
    <w:rsid w:val="00AC38AD"/>
    <w:rsid w:val="00AC443B"/>
    <w:rsid w:val="00AC6018"/>
    <w:rsid w:val="00AD2B49"/>
    <w:rsid w:val="00AE0436"/>
    <w:rsid w:val="00AE708C"/>
    <w:rsid w:val="00AF0019"/>
    <w:rsid w:val="00AF167A"/>
    <w:rsid w:val="00AF314F"/>
    <w:rsid w:val="00AF4579"/>
    <w:rsid w:val="00AF4A46"/>
    <w:rsid w:val="00AF599D"/>
    <w:rsid w:val="00AF7C38"/>
    <w:rsid w:val="00B01378"/>
    <w:rsid w:val="00B0223E"/>
    <w:rsid w:val="00B026BB"/>
    <w:rsid w:val="00B036F6"/>
    <w:rsid w:val="00B03731"/>
    <w:rsid w:val="00B042DD"/>
    <w:rsid w:val="00B067D7"/>
    <w:rsid w:val="00B07CBC"/>
    <w:rsid w:val="00B07CDB"/>
    <w:rsid w:val="00B10A5F"/>
    <w:rsid w:val="00B119EB"/>
    <w:rsid w:val="00B13782"/>
    <w:rsid w:val="00B172EA"/>
    <w:rsid w:val="00B22988"/>
    <w:rsid w:val="00B262EF"/>
    <w:rsid w:val="00B274B8"/>
    <w:rsid w:val="00B307E7"/>
    <w:rsid w:val="00B32532"/>
    <w:rsid w:val="00B3490C"/>
    <w:rsid w:val="00B35117"/>
    <w:rsid w:val="00B35309"/>
    <w:rsid w:val="00B35DA1"/>
    <w:rsid w:val="00B37B79"/>
    <w:rsid w:val="00B44B8D"/>
    <w:rsid w:val="00B4755E"/>
    <w:rsid w:val="00B500DC"/>
    <w:rsid w:val="00B500F1"/>
    <w:rsid w:val="00B518E2"/>
    <w:rsid w:val="00B53ED7"/>
    <w:rsid w:val="00B54B1B"/>
    <w:rsid w:val="00B557D2"/>
    <w:rsid w:val="00B55EFB"/>
    <w:rsid w:val="00B57E40"/>
    <w:rsid w:val="00B62928"/>
    <w:rsid w:val="00B63822"/>
    <w:rsid w:val="00B6428C"/>
    <w:rsid w:val="00B6693A"/>
    <w:rsid w:val="00B67540"/>
    <w:rsid w:val="00B7034E"/>
    <w:rsid w:val="00B707F4"/>
    <w:rsid w:val="00B70D89"/>
    <w:rsid w:val="00B70F31"/>
    <w:rsid w:val="00B72EDA"/>
    <w:rsid w:val="00B7359F"/>
    <w:rsid w:val="00B75303"/>
    <w:rsid w:val="00B76968"/>
    <w:rsid w:val="00B77A2A"/>
    <w:rsid w:val="00B80BB0"/>
    <w:rsid w:val="00B81B85"/>
    <w:rsid w:val="00B8248C"/>
    <w:rsid w:val="00B84002"/>
    <w:rsid w:val="00B84D90"/>
    <w:rsid w:val="00B84F25"/>
    <w:rsid w:val="00B84F8F"/>
    <w:rsid w:val="00B85A78"/>
    <w:rsid w:val="00B90581"/>
    <w:rsid w:val="00B91B01"/>
    <w:rsid w:val="00B93E20"/>
    <w:rsid w:val="00B96795"/>
    <w:rsid w:val="00B96953"/>
    <w:rsid w:val="00BA1BE1"/>
    <w:rsid w:val="00BA31A2"/>
    <w:rsid w:val="00BA4C23"/>
    <w:rsid w:val="00BA4CDE"/>
    <w:rsid w:val="00BB13AF"/>
    <w:rsid w:val="00BB14B3"/>
    <w:rsid w:val="00BB20D2"/>
    <w:rsid w:val="00BB520F"/>
    <w:rsid w:val="00BC0078"/>
    <w:rsid w:val="00BC0B60"/>
    <w:rsid w:val="00BC0EAE"/>
    <w:rsid w:val="00BC3ACE"/>
    <w:rsid w:val="00BD3713"/>
    <w:rsid w:val="00BD5225"/>
    <w:rsid w:val="00BD5D2E"/>
    <w:rsid w:val="00BD5E9D"/>
    <w:rsid w:val="00BD6527"/>
    <w:rsid w:val="00BD68F2"/>
    <w:rsid w:val="00BD7386"/>
    <w:rsid w:val="00BE1878"/>
    <w:rsid w:val="00BE25B1"/>
    <w:rsid w:val="00BE2A8D"/>
    <w:rsid w:val="00BE3D6E"/>
    <w:rsid w:val="00BE4577"/>
    <w:rsid w:val="00BE523E"/>
    <w:rsid w:val="00BE5504"/>
    <w:rsid w:val="00BE61AA"/>
    <w:rsid w:val="00BE78C4"/>
    <w:rsid w:val="00BE7A46"/>
    <w:rsid w:val="00BF4143"/>
    <w:rsid w:val="00BF55F0"/>
    <w:rsid w:val="00BF5B1E"/>
    <w:rsid w:val="00BF6551"/>
    <w:rsid w:val="00BF70F1"/>
    <w:rsid w:val="00C01D93"/>
    <w:rsid w:val="00C0339E"/>
    <w:rsid w:val="00C0480F"/>
    <w:rsid w:val="00C07898"/>
    <w:rsid w:val="00C12A63"/>
    <w:rsid w:val="00C13694"/>
    <w:rsid w:val="00C13C33"/>
    <w:rsid w:val="00C14669"/>
    <w:rsid w:val="00C156FE"/>
    <w:rsid w:val="00C16582"/>
    <w:rsid w:val="00C20043"/>
    <w:rsid w:val="00C209D1"/>
    <w:rsid w:val="00C2117B"/>
    <w:rsid w:val="00C2150F"/>
    <w:rsid w:val="00C23651"/>
    <w:rsid w:val="00C23801"/>
    <w:rsid w:val="00C25DAF"/>
    <w:rsid w:val="00C2644C"/>
    <w:rsid w:val="00C27066"/>
    <w:rsid w:val="00C279DC"/>
    <w:rsid w:val="00C3054D"/>
    <w:rsid w:val="00C30CC0"/>
    <w:rsid w:val="00C31BC2"/>
    <w:rsid w:val="00C33516"/>
    <w:rsid w:val="00C3582D"/>
    <w:rsid w:val="00C40F1B"/>
    <w:rsid w:val="00C418AC"/>
    <w:rsid w:val="00C420F0"/>
    <w:rsid w:val="00C42795"/>
    <w:rsid w:val="00C42CCF"/>
    <w:rsid w:val="00C44724"/>
    <w:rsid w:val="00C45FD3"/>
    <w:rsid w:val="00C553E7"/>
    <w:rsid w:val="00C558E8"/>
    <w:rsid w:val="00C62706"/>
    <w:rsid w:val="00C65B25"/>
    <w:rsid w:val="00C70F2D"/>
    <w:rsid w:val="00C73E2F"/>
    <w:rsid w:val="00C74D7F"/>
    <w:rsid w:val="00C754FC"/>
    <w:rsid w:val="00C75C2A"/>
    <w:rsid w:val="00C776BD"/>
    <w:rsid w:val="00C77AE2"/>
    <w:rsid w:val="00C8011F"/>
    <w:rsid w:val="00C80236"/>
    <w:rsid w:val="00C8066C"/>
    <w:rsid w:val="00C84EA9"/>
    <w:rsid w:val="00C85E29"/>
    <w:rsid w:val="00C860C0"/>
    <w:rsid w:val="00C916AB"/>
    <w:rsid w:val="00C92875"/>
    <w:rsid w:val="00C9406C"/>
    <w:rsid w:val="00C944EA"/>
    <w:rsid w:val="00CA0057"/>
    <w:rsid w:val="00CA0CBA"/>
    <w:rsid w:val="00CA3CBB"/>
    <w:rsid w:val="00CA5ACD"/>
    <w:rsid w:val="00CA61E0"/>
    <w:rsid w:val="00CA7018"/>
    <w:rsid w:val="00CA7D53"/>
    <w:rsid w:val="00CB0979"/>
    <w:rsid w:val="00CB2A95"/>
    <w:rsid w:val="00CB333A"/>
    <w:rsid w:val="00CB3E8F"/>
    <w:rsid w:val="00CB766B"/>
    <w:rsid w:val="00CB7F30"/>
    <w:rsid w:val="00CC002A"/>
    <w:rsid w:val="00CC1A7F"/>
    <w:rsid w:val="00CC511A"/>
    <w:rsid w:val="00CD1CCF"/>
    <w:rsid w:val="00CD1D2D"/>
    <w:rsid w:val="00CD360B"/>
    <w:rsid w:val="00CD51A8"/>
    <w:rsid w:val="00CE0790"/>
    <w:rsid w:val="00CE3055"/>
    <w:rsid w:val="00CE45A9"/>
    <w:rsid w:val="00CE5726"/>
    <w:rsid w:val="00CE612C"/>
    <w:rsid w:val="00CF0403"/>
    <w:rsid w:val="00CF08FB"/>
    <w:rsid w:val="00CF2E53"/>
    <w:rsid w:val="00CF33FD"/>
    <w:rsid w:val="00CF5931"/>
    <w:rsid w:val="00D0121A"/>
    <w:rsid w:val="00D01531"/>
    <w:rsid w:val="00D05976"/>
    <w:rsid w:val="00D05D25"/>
    <w:rsid w:val="00D1459E"/>
    <w:rsid w:val="00D15697"/>
    <w:rsid w:val="00D1579B"/>
    <w:rsid w:val="00D169BA"/>
    <w:rsid w:val="00D20B3F"/>
    <w:rsid w:val="00D239AF"/>
    <w:rsid w:val="00D24867"/>
    <w:rsid w:val="00D24ED8"/>
    <w:rsid w:val="00D30EDA"/>
    <w:rsid w:val="00D31ACE"/>
    <w:rsid w:val="00D31E07"/>
    <w:rsid w:val="00D339A9"/>
    <w:rsid w:val="00D34060"/>
    <w:rsid w:val="00D34CD1"/>
    <w:rsid w:val="00D35C97"/>
    <w:rsid w:val="00D36347"/>
    <w:rsid w:val="00D36786"/>
    <w:rsid w:val="00D3712A"/>
    <w:rsid w:val="00D45B8F"/>
    <w:rsid w:val="00D47312"/>
    <w:rsid w:val="00D524EF"/>
    <w:rsid w:val="00D53B21"/>
    <w:rsid w:val="00D54104"/>
    <w:rsid w:val="00D54B58"/>
    <w:rsid w:val="00D55672"/>
    <w:rsid w:val="00D56D45"/>
    <w:rsid w:val="00D56FC4"/>
    <w:rsid w:val="00D60B8F"/>
    <w:rsid w:val="00D611BB"/>
    <w:rsid w:val="00D629DE"/>
    <w:rsid w:val="00D62E7F"/>
    <w:rsid w:val="00D63689"/>
    <w:rsid w:val="00D63F95"/>
    <w:rsid w:val="00D66A0A"/>
    <w:rsid w:val="00D729E3"/>
    <w:rsid w:val="00D74528"/>
    <w:rsid w:val="00D77426"/>
    <w:rsid w:val="00D77FC8"/>
    <w:rsid w:val="00D809AA"/>
    <w:rsid w:val="00D81C2C"/>
    <w:rsid w:val="00D86381"/>
    <w:rsid w:val="00D867D9"/>
    <w:rsid w:val="00D868D3"/>
    <w:rsid w:val="00D90E72"/>
    <w:rsid w:val="00D91CDF"/>
    <w:rsid w:val="00D92BF8"/>
    <w:rsid w:val="00D93DB3"/>
    <w:rsid w:val="00D952FB"/>
    <w:rsid w:val="00DA2867"/>
    <w:rsid w:val="00DA399A"/>
    <w:rsid w:val="00DA5D0A"/>
    <w:rsid w:val="00DA6EE1"/>
    <w:rsid w:val="00DB0C84"/>
    <w:rsid w:val="00DB0D79"/>
    <w:rsid w:val="00DB1C2A"/>
    <w:rsid w:val="00DB6733"/>
    <w:rsid w:val="00DB7FFB"/>
    <w:rsid w:val="00DC25E1"/>
    <w:rsid w:val="00DC3589"/>
    <w:rsid w:val="00DC430D"/>
    <w:rsid w:val="00DC4643"/>
    <w:rsid w:val="00DC5294"/>
    <w:rsid w:val="00DC741B"/>
    <w:rsid w:val="00DD1960"/>
    <w:rsid w:val="00DD1F6F"/>
    <w:rsid w:val="00DD2208"/>
    <w:rsid w:val="00DD23A9"/>
    <w:rsid w:val="00DD32A5"/>
    <w:rsid w:val="00DD363C"/>
    <w:rsid w:val="00DD5BE9"/>
    <w:rsid w:val="00DE2134"/>
    <w:rsid w:val="00DE2B21"/>
    <w:rsid w:val="00DE2EAE"/>
    <w:rsid w:val="00DE3B6C"/>
    <w:rsid w:val="00DE5465"/>
    <w:rsid w:val="00DE694A"/>
    <w:rsid w:val="00DE715E"/>
    <w:rsid w:val="00DE7F3C"/>
    <w:rsid w:val="00DF0271"/>
    <w:rsid w:val="00DF0E16"/>
    <w:rsid w:val="00DF27BC"/>
    <w:rsid w:val="00DF298F"/>
    <w:rsid w:val="00DF3774"/>
    <w:rsid w:val="00DF67DA"/>
    <w:rsid w:val="00DF7125"/>
    <w:rsid w:val="00DF77BB"/>
    <w:rsid w:val="00E00BA1"/>
    <w:rsid w:val="00E019E9"/>
    <w:rsid w:val="00E01E12"/>
    <w:rsid w:val="00E02020"/>
    <w:rsid w:val="00E0227D"/>
    <w:rsid w:val="00E03A7D"/>
    <w:rsid w:val="00E06A3F"/>
    <w:rsid w:val="00E06DB2"/>
    <w:rsid w:val="00E1138C"/>
    <w:rsid w:val="00E11B09"/>
    <w:rsid w:val="00E12AFD"/>
    <w:rsid w:val="00E157A8"/>
    <w:rsid w:val="00E161E9"/>
    <w:rsid w:val="00E179DD"/>
    <w:rsid w:val="00E17FA1"/>
    <w:rsid w:val="00E218E6"/>
    <w:rsid w:val="00E2331B"/>
    <w:rsid w:val="00E272E8"/>
    <w:rsid w:val="00E27D3F"/>
    <w:rsid w:val="00E32319"/>
    <w:rsid w:val="00E34AA0"/>
    <w:rsid w:val="00E36501"/>
    <w:rsid w:val="00E37B69"/>
    <w:rsid w:val="00E4228A"/>
    <w:rsid w:val="00E45A35"/>
    <w:rsid w:val="00E45FD4"/>
    <w:rsid w:val="00E46D62"/>
    <w:rsid w:val="00E471BC"/>
    <w:rsid w:val="00E510F4"/>
    <w:rsid w:val="00E511B2"/>
    <w:rsid w:val="00E529F6"/>
    <w:rsid w:val="00E53C77"/>
    <w:rsid w:val="00E53DA2"/>
    <w:rsid w:val="00E54D4B"/>
    <w:rsid w:val="00E5626D"/>
    <w:rsid w:val="00E6170C"/>
    <w:rsid w:val="00E61A60"/>
    <w:rsid w:val="00E627C9"/>
    <w:rsid w:val="00E636EE"/>
    <w:rsid w:val="00E64CAE"/>
    <w:rsid w:val="00E676B7"/>
    <w:rsid w:val="00E67AC3"/>
    <w:rsid w:val="00E67BE0"/>
    <w:rsid w:val="00E67C01"/>
    <w:rsid w:val="00E67CDF"/>
    <w:rsid w:val="00E67F1B"/>
    <w:rsid w:val="00E722AD"/>
    <w:rsid w:val="00E727D5"/>
    <w:rsid w:val="00E73EA2"/>
    <w:rsid w:val="00E80589"/>
    <w:rsid w:val="00E80D94"/>
    <w:rsid w:val="00E8287D"/>
    <w:rsid w:val="00E8538E"/>
    <w:rsid w:val="00E90DE8"/>
    <w:rsid w:val="00E92CCF"/>
    <w:rsid w:val="00E94CD6"/>
    <w:rsid w:val="00E95B44"/>
    <w:rsid w:val="00E96474"/>
    <w:rsid w:val="00E97CAB"/>
    <w:rsid w:val="00E97D2C"/>
    <w:rsid w:val="00E97DBA"/>
    <w:rsid w:val="00EA0EEB"/>
    <w:rsid w:val="00EA195D"/>
    <w:rsid w:val="00EA1A5F"/>
    <w:rsid w:val="00EA1F0A"/>
    <w:rsid w:val="00EA38A1"/>
    <w:rsid w:val="00EA57C1"/>
    <w:rsid w:val="00EA7776"/>
    <w:rsid w:val="00EB156E"/>
    <w:rsid w:val="00EB7546"/>
    <w:rsid w:val="00EC01AB"/>
    <w:rsid w:val="00EC2334"/>
    <w:rsid w:val="00EC3B71"/>
    <w:rsid w:val="00EC4F5C"/>
    <w:rsid w:val="00EC629B"/>
    <w:rsid w:val="00EC6DBF"/>
    <w:rsid w:val="00EC7099"/>
    <w:rsid w:val="00EC79AF"/>
    <w:rsid w:val="00ED1347"/>
    <w:rsid w:val="00ED1CA1"/>
    <w:rsid w:val="00ED2359"/>
    <w:rsid w:val="00ED35DE"/>
    <w:rsid w:val="00ED39EF"/>
    <w:rsid w:val="00ED3F20"/>
    <w:rsid w:val="00ED47D9"/>
    <w:rsid w:val="00ED4D22"/>
    <w:rsid w:val="00ED5CBF"/>
    <w:rsid w:val="00ED611D"/>
    <w:rsid w:val="00ED741E"/>
    <w:rsid w:val="00ED7B00"/>
    <w:rsid w:val="00EE03E7"/>
    <w:rsid w:val="00EE1CAB"/>
    <w:rsid w:val="00EE4C28"/>
    <w:rsid w:val="00EE65DD"/>
    <w:rsid w:val="00EE69C1"/>
    <w:rsid w:val="00EF495A"/>
    <w:rsid w:val="00EF64C4"/>
    <w:rsid w:val="00F00E82"/>
    <w:rsid w:val="00F02F4A"/>
    <w:rsid w:val="00F03C07"/>
    <w:rsid w:val="00F05C29"/>
    <w:rsid w:val="00F05F16"/>
    <w:rsid w:val="00F06DB5"/>
    <w:rsid w:val="00F0741D"/>
    <w:rsid w:val="00F1166F"/>
    <w:rsid w:val="00F123D4"/>
    <w:rsid w:val="00F12D23"/>
    <w:rsid w:val="00F12E9A"/>
    <w:rsid w:val="00F13002"/>
    <w:rsid w:val="00F138AF"/>
    <w:rsid w:val="00F15E19"/>
    <w:rsid w:val="00F16E77"/>
    <w:rsid w:val="00F20B58"/>
    <w:rsid w:val="00F217E3"/>
    <w:rsid w:val="00F23066"/>
    <w:rsid w:val="00F23F00"/>
    <w:rsid w:val="00F2590E"/>
    <w:rsid w:val="00F2794E"/>
    <w:rsid w:val="00F27C53"/>
    <w:rsid w:val="00F303AC"/>
    <w:rsid w:val="00F325EB"/>
    <w:rsid w:val="00F36E83"/>
    <w:rsid w:val="00F37EEE"/>
    <w:rsid w:val="00F40DC7"/>
    <w:rsid w:val="00F44945"/>
    <w:rsid w:val="00F44BFC"/>
    <w:rsid w:val="00F46B40"/>
    <w:rsid w:val="00F50D96"/>
    <w:rsid w:val="00F5272A"/>
    <w:rsid w:val="00F544A8"/>
    <w:rsid w:val="00F557AB"/>
    <w:rsid w:val="00F563AA"/>
    <w:rsid w:val="00F563C1"/>
    <w:rsid w:val="00F56ABB"/>
    <w:rsid w:val="00F60B50"/>
    <w:rsid w:val="00F623D1"/>
    <w:rsid w:val="00F637D6"/>
    <w:rsid w:val="00F6594A"/>
    <w:rsid w:val="00F66F3E"/>
    <w:rsid w:val="00F71A4D"/>
    <w:rsid w:val="00F7773B"/>
    <w:rsid w:val="00F80DFA"/>
    <w:rsid w:val="00F80EE9"/>
    <w:rsid w:val="00F85395"/>
    <w:rsid w:val="00F85523"/>
    <w:rsid w:val="00F85A6E"/>
    <w:rsid w:val="00F916A2"/>
    <w:rsid w:val="00F931A3"/>
    <w:rsid w:val="00F93749"/>
    <w:rsid w:val="00F95C4D"/>
    <w:rsid w:val="00F96AC4"/>
    <w:rsid w:val="00F97889"/>
    <w:rsid w:val="00FA18C9"/>
    <w:rsid w:val="00FA2BB8"/>
    <w:rsid w:val="00FA469C"/>
    <w:rsid w:val="00FA5D69"/>
    <w:rsid w:val="00FA6425"/>
    <w:rsid w:val="00FA7100"/>
    <w:rsid w:val="00FB1D0F"/>
    <w:rsid w:val="00FB1DA1"/>
    <w:rsid w:val="00FB704A"/>
    <w:rsid w:val="00FC00E7"/>
    <w:rsid w:val="00FC07CD"/>
    <w:rsid w:val="00FC0F68"/>
    <w:rsid w:val="00FC13B1"/>
    <w:rsid w:val="00FC1C5F"/>
    <w:rsid w:val="00FC1E00"/>
    <w:rsid w:val="00FC3BEC"/>
    <w:rsid w:val="00FC544E"/>
    <w:rsid w:val="00FC5682"/>
    <w:rsid w:val="00FC69C9"/>
    <w:rsid w:val="00FC6F25"/>
    <w:rsid w:val="00FC7AF1"/>
    <w:rsid w:val="00FD3CA3"/>
    <w:rsid w:val="00FD4AE0"/>
    <w:rsid w:val="00FD6B07"/>
    <w:rsid w:val="00FD7031"/>
    <w:rsid w:val="00FD7CF9"/>
    <w:rsid w:val="00FE0D99"/>
    <w:rsid w:val="00FE312D"/>
    <w:rsid w:val="00FE3617"/>
    <w:rsid w:val="00FE3E05"/>
    <w:rsid w:val="00FE413E"/>
    <w:rsid w:val="00FE6A71"/>
    <w:rsid w:val="00FE793F"/>
    <w:rsid w:val="00FF092F"/>
    <w:rsid w:val="00FF2317"/>
    <w:rsid w:val="00FF2844"/>
    <w:rsid w:val="00FF36D0"/>
    <w:rsid w:val="00FF4B5D"/>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date"/>
  <w:smartTagType w:namespaceuri="urn:schemas-microsoft-com:office:smarttags" w:name="stockticker"/>
  <w:shapeDefaults>
    <o:shapedefaults v:ext="edit" spidmax="65537"/>
    <o:shapelayout v:ext="edit">
      <o:idmap v:ext="edit" data="1"/>
    </o:shapelayout>
  </w:shapeDefaults>
  <w:decimalSymbol w:val="."/>
  <w:listSeparator w:val=","/>
  <w14:docId w14:val="0FA22E11"/>
  <w15:chartTrackingRefBased/>
  <w15:docId w15:val="{F9466888-7762-4609-AA37-D2802668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D81"/>
    <w:rPr>
      <w:sz w:val="24"/>
    </w:rPr>
  </w:style>
  <w:style w:type="paragraph" w:styleId="Heading1">
    <w:name w:val="heading 1"/>
    <w:aliases w:val="h1"/>
    <w:basedOn w:val="Normal"/>
    <w:next w:val="BodyText"/>
    <w:qFormat/>
    <w:rsid w:val="00FC1C5F"/>
    <w:pPr>
      <w:keepNext/>
      <w:numPr>
        <w:numId w:val="1"/>
      </w:numPr>
      <w:spacing w:after="240"/>
      <w:outlineLvl w:val="0"/>
    </w:pPr>
    <w:rPr>
      <w:b/>
      <w:caps/>
    </w:rPr>
  </w:style>
  <w:style w:type="paragraph" w:styleId="Heading2">
    <w:name w:val="heading 2"/>
    <w:basedOn w:val="Normal"/>
    <w:next w:val="BodyText"/>
    <w:qFormat/>
    <w:rsid w:val="00FC1C5F"/>
    <w:pPr>
      <w:keepNext/>
      <w:numPr>
        <w:ilvl w:val="1"/>
        <w:numId w:val="1"/>
      </w:numPr>
      <w:tabs>
        <w:tab w:val="left" w:pos="720"/>
      </w:tabs>
      <w:spacing w:before="240" w:after="240"/>
      <w:outlineLvl w:val="1"/>
    </w:pPr>
    <w:rPr>
      <w:b/>
    </w:rPr>
  </w:style>
  <w:style w:type="paragraph" w:styleId="Heading3">
    <w:name w:val="heading 3"/>
    <w:basedOn w:val="Normal"/>
    <w:next w:val="BodyText"/>
    <w:link w:val="Heading3Char"/>
    <w:qFormat/>
    <w:rsid w:val="00FC1C5F"/>
    <w:pPr>
      <w:keepNext/>
      <w:numPr>
        <w:ilvl w:val="2"/>
        <w:numId w:val="1"/>
      </w:numPr>
      <w:tabs>
        <w:tab w:val="left" w:pos="1008"/>
      </w:tabs>
      <w:spacing w:before="240" w:after="240"/>
      <w:outlineLvl w:val="2"/>
    </w:pPr>
    <w:rPr>
      <w:b/>
      <w:bCs/>
      <w:i/>
    </w:rPr>
  </w:style>
  <w:style w:type="paragraph" w:styleId="Heading4">
    <w:name w:val="heading 4"/>
    <w:aliases w:val=" Char"/>
    <w:basedOn w:val="Normal"/>
    <w:next w:val="BodyText"/>
    <w:link w:val="Heading4Char"/>
    <w:qFormat/>
    <w:rsid w:val="00FC1C5F"/>
    <w:pPr>
      <w:keepNext/>
      <w:widowControl w:val="0"/>
      <w:numPr>
        <w:ilvl w:val="3"/>
        <w:numId w:val="1"/>
      </w:numPr>
      <w:tabs>
        <w:tab w:val="left" w:pos="1296"/>
      </w:tabs>
      <w:spacing w:before="240" w:after="240"/>
      <w:outlineLvl w:val="3"/>
    </w:pPr>
    <w:rPr>
      <w:b/>
      <w:bCs/>
      <w:snapToGrid w:val="0"/>
    </w:rPr>
  </w:style>
  <w:style w:type="paragraph" w:styleId="Heading5">
    <w:name w:val="heading 5"/>
    <w:basedOn w:val="Normal"/>
    <w:next w:val="BodyText"/>
    <w:qFormat/>
    <w:rsid w:val="00FC1C5F"/>
    <w:pPr>
      <w:keepNext/>
      <w:numPr>
        <w:ilvl w:val="4"/>
        <w:numId w:val="1"/>
      </w:numPr>
      <w:tabs>
        <w:tab w:val="left" w:pos="1440"/>
      </w:tabs>
      <w:spacing w:before="240" w:after="240"/>
      <w:outlineLvl w:val="4"/>
    </w:pPr>
    <w:rPr>
      <w:b/>
      <w:bCs/>
      <w:i/>
      <w:iCs/>
      <w:szCs w:val="26"/>
    </w:rPr>
  </w:style>
  <w:style w:type="paragraph" w:styleId="Heading6">
    <w:name w:val="heading 6"/>
    <w:basedOn w:val="Normal"/>
    <w:next w:val="BodyText"/>
    <w:qFormat/>
    <w:rsid w:val="00FC1C5F"/>
    <w:pPr>
      <w:keepNext/>
      <w:numPr>
        <w:ilvl w:val="5"/>
        <w:numId w:val="1"/>
      </w:numPr>
      <w:tabs>
        <w:tab w:val="left" w:pos="1584"/>
      </w:tabs>
      <w:spacing w:before="240" w:after="240"/>
      <w:outlineLvl w:val="5"/>
    </w:pPr>
    <w:rPr>
      <w:b/>
      <w:bCs/>
      <w:szCs w:val="22"/>
    </w:rPr>
  </w:style>
  <w:style w:type="paragraph" w:styleId="Heading7">
    <w:name w:val="heading 7"/>
    <w:basedOn w:val="Normal"/>
    <w:next w:val="BodyText"/>
    <w:qFormat/>
    <w:rsid w:val="00FC1C5F"/>
    <w:pPr>
      <w:keepNext/>
      <w:numPr>
        <w:ilvl w:val="6"/>
        <w:numId w:val="1"/>
      </w:numPr>
      <w:tabs>
        <w:tab w:val="left" w:pos="1728"/>
      </w:tabs>
      <w:spacing w:before="240" w:after="240"/>
      <w:outlineLvl w:val="6"/>
    </w:pPr>
    <w:rPr>
      <w:szCs w:val="24"/>
    </w:rPr>
  </w:style>
  <w:style w:type="paragraph" w:styleId="Heading8">
    <w:name w:val="heading 8"/>
    <w:basedOn w:val="Normal"/>
    <w:next w:val="BodyText"/>
    <w:qFormat/>
    <w:rsid w:val="00FC1C5F"/>
    <w:pPr>
      <w:keepNext/>
      <w:numPr>
        <w:ilvl w:val="7"/>
        <w:numId w:val="1"/>
      </w:numPr>
      <w:tabs>
        <w:tab w:val="left" w:pos="1872"/>
      </w:tabs>
      <w:spacing w:before="240" w:after="240"/>
      <w:outlineLvl w:val="7"/>
    </w:pPr>
    <w:rPr>
      <w:i/>
      <w:iCs/>
      <w:szCs w:val="24"/>
    </w:rPr>
  </w:style>
  <w:style w:type="paragraph" w:styleId="Heading9">
    <w:name w:val="heading 9"/>
    <w:basedOn w:val="Normal"/>
    <w:next w:val="BodyText"/>
    <w:qFormat/>
    <w:rsid w:val="00FC1C5F"/>
    <w:pPr>
      <w:keepNext/>
      <w:numPr>
        <w:ilvl w:val="8"/>
        <w:numId w:val="1"/>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1"/>
    <w:rsid w:val="00FC1C5F"/>
    <w:pPr>
      <w:spacing w:after="240"/>
    </w:pPr>
    <w:rPr>
      <w:iCs/>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FC1C5F"/>
    <w:rPr>
      <w:iCs/>
      <w:sz w:val="24"/>
      <w:lang w:val="en-US" w:eastAsia="en-US" w:bidi="ar-SA"/>
    </w:rPr>
  </w:style>
  <w:style w:type="character" w:customStyle="1" w:styleId="Heading4Char">
    <w:name w:val="Heading 4 Char"/>
    <w:aliases w:val=" Char Char"/>
    <w:link w:val="Heading4"/>
    <w:rsid w:val="00FC1C5F"/>
    <w:rPr>
      <w:b/>
      <w:bCs/>
      <w:snapToGrid w:val="0"/>
      <w:sz w:val="24"/>
      <w:lang w:val="en-US" w:eastAsia="en-US" w:bidi="ar-SA"/>
    </w:rPr>
  </w:style>
  <w:style w:type="paragraph" w:customStyle="1" w:styleId="Instructions">
    <w:name w:val="Instructions"/>
    <w:basedOn w:val="BodyText"/>
    <w:link w:val="InstructionsChar"/>
    <w:rsid w:val="00FC1C5F"/>
    <w:rPr>
      <w:b/>
      <w:i/>
      <w:iCs w:val="0"/>
      <w:szCs w:val="24"/>
    </w:rPr>
  </w:style>
  <w:style w:type="character" w:customStyle="1" w:styleId="InstructionsChar">
    <w:name w:val="Instructions Char"/>
    <w:link w:val="Instructions"/>
    <w:rsid w:val="00FC1C5F"/>
    <w:rPr>
      <w:b/>
      <w:i/>
      <w:iCs w:val="0"/>
      <w:sz w:val="24"/>
      <w:szCs w:val="24"/>
      <w:lang w:val="en-US" w:eastAsia="en-US" w:bidi="ar-SA"/>
    </w:rPr>
  </w:style>
  <w:style w:type="paragraph" w:styleId="List">
    <w:name w:val="List"/>
    <w:aliases w:val=" Char2 Char Char Char Char, Char2 Char"/>
    <w:basedOn w:val="Normal"/>
    <w:link w:val="ListChar"/>
    <w:rsid w:val="00FC1C5F"/>
    <w:pPr>
      <w:spacing w:after="240"/>
      <w:ind w:left="1440" w:hanging="720"/>
    </w:pPr>
  </w:style>
  <w:style w:type="character" w:customStyle="1" w:styleId="ListChar">
    <w:name w:val="List Char"/>
    <w:aliases w:val=" Char2 Char Char Char Char Char, Char2 Char Char"/>
    <w:link w:val="List"/>
    <w:rsid w:val="00FC1C5F"/>
    <w:rPr>
      <w:sz w:val="24"/>
      <w:lang w:val="en-US" w:eastAsia="en-US" w:bidi="ar-SA"/>
    </w:rPr>
  </w:style>
  <w:style w:type="paragraph" w:styleId="BodyTextIndent">
    <w:name w:val="Body Text Indent"/>
    <w:aliases w:val=" Char1"/>
    <w:basedOn w:val="Normal"/>
    <w:link w:val="BodyTextIndentChar"/>
    <w:rsid w:val="00FC1C5F"/>
    <w:pPr>
      <w:spacing w:after="240"/>
      <w:ind w:left="720"/>
    </w:pPr>
    <w:rPr>
      <w:iCs/>
    </w:rPr>
  </w:style>
  <w:style w:type="character" w:customStyle="1" w:styleId="BodyTextIndentChar">
    <w:name w:val="Body Text Indent Char"/>
    <w:aliases w:val=" Char1 Char"/>
    <w:link w:val="BodyTextIndent"/>
    <w:rsid w:val="00FC1C5F"/>
    <w:rPr>
      <w:iCs/>
      <w:sz w:val="24"/>
      <w:lang w:val="en-US" w:eastAsia="en-US" w:bidi="ar-SA"/>
    </w:rPr>
  </w:style>
  <w:style w:type="paragraph" w:customStyle="1" w:styleId="Bullet">
    <w:name w:val="Bullet"/>
    <w:basedOn w:val="Normal"/>
    <w:link w:val="BulletChar"/>
    <w:rsid w:val="00FC1C5F"/>
    <w:pPr>
      <w:tabs>
        <w:tab w:val="num" w:pos="1440"/>
      </w:tabs>
      <w:spacing w:after="180"/>
      <w:ind w:left="1440" w:hanging="360"/>
    </w:pPr>
  </w:style>
  <w:style w:type="character" w:customStyle="1" w:styleId="BulletChar">
    <w:name w:val="Bullet Char"/>
    <w:link w:val="Bullet"/>
    <w:rsid w:val="00FC1C5F"/>
    <w:rPr>
      <w:sz w:val="24"/>
      <w:lang w:val="en-US" w:eastAsia="en-US" w:bidi="ar-SA"/>
    </w:rPr>
  </w:style>
  <w:style w:type="paragraph" w:customStyle="1" w:styleId="BulletIndent">
    <w:name w:val="Bullet Indent"/>
    <w:basedOn w:val="Normal"/>
    <w:link w:val="BulletIndentChar"/>
    <w:rsid w:val="00FC1C5F"/>
    <w:pPr>
      <w:spacing w:after="180"/>
      <w:ind w:left="2340" w:hanging="547"/>
    </w:pPr>
  </w:style>
  <w:style w:type="character" w:customStyle="1" w:styleId="BulletIndentChar">
    <w:name w:val="Bullet Indent Char"/>
    <w:link w:val="BulletIndent"/>
    <w:rsid w:val="00FC1C5F"/>
    <w:rPr>
      <w:sz w:val="24"/>
      <w:lang w:val="en-US" w:eastAsia="en-US" w:bidi="ar-SA"/>
    </w:rPr>
  </w:style>
  <w:style w:type="paragraph" w:styleId="Footer">
    <w:name w:val="footer"/>
    <w:basedOn w:val="Normal"/>
    <w:rsid w:val="00FC1C5F"/>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link w:val="FootnoteTextChar"/>
    <w:rsid w:val="00FC1C5F"/>
    <w:rPr>
      <w:sz w:val="18"/>
    </w:rPr>
  </w:style>
  <w:style w:type="paragraph" w:styleId="Header">
    <w:name w:val="header"/>
    <w:basedOn w:val="Normal"/>
    <w:link w:val="HeaderChar"/>
    <w:rsid w:val="00FC1C5F"/>
    <w:pPr>
      <w:pBdr>
        <w:bottom w:val="single" w:sz="4" w:space="1" w:color="auto"/>
      </w:pBdr>
      <w:tabs>
        <w:tab w:val="center" w:pos="4680"/>
        <w:tab w:val="right" w:pos="9360"/>
      </w:tabs>
      <w:jc w:val="right"/>
    </w:pPr>
    <w:rPr>
      <w:smallCaps/>
      <w:sz w:val="20"/>
      <w:lang w:val="x-none" w:eastAsia="x-none"/>
    </w:rPr>
  </w:style>
  <w:style w:type="character" w:styleId="Hyperlink">
    <w:name w:val="Hyperlink"/>
    <w:rsid w:val="00FC1C5F"/>
    <w:rPr>
      <w:color w:val="0000FF"/>
      <w:u w:val="single"/>
    </w:rPr>
  </w:style>
  <w:style w:type="paragraph" w:styleId="TOC1">
    <w:name w:val="toc 1"/>
    <w:basedOn w:val="Normal"/>
    <w:next w:val="Normal"/>
    <w:autoRedefine/>
    <w:uiPriority w:val="39"/>
    <w:rsid w:val="00D31E07"/>
    <w:pPr>
      <w:tabs>
        <w:tab w:val="left" w:pos="540"/>
        <w:tab w:val="right" w:leader="dot" w:pos="9360"/>
      </w:tabs>
      <w:spacing w:before="120" w:after="120"/>
      <w:ind w:left="540" w:right="720" w:hanging="540"/>
    </w:pPr>
    <w:rPr>
      <w:b/>
      <w:bCs/>
      <w:noProof/>
      <w:szCs w:val="24"/>
    </w:rPr>
  </w:style>
  <w:style w:type="paragraph" w:styleId="TOC2">
    <w:name w:val="toc 2"/>
    <w:basedOn w:val="Normal"/>
    <w:next w:val="Normal"/>
    <w:autoRedefine/>
    <w:uiPriority w:val="39"/>
    <w:rsid w:val="00D77FC8"/>
    <w:pPr>
      <w:tabs>
        <w:tab w:val="left" w:pos="1260"/>
        <w:tab w:val="right" w:leader="dot" w:pos="9360"/>
      </w:tabs>
      <w:ind w:left="1260" w:right="720" w:hanging="720"/>
    </w:pPr>
    <w:rPr>
      <w:noProof/>
      <w:sz w:val="20"/>
    </w:rPr>
  </w:style>
  <w:style w:type="paragraph" w:styleId="TOC3">
    <w:name w:val="toc 3"/>
    <w:basedOn w:val="Normal"/>
    <w:next w:val="Normal"/>
    <w:autoRedefine/>
    <w:uiPriority w:val="39"/>
    <w:rsid w:val="00CF5931"/>
    <w:pPr>
      <w:tabs>
        <w:tab w:val="left" w:pos="1980"/>
        <w:tab w:val="right" w:leader="dot" w:pos="9360"/>
      </w:tabs>
      <w:ind w:left="1980" w:right="720" w:hanging="900"/>
    </w:pPr>
    <w:rPr>
      <w:i/>
      <w:iCs/>
      <w:sz w:val="20"/>
    </w:rPr>
  </w:style>
  <w:style w:type="character" w:styleId="PageNumber">
    <w:name w:val="page number"/>
    <w:basedOn w:val="DefaultParagraphFont"/>
    <w:rsid w:val="00FC1C5F"/>
  </w:style>
  <w:style w:type="table" w:styleId="TableGrid">
    <w:name w:val="Table Grid"/>
    <w:basedOn w:val="TableNormal"/>
    <w:rsid w:val="00FC1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FC1C5F"/>
    <w:pPr>
      <w:tabs>
        <w:tab w:val="left" w:pos="2700"/>
        <w:tab w:val="right" w:leader="dot" w:pos="9360"/>
      </w:tabs>
      <w:ind w:left="2700" w:right="720" w:hanging="1080"/>
    </w:pPr>
    <w:rPr>
      <w:noProof/>
      <w:sz w:val="18"/>
      <w:szCs w:val="18"/>
    </w:rPr>
  </w:style>
  <w:style w:type="paragraph" w:styleId="TOC5">
    <w:name w:val="toc 5"/>
    <w:basedOn w:val="Normal"/>
    <w:next w:val="Normal"/>
    <w:autoRedefine/>
    <w:uiPriority w:val="39"/>
    <w:rsid w:val="0005725D"/>
    <w:pPr>
      <w:tabs>
        <w:tab w:val="left" w:pos="1440"/>
        <w:tab w:val="right" w:leader="dot" w:pos="9360"/>
      </w:tabs>
      <w:ind w:left="3614" w:right="720" w:hanging="1267"/>
    </w:pPr>
    <w:rPr>
      <w:i/>
      <w:noProof/>
      <w:sz w:val="18"/>
      <w:szCs w:val="24"/>
    </w:rPr>
  </w:style>
  <w:style w:type="paragraph" w:styleId="List2">
    <w:name w:val="List 2"/>
    <w:basedOn w:val="Normal"/>
    <w:rsid w:val="00FC1C5F"/>
    <w:pPr>
      <w:spacing w:after="240"/>
      <w:ind w:left="2160" w:hanging="720"/>
    </w:pPr>
  </w:style>
  <w:style w:type="paragraph" w:styleId="List3">
    <w:name w:val="List 3"/>
    <w:basedOn w:val="Normal"/>
    <w:rsid w:val="00FC1C5F"/>
    <w:pPr>
      <w:spacing w:after="240"/>
      <w:ind w:left="2880" w:hanging="720"/>
    </w:pPr>
  </w:style>
  <w:style w:type="paragraph" w:styleId="TOC6">
    <w:name w:val="toc 6"/>
    <w:basedOn w:val="Normal"/>
    <w:next w:val="Normal"/>
    <w:autoRedefine/>
    <w:uiPriority w:val="39"/>
    <w:rsid w:val="00FC1C5F"/>
    <w:pPr>
      <w:tabs>
        <w:tab w:val="left" w:pos="1260"/>
        <w:tab w:val="right" w:leader="dot" w:pos="9360"/>
      </w:tabs>
      <w:ind w:left="1260" w:right="720" w:hanging="1260"/>
    </w:pPr>
    <w:rPr>
      <w:b/>
      <w:szCs w:val="24"/>
    </w:rPr>
  </w:style>
  <w:style w:type="paragraph" w:styleId="TOC7">
    <w:name w:val="toc 7"/>
    <w:basedOn w:val="Normal"/>
    <w:next w:val="Normal"/>
    <w:autoRedefine/>
    <w:uiPriority w:val="39"/>
    <w:rsid w:val="00FC1C5F"/>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FC1C5F"/>
    <w:pPr>
      <w:ind w:left="1680"/>
    </w:pPr>
    <w:rPr>
      <w:sz w:val="18"/>
      <w:szCs w:val="18"/>
    </w:rPr>
  </w:style>
  <w:style w:type="paragraph" w:styleId="TOC9">
    <w:name w:val="toc 9"/>
    <w:basedOn w:val="Normal"/>
    <w:next w:val="Normal"/>
    <w:autoRedefine/>
    <w:uiPriority w:val="39"/>
    <w:rsid w:val="00FC1C5F"/>
    <w:pPr>
      <w:ind w:left="1920"/>
    </w:pPr>
    <w:rPr>
      <w:sz w:val="18"/>
      <w:szCs w:val="18"/>
    </w:rPr>
  </w:style>
  <w:style w:type="paragraph" w:customStyle="1" w:styleId="H5">
    <w:name w:val="H5"/>
    <w:basedOn w:val="Heading5"/>
    <w:next w:val="BodyText"/>
    <w:rsid w:val="00FC1C5F"/>
    <w:pPr>
      <w:numPr>
        <w:ilvl w:val="0"/>
        <w:numId w:val="0"/>
      </w:numPr>
      <w:tabs>
        <w:tab w:val="clear" w:pos="1440"/>
        <w:tab w:val="left" w:pos="1620"/>
      </w:tabs>
      <w:ind w:left="1620" w:hanging="1620"/>
    </w:pPr>
  </w:style>
  <w:style w:type="paragraph" w:customStyle="1" w:styleId="H2">
    <w:name w:val="H2"/>
    <w:basedOn w:val="Heading2"/>
    <w:next w:val="BodyText"/>
    <w:link w:val="H2Char"/>
    <w:rsid w:val="00FC1C5F"/>
    <w:pPr>
      <w:numPr>
        <w:ilvl w:val="0"/>
        <w:numId w:val="0"/>
      </w:numPr>
      <w:tabs>
        <w:tab w:val="clear" w:pos="720"/>
        <w:tab w:val="left" w:pos="900"/>
      </w:tabs>
      <w:ind w:left="900" w:hanging="900"/>
    </w:pPr>
    <w:rPr>
      <w:lang w:val="x-none" w:eastAsia="x-none"/>
    </w:rPr>
  </w:style>
  <w:style w:type="paragraph" w:customStyle="1" w:styleId="H3">
    <w:name w:val="H3"/>
    <w:basedOn w:val="Heading3"/>
    <w:next w:val="BodyText"/>
    <w:link w:val="H3Char1"/>
    <w:rsid w:val="00FC1C5F"/>
    <w:pPr>
      <w:numPr>
        <w:ilvl w:val="0"/>
        <w:numId w:val="0"/>
      </w:numPr>
      <w:tabs>
        <w:tab w:val="clear" w:pos="1008"/>
        <w:tab w:val="left" w:pos="1080"/>
      </w:tabs>
      <w:ind w:left="1080" w:hanging="1080"/>
    </w:pPr>
  </w:style>
  <w:style w:type="paragraph" w:customStyle="1" w:styleId="H4">
    <w:name w:val="H4"/>
    <w:basedOn w:val="Heading4"/>
    <w:next w:val="BodyText"/>
    <w:link w:val="H4Char"/>
    <w:rsid w:val="00FC1C5F"/>
    <w:pPr>
      <w:numPr>
        <w:ilvl w:val="0"/>
        <w:numId w:val="0"/>
      </w:numPr>
      <w:tabs>
        <w:tab w:val="clear" w:pos="1296"/>
        <w:tab w:val="left" w:pos="1260"/>
      </w:tabs>
      <w:ind w:left="1260" w:hanging="1260"/>
    </w:pPr>
    <w:rPr>
      <w:b w:val="0"/>
      <w:bCs w:val="0"/>
    </w:rPr>
  </w:style>
  <w:style w:type="character" w:customStyle="1" w:styleId="H4Char">
    <w:name w:val="H4 Char"/>
    <w:link w:val="H4"/>
    <w:rsid w:val="00FC1C5F"/>
    <w:rPr>
      <w:b w:val="0"/>
      <w:bCs w:val="0"/>
      <w:snapToGrid w:val="0"/>
      <w:sz w:val="24"/>
      <w:lang w:val="en-US" w:eastAsia="en-US" w:bidi="ar-SA"/>
    </w:rPr>
  </w:style>
  <w:style w:type="paragraph" w:customStyle="1" w:styleId="H6">
    <w:name w:val="H6"/>
    <w:basedOn w:val="Heading6"/>
    <w:next w:val="BodyText"/>
    <w:rsid w:val="00FC1C5F"/>
    <w:pPr>
      <w:numPr>
        <w:ilvl w:val="0"/>
        <w:numId w:val="0"/>
      </w:numPr>
      <w:tabs>
        <w:tab w:val="clear" w:pos="1584"/>
        <w:tab w:val="left" w:pos="1800"/>
      </w:tabs>
      <w:ind w:left="1800" w:hanging="1800"/>
    </w:pPr>
  </w:style>
  <w:style w:type="paragraph" w:customStyle="1" w:styleId="H7">
    <w:name w:val="H7"/>
    <w:basedOn w:val="Heading7"/>
    <w:next w:val="BodyText"/>
    <w:rsid w:val="00FC1C5F"/>
    <w:pPr>
      <w:numPr>
        <w:ilvl w:val="0"/>
        <w:numId w:val="0"/>
      </w:numPr>
      <w:tabs>
        <w:tab w:val="clear" w:pos="1728"/>
        <w:tab w:val="left" w:pos="1980"/>
      </w:tabs>
      <w:ind w:left="1980" w:hanging="1980"/>
    </w:pPr>
    <w:rPr>
      <w:b/>
      <w:i/>
    </w:rPr>
  </w:style>
  <w:style w:type="paragraph" w:customStyle="1" w:styleId="H8">
    <w:name w:val="H8"/>
    <w:basedOn w:val="Heading8"/>
    <w:next w:val="BodyText"/>
    <w:rsid w:val="00FC1C5F"/>
    <w:pPr>
      <w:numPr>
        <w:ilvl w:val="0"/>
        <w:numId w:val="0"/>
      </w:numPr>
      <w:tabs>
        <w:tab w:val="clear" w:pos="1872"/>
        <w:tab w:val="left" w:pos="2160"/>
      </w:tabs>
      <w:ind w:left="2160" w:hanging="2160"/>
    </w:pPr>
    <w:rPr>
      <w:b/>
      <w:i w:val="0"/>
    </w:rPr>
  </w:style>
  <w:style w:type="paragraph" w:customStyle="1" w:styleId="H9">
    <w:name w:val="H9"/>
    <w:basedOn w:val="Heading9"/>
    <w:next w:val="BodyText"/>
    <w:rsid w:val="00FC1C5F"/>
    <w:pPr>
      <w:numPr>
        <w:ilvl w:val="0"/>
        <w:numId w:val="0"/>
      </w:numPr>
      <w:tabs>
        <w:tab w:val="clear" w:pos="2160"/>
        <w:tab w:val="left" w:pos="2340"/>
      </w:tabs>
      <w:ind w:left="2340" w:hanging="2340"/>
    </w:pPr>
    <w:rPr>
      <w:i/>
    </w:rPr>
  </w:style>
  <w:style w:type="table" w:customStyle="1" w:styleId="BoxedLanguage">
    <w:name w:val="Boxed Language"/>
    <w:basedOn w:val="TableNormal"/>
    <w:rsid w:val="00FC1C5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sid w:val="00FC1C5F"/>
  </w:style>
  <w:style w:type="paragraph" w:customStyle="1" w:styleId="ListIntroduction">
    <w:name w:val="List Introduction"/>
    <w:basedOn w:val="BodyText"/>
    <w:link w:val="ListIntroductionChar"/>
    <w:rsid w:val="00FC1C5F"/>
    <w:pPr>
      <w:keepNext/>
    </w:pPr>
    <w:rPr>
      <w:lang w:val="x-none" w:eastAsia="x-none"/>
    </w:rPr>
  </w:style>
  <w:style w:type="paragraph" w:customStyle="1" w:styleId="VariableDefinition">
    <w:name w:val="Variable Definition"/>
    <w:basedOn w:val="BodyTextIndent"/>
    <w:rsid w:val="00FC1C5F"/>
    <w:pPr>
      <w:tabs>
        <w:tab w:val="left" w:pos="2160"/>
      </w:tabs>
      <w:ind w:left="2160" w:hanging="1440"/>
      <w:contextualSpacing/>
    </w:pPr>
  </w:style>
  <w:style w:type="paragraph" w:customStyle="1" w:styleId="FormulaBold">
    <w:name w:val="Formula Bold"/>
    <w:basedOn w:val="Normal"/>
    <w:link w:val="FormulaBoldChar"/>
    <w:autoRedefine/>
    <w:rsid w:val="00FC1C5F"/>
    <w:pPr>
      <w:tabs>
        <w:tab w:val="left" w:pos="2340"/>
        <w:tab w:val="left" w:pos="2880"/>
      </w:tabs>
      <w:spacing w:after="240"/>
      <w:ind w:left="2880" w:hanging="1440"/>
    </w:pPr>
    <w:rPr>
      <w:b/>
      <w:bCs/>
      <w:szCs w:val="24"/>
    </w:rPr>
  </w:style>
  <w:style w:type="paragraph" w:customStyle="1" w:styleId="Formula">
    <w:name w:val="Formula"/>
    <w:basedOn w:val="Normal"/>
    <w:autoRedefine/>
    <w:rsid w:val="00FC1C5F"/>
    <w:pPr>
      <w:tabs>
        <w:tab w:val="left" w:pos="2340"/>
        <w:tab w:val="left" w:pos="3420"/>
      </w:tabs>
      <w:spacing w:after="240"/>
      <w:ind w:left="3420" w:hanging="2700"/>
    </w:pPr>
    <w:rPr>
      <w:bCs/>
      <w:szCs w:val="24"/>
    </w:rPr>
  </w:style>
  <w:style w:type="paragraph" w:customStyle="1" w:styleId="ListSub">
    <w:name w:val="List Sub"/>
    <w:basedOn w:val="List"/>
    <w:rsid w:val="00FC1C5F"/>
    <w:pPr>
      <w:ind w:firstLine="0"/>
    </w:pPr>
  </w:style>
  <w:style w:type="table" w:customStyle="1" w:styleId="VariableTable">
    <w:name w:val="Variable Table"/>
    <w:basedOn w:val="TableNormal"/>
    <w:rsid w:val="00FC1C5F"/>
    <w:tblPr/>
  </w:style>
  <w:style w:type="table" w:customStyle="1" w:styleId="FormulaVariableTable">
    <w:name w:val="Formula Variable Table"/>
    <w:basedOn w:val="TableNormal"/>
    <w:rsid w:val="00FC1C5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rsid w:val="00FC1C5F"/>
    <w:pPr>
      <w:keepNext/>
      <w:spacing w:before="240"/>
    </w:pPr>
    <w:rPr>
      <w:b/>
    </w:rPr>
  </w:style>
  <w:style w:type="paragraph" w:customStyle="1" w:styleId="TableBody">
    <w:name w:val="Table Body"/>
    <w:basedOn w:val="BodyText"/>
    <w:rsid w:val="00FC1C5F"/>
    <w:pPr>
      <w:spacing w:after="60"/>
    </w:pPr>
    <w:rPr>
      <w:sz w:val="20"/>
    </w:rPr>
  </w:style>
  <w:style w:type="paragraph" w:customStyle="1" w:styleId="TableHead">
    <w:name w:val="Table Head"/>
    <w:basedOn w:val="BodyText"/>
    <w:rsid w:val="00FC1C5F"/>
    <w:pPr>
      <w:spacing w:after="120"/>
    </w:pPr>
    <w:rPr>
      <w:b/>
      <w:sz w:val="20"/>
    </w:rPr>
  </w:style>
  <w:style w:type="paragraph" w:customStyle="1" w:styleId="TableBullet">
    <w:name w:val="Table Bullet"/>
    <w:basedOn w:val="TableBody"/>
    <w:rsid w:val="00FC1C5F"/>
    <w:pPr>
      <w:tabs>
        <w:tab w:val="num" w:pos="360"/>
      </w:tabs>
      <w:ind w:left="360" w:hanging="360"/>
    </w:pPr>
  </w:style>
  <w:style w:type="paragraph" w:styleId="BodyText2">
    <w:name w:val="Body Text 2"/>
    <w:basedOn w:val="Normal"/>
    <w:rsid w:val="00FC1C5F"/>
    <w:pPr>
      <w:spacing w:after="120" w:line="480" w:lineRule="auto"/>
      <w:ind w:left="1440" w:hanging="720"/>
    </w:pPr>
  </w:style>
  <w:style w:type="paragraph" w:customStyle="1" w:styleId="BodyTextNumbered">
    <w:name w:val="Body Text Numbered"/>
    <w:basedOn w:val="BodyText"/>
    <w:link w:val="BodyTextNumberedChar"/>
    <w:rsid w:val="00FC1C5F"/>
    <w:pPr>
      <w:ind w:left="720" w:hanging="720"/>
    </w:pPr>
  </w:style>
  <w:style w:type="character" w:customStyle="1" w:styleId="CharChar5">
    <w:name w:val="Char Char5"/>
    <w:rsid w:val="00FC1C5F"/>
    <w:rPr>
      <w:sz w:val="24"/>
      <w:lang w:val="en-US" w:eastAsia="en-US" w:bidi="ar-SA"/>
    </w:rPr>
  </w:style>
  <w:style w:type="paragraph" w:customStyle="1" w:styleId="Style1">
    <w:name w:val="Style1"/>
    <w:basedOn w:val="Formula"/>
    <w:rsid w:val="00FC1C5F"/>
    <w:pPr>
      <w:ind w:left="1440" w:hanging="720"/>
    </w:pPr>
  </w:style>
  <w:style w:type="character" w:customStyle="1" w:styleId="CharChar2">
    <w:name w:val="Char Char2"/>
    <w:rsid w:val="00FC1C5F"/>
    <w:rPr>
      <w:sz w:val="24"/>
      <w:lang w:val="en-US" w:eastAsia="en-US" w:bidi="ar-SA"/>
    </w:rPr>
  </w:style>
  <w:style w:type="character" w:customStyle="1" w:styleId="CharChar3">
    <w:name w:val="Char Char3"/>
    <w:rsid w:val="00FC1C5F"/>
    <w:rPr>
      <w:b/>
      <w:bCs/>
      <w:snapToGrid w:val="0"/>
      <w:sz w:val="24"/>
      <w:lang w:val="en-US" w:eastAsia="en-US" w:bidi="ar-SA"/>
    </w:rPr>
  </w:style>
  <w:style w:type="character" w:customStyle="1" w:styleId="CharChar1">
    <w:name w:val="Char Char1"/>
    <w:aliases w:val=" Char1 Char Char2"/>
    <w:rsid w:val="00FC1C5F"/>
    <w:rPr>
      <w:iCs/>
      <w:sz w:val="24"/>
      <w:lang w:val="en-US" w:eastAsia="en-US" w:bidi="ar-SA"/>
    </w:rPr>
  </w:style>
  <w:style w:type="character" w:customStyle="1" w:styleId="CharChar">
    <w:name w:val="Char Char"/>
    <w:aliases w:val=" Char1 Char Char1"/>
    <w:rsid w:val="00FC1C5F"/>
    <w:rPr>
      <w:iCs/>
      <w:sz w:val="24"/>
      <w:lang w:val="en-US" w:eastAsia="en-US" w:bidi="ar-SA"/>
    </w:rPr>
  </w:style>
  <w:style w:type="character" w:customStyle="1" w:styleId="newsummary">
    <w:name w:val="newsummary"/>
    <w:basedOn w:val="DefaultParagraphFont"/>
    <w:rsid w:val="00FC1C5F"/>
  </w:style>
  <w:style w:type="character" w:customStyle="1" w:styleId="CharCharCharChar1">
    <w:name w:val="Char Char Char Char1"/>
    <w:rsid w:val="00FC1C5F"/>
    <w:rPr>
      <w:sz w:val="24"/>
      <w:lang w:val="en-US" w:eastAsia="en-US" w:bidi="ar-SA"/>
    </w:rPr>
  </w:style>
  <w:style w:type="character" w:customStyle="1" w:styleId="BodyTextNumberedChar">
    <w:name w:val="Body Text Numbered Char"/>
    <w:link w:val="BodyTextNumbered"/>
    <w:rsid w:val="00FC1C5F"/>
    <w:rPr>
      <w:iCs/>
      <w:sz w:val="24"/>
      <w:lang w:val="en-US" w:eastAsia="en-US" w:bidi="ar-SA"/>
    </w:rPr>
  </w:style>
  <w:style w:type="character" w:styleId="CommentReference">
    <w:name w:val="annotation reference"/>
    <w:rsid w:val="00FC1C5F"/>
    <w:rPr>
      <w:sz w:val="16"/>
      <w:szCs w:val="16"/>
    </w:rPr>
  </w:style>
  <w:style w:type="paragraph" w:styleId="CommentText">
    <w:name w:val="annotation text"/>
    <w:basedOn w:val="Normal"/>
    <w:link w:val="CommentTextChar"/>
    <w:rsid w:val="00FC1C5F"/>
    <w:rPr>
      <w:sz w:val="20"/>
    </w:rPr>
  </w:style>
  <w:style w:type="paragraph" w:styleId="CommentSubject">
    <w:name w:val="annotation subject"/>
    <w:basedOn w:val="CommentText"/>
    <w:next w:val="CommentText"/>
    <w:rsid w:val="00FC1C5F"/>
    <w:rPr>
      <w:b/>
      <w:bCs/>
    </w:rPr>
  </w:style>
  <w:style w:type="paragraph" w:styleId="BalloonText">
    <w:name w:val="Balloon Text"/>
    <w:basedOn w:val="Normal"/>
    <w:rsid w:val="00FC1C5F"/>
    <w:rPr>
      <w:rFonts w:ascii="Tahoma" w:hAnsi="Tahoma" w:cs="Tahoma"/>
      <w:sz w:val="16"/>
      <w:szCs w:val="16"/>
    </w:rPr>
  </w:style>
  <w:style w:type="paragraph" w:customStyle="1" w:styleId="Style2">
    <w:name w:val="Style2"/>
    <w:basedOn w:val="BodyText2"/>
    <w:rsid w:val="00FC1C5F"/>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FC1C5F"/>
    <w:rPr>
      <w:iCs/>
      <w:sz w:val="24"/>
      <w:lang w:val="en-US" w:eastAsia="en-US" w:bidi="ar-SA"/>
    </w:rPr>
  </w:style>
  <w:style w:type="character" w:customStyle="1" w:styleId="CharCharChar2">
    <w:name w:val="Char Char Char2"/>
    <w:rsid w:val="00FC1C5F"/>
    <w:rPr>
      <w:b/>
      <w:bCs/>
      <w:snapToGrid w:val="0"/>
      <w:sz w:val="24"/>
      <w:lang w:val="en-US" w:eastAsia="en-US" w:bidi="ar-SA"/>
    </w:rPr>
  </w:style>
  <w:style w:type="character" w:customStyle="1" w:styleId="CharCharChar1">
    <w:name w:val="Char Char Char1"/>
    <w:rsid w:val="00FC1C5F"/>
    <w:rPr>
      <w:sz w:val="24"/>
      <w:lang w:val="en-US" w:eastAsia="en-US" w:bidi="ar-SA"/>
    </w:rPr>
  </w:style>
  <w:style w:type="character" w:customStyle="1" w:styleId="H4CharChar">
    <w:name w:val="H4 Char Char"/>
    <w:rsid w:val="00FC1C5F"/>
    <w:rPr>
      <w:b w:val="0"/>
      <w:bCs w:val="0"/>
      <w:snapToGrid w:val="0"/>
      <w:sz w:val="24"/>
      <w:lang w:val="en-US" w:eastAsia="en-US" w:bidi="ar-SA"/>
    </w:rPr>
  </w:style>
  <w:style w:type="character" w:customStyle="1" w:styleId="Char1CharChar">
    <w:name w:val="Char1 Char Char"/>
    <w:rsid w:val="00FC1C5F"/>
    <w:rPr>
      <w:iCs/>
      <w:sz w:val="24"/>
      <w:lang w:val="en-US" w:eastAsia="en-US" w:bidi="ar-SA"/>
    </w:rPr>
  </w:style>
  <w:style w:type="paragraph" w:customStyle="1" w:styleId="NormalArial">
    <w:name w:val="Normal+Arial"/>
    <w:basedOn w:val="Normal"/>
    <w:link w:val="NormalArialChar"/>
    <w:rsid w:val="00FC1C5F"/>
    <w:rPr>
      <w:rFonts w:ascii="Arial" w:hAnsi="Arial"/>
      <w:szCs w:val="24"/>
    </w:rPr>
  </w:style>
  <w:style w:type="character" w:customStyle="1" w:styleId="BodyTextChar">
    <w:name w:val="Body Text Char"/>
    <w:aliases w:val=" Char Char Char Char,Body Text Char2 Char Char Char,Body Text Char2 Char Char Char Char Char Char Char Char Char Char Char Char,Body Text Char2 Char Char1"/>
    <w:rsid w:val="00FC1C5F"/>
    <w:rPr>
      <w:iCs/>
      <w:sz w:val="24"/>
      <w:lang w:val="en-US" w:eastAsia="en-US" w:bidi="ar-SA"/>
    </w:rPr>
  </w:style>
  <w:style w:type="character" w:customStyle="1" w:styleId="NormalArialChar">
    <w:name w:val="Normal+Arial Char"/>
    <w:link w:val="NormalArial"/>
    <w:rsid w:val="00FC1C5F"/>
    <w:rPr>
      <w:rFonts w:ascii="Arial" w:hAnsi="Arial"/>
      <w:sz w:val="24"/>
      <w:szCs w:val="24"/>
      <w:lang w:val="en-US" w:eastAsia="en-US" w:bidi="ar-SA"/>
    </w:rPr>
  </w:style>
  <w:style w:type="paragraph" w:styleId="DocumentMap">
    <w:name w:val="Document Map"/>
    <w:basedOn w:val="Normal"/>
    <w:rsid w:val="00FC1C5F"/>
    <w:pPr>
      <w:shd w:val="clear" w:color="auto" w:fill="000080"/>
    </w:pPr>
    <w:rPr>
      <w:rFonts w:ascii="Tahoma" w:hAnsi="Tahoma" w:cs="Tahoma"/>
      <w:sz w:val="20"/>
    </w:rPr>
  </w:style>
  <w:style w:type="character" w:customStyle="1" w:styleId="BodyTextNumberedChar1">
    <w:name w:val="Body Text Numbered Char1"/>
    <w:rsid w:val="00FC1C5F"/>
    <w:rPr>
      <w:sz w:val="24"/>
      <w:szCs w:val="24"/>
      <w:lang w:val="en-US" w:eastAsia="en-US" w:bidi="ar-SA"/>
    </w:rPr>
  </w:style>
  <w:style w:type="character" w:customStyle="1" w:styleId="Heading3Char">
    <w:name w:val="Heading 3 Char"/>
    <w:link w:val="Heading3"/>
    <w:rsid w:val="00FC1C5F"/>
    <w:rPr>
      <w:b/>
      <w:bCs/>
      <w:i/>
      <w:sz w:val="24"/>
      <w:lang w:val="en-US" w:eastAsia="en-US" w:bidi="ar-SA"/>
    </w:rPr>
  </w:style>
  <w:style w:type="paragraph" w:customStyle="1" w:styleId="Char3">
    <w:name w:val="Char3"/>
    <w:basedOn w:val="Normal"/>
    <w:rsid w:val="00FC1C5F"/>
    <w:pPr>
      <w:spacing w:after="160" w:line="240" w:lineRule="exact"/>
    </w:pPr>
    <w:rPr>
      <w:rFonts w:ascii="Verdana" w:hAnsi="Verdana"/>
      <w:sz w:val="16"/>
    </w:rPr>
  </w:style>
  <w:style w:type="character" w:customStyle="1" w:styleId="H3Char1">
    <w:name w:val="H3 Char1"/>
    <w:link w:val="H3"/>
    <w:rsid w:val="00FC1C5F"/>
    <w:rPr>
      <w:b/>
      <w:bCs/>
      <w:i/>
      <w:sz w:val="24"/>
      <w:lang w:val="en-US" w:eastAsia="en-US" w:bidi="ar-SA"/>
    </w:rPr>
  </w:style>
  <w:style w:type="character" w:customStyle="1" w:styleId="H2Char">
    <w:name w:val="H2 Char"/>
    <w:link w:val="H2"/>
    <w:rsid w:val="002B3DDF"/>
    <w:rPr>
      <w:b/>
      <w:sz w:val="24"/>
    </w:rPr>
  </w:style>
  <w:style w:type="character" w:customStyle="1" w:styleId="HeaderChar">
    <w:name w:val="Header Char"/>
    <w:link w:val="Header"/>
    <w:rsid w:val="00510CB6"/>
    <w:rPr>
      <w:smallCaps/>
    </w:rPr>
  </w:style>
  <w:style w:type="paragraph" w:styleId="Revision">
    <w:name w:val="Revision"/>
    <w:hidden/>
    <w:rsid w:val="00362E3D"/>
    <w:rPr>
      <w:sz w:val="24"/>
    </w:rPr>
  </w:style>
  <w:style w:type="paragraph" w:customStyle="1" w:styleId="TXUHeader">
    <w:name w:val="TXUHeader"/>
    <w:basedOn w:val="Normal"/>
    <w:rsid w:val="00AC2765"/>
    <w:pPr>
      <w:tabs>
        <w:tab w:val="right" w:pos="9360"/>
      </w:tabs>
    </w:pPr>
    <w:rPr>
      <w:noProof/>
      <w:sz w:val="16"/>
    </w:rPr>
  </w:style>
  <w:style w:type="character" w:customStyle="1" w:styleId="H3Char">
    <w:name w:val="H3 Char"/>
    <w:rsid w:val="00002B03"/>
    <w:rPr>
      <w:b/>
      <w:bCs/>
      <w:i/>
      <w:sz w:val="24"/>
      <w:lang w:val="en-US" w:eastAsia="en-US" w:bidi="ar-SA"/>
    </w:rPr>
  </w:style>
  <w:style w:type="paragraph" w:styleId="ListParagraph">
    <w:name w:val="List Paragraph"/>
    <w:basedOn w:val="Normal"/>
    <w:qFormat/>
    <w:rsid w:val="00002B03"/>
    <w:pPr>
      <w:spacing w:after="200" w:line="276" w:lineRule="auto"/>
      <w:ind w:left="720"/>
      <w:contextualSpacing/>
    </w:pPr>
    <w:rPr>
      <w:rFonts w:ascii="Calibri" w:hAnsi="Calibri"/>
      <w:sz w:val="22"/>
      <w:szCs w:val="22"/>
    </w:rPr>
  </w:style>
  <w:style w:type="paragraph" w:styleId="NoSpacing">
    <w:name w:val="No Spacing"/>
    <w:qFormat/>
    <w:rsid w:val="00002B03"/>
    <w:rPr>
      <w:rFonts w:ascii="Calibri" w:hAnsi="Calibri"/>
      <w:sz w:val="22"/>
      <w:szCs w:val="22"/>
    </w:rPr>
  </w:style>
  <w:style w:type="character" w:customStyle="1" w:styleId="ListIntroductionChar">
    <w:name w:val="List Introduction Char"/>
    <w:link w:val="ListIntroduction"/>
    <w:rsid w:val="004A751B"/>
    <w:rPr>
      <w:iCs/>
      <w:sz w:val="24"/>
    </w:rPr>
  </w:style>
  <w:style w:type="paragraph" w:customStyle="1" w:styleId="TXUSubject">
    <w:name w:val="TXUSubject"/>
    <w:basedOn w:val="Normal"/>
    <w:next w:val="Normal"/>
    <w:rsid w:val="002635D3"/>
    <w:pPr>
      <w:spacing w:after="240"/>
    </w:pPr>
    <w:rPr>
      <w:b/>
      <w:sz w:val="20"/>
    </w:rPr>
  </w:style>
  <w:style w:type="character" w:customStyle="1" w:styleId="FootnoteTextChar">
    <w:name w:val="Footnote Text Char"/>
    <w:link w:val="FootnoteText"/>
    <w:rsid w:val="0033404D"/>
    <w:rPr>
      <w:sz w:val="18"/>
    </w:rPr>
  </w:style>
  <w:style w:type="character" w:styleId="FootnoteReference">
    <w:name w:val="footnote reference"/>
    <w:rsid w:val="0033404D"/>
    <w:rPr>
      <w:vertAlign w:val="superscript"/>
    </w:rPr>
  </w:style>
  <w:style w:type="character" w:styleId="FollowedHyperlink">
    <w:name w:val="FollowedHyperlink"/>
    <w:rsid w:val="00D81C2C"/>
    <w:rPr>
      <w:color w:val="800080"/>
      <w:u w:val="single"/>
    </w:rPr>
  </w:style>
  <w:style w:type="character" w:customStyle="1" w:styleId="FormulaBoldChar">
    <w:name w:val="Formula Bold Char"/>
    <w:link w:val="FormulaBold"/>
    <w:rsid w:val="00823E5F"/>
    <w:rPr>
      <w:b/>
      <w:bCs/>
      <w:sz w:val="24"/>
      <w:szCs w:val="24"/>
    </w:rPr>
  </w:style>
  <w:style w:type="character" w:customStyle="1" w:styleId="CommentTextChar">
    <w:name w:val="Comment Text Char"/>
    <w:link w:val="CommentText"/>
    <w:rsid w:val="00972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318272">
      <w:bodyDiv w:val="1"/>
      <w:marLeft w:val="0"/>
      <w:marRight w:val="0"/>
      <w:marTop w:val="0"/>
      <w:marBottom w:val="0"/>
      <w:divBdr>
        <w:top w:val="none" w:sz="0" w:space="0" w:color="auto"/>
        <w:left w:val="none" w:sz="0" w:space="0" w:color="auto"/>
        <w:bottom w:val="none" w:sz="0" w:space="0" w:color="auto"/>
        <w:right w:val="none" w:sz="0" w:space="0" w:color="auto"/>
      </w:divBdr>
    </w:div>
    <w:div w:id="1452936281">
      <w:bodyDiv w:val="1"/>
      <w:marLeft w:val="0"/>
      <w:marRight w:val="0"/>
      <w:marTop w:val="0"/>
      <w:marBottom w:val="0"/>
      <w:divBdr>
        <w:top w:val="none" w:sz="0" w:space="0" w:color="auto"/>
        <w:left w:val="none" w:sz="0" w:space="0" w:color="auto"/>
        <w:bottom w:val="none" w:sz="0" w:space="0" w:color="auto"/>
        <w:right w:val="none" w:sz="0" w:space="0" w:color="auto"/>
      </w:divBdr>
    </w:div>
    <w:div w:id="1854957093">
      <w:bodyDiv w:val="1"/>
      <w:marLeft w:val="0"/>
      <w:marRight w:val="0"/>
      <w:marTop w:val="0"/>
      <w:marBottom w:val="0"/>
      <w:divBdr>
        <w:top w:val="none" w:sz="0" w:space="0" w:color="auto"/>
        <w:left w:val="none" w:sz="0" w:space="0" w:color="auto"/>
        <w:bottom w:val="none" w:sz="0" w:space="0" w:color="auto"/>
        <w:right w:val="none" w:sz="0" w:space="0" w:color="auto"/>
      </w:divBdr>
    </w:div>
    <w:div w:id="1955556008">
      <w:bodyDiv w:val="1"/>
      <w:marLeft w:val="0"/>
      <w:marRight w:val="0"/>
      <w:marTop w:val="0"/>
      <w:marBottom w:val="0"/>
      <w:divBdr>
        <w:top w:val="none" w:sz="0" w:space="0" w:color="auto"/>
        <w:left w:val="none" w:sz="0" w:space="0" w:color="auto"/>
        <w:bottom w:val="none" w:sz="0" w:space="0" w:color="auto"/>
        <w:right w:val="none" w:sz="0" w:space="0" w:color="auto"/>
      </w:divBdr>
    </w:div>
    <w:div w:id="212750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oleObject" Target="embeddings/oleObject1.bin"/><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wmf"/><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ercot.com/mktrules/nprotocols/pir_process.html" TargetMode="External"/><Relationship Id="rId20" Type="http://schemas.openxmlformats.org/officeDocument/2006/relationships/oleObject" Target="embeddings/oleObject3.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mailto:NCSI@ercot.com" TargetMode="External"/><Relationship Id="rId27"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Proto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C4C19-5662-4ACF-8683-01CCCA54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Protocol.dot</Template>
  <TotalTime>1</TotalTime>
  <Pages>100</Pages>
  <Words>36220</Words>
  <Characters>206458</Characters>
  <Application>Microsoft Office Word</Application>
  <DocSecurity>0</DocSecurity>
  <Lines>1720</Lines>
  <Paragraphs>484</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TekLink Talent</Company>
  <LinksUpToDate>false</LinksUpToDate>
  <CharactersWithSpaces>242194</CharactersWithSpaces>
  <SharedDoc>false</SharedDoc>
  <HLinks>
    <vt:vector size="606" baseType="variant">
      <vt:variant>
        <vt:i4>1114170</vt:i4>
      </vt:variant>
      <vt:variant>
        <vt:i4>602</vt:i4>
      </vt:variant>
      <vt:variant>
        <vt:i4>0</vt:i4>
      </vt:variant>
      <vt:variant>
        <vt:i4>5</vt:i4>
      </vt:variant>
      <vt:variant>
        <vt:lpwstr/>
      </vt:variant>
      <vt:variant>
        <vt:lpwstr>_Toc11053082</vt:lpwstr>
      </vt:variant>
      <vt:variant>
        <vt:i4>1179706</vt:i4>
      </vt:variant>
      <vt:variant>
        <vt:i4>596</vt:i4>
      </vt:variant>
      <vt:variant>
        <vt:i4>0</vt:i4>
      </vt:variant>
      <vt:variant>
        <vt:i4>5</vt:i4>
      </vt:variant>
      <vt:variant>
        <vt:lpwstr/>
      </vt:variant>
      <vt:variant>
        <vt:lpwstr>_Toc11053081</vt:lpwstr>
      </vt:variant>
      <vt:variant>
        <vt:i4>1245242</vt:i4>
      </vt:variant>
      <vt:variant>
        <vt:i4>590</vt:i4>
      </vt:variant>
      <vt:variant>
        <vt:i4>0</vt:i4>
      </vt:variant>
      <vt:variant>
        <vt:i4>5</vt:i4>
      </vt:variant>
      <vt:variant>
        <vt:lpwstr/>
      </vt:variant>
      <vt:variant>
        <vt:lpwstr>_Toc11053080</vt:lpwstr>
      </vt:variant>
      <vt:variant>
        <vt:i4>1703989</vt:i4>
      </vt:variant>
      <vt:variant>
        <vt:i4>584</vt:i4>
      </vt:variant>
      <vt:variant>
        <vt:i4>0</vt:i4>
      </vt:variant>
      <vt:variant>
        <vt:i4>5</vt:i4>
      </vt:variant>
      <vt:variant>
        <vt:lpwstr/>
      </vt:variant>
      <vt:variant>
        <vt:lpwstr>_Toc11053079</vt:lpwstr>
      </vt:variant>
      <vt:variant>
        <vt:i4>1769525</vt:i4>
      </vt:variant>
      <vt:variant>
        <vt:i4>578</vt:i4>
      </vt:variant>
      <vt:variant>
        <vt:i4>0</vt:i4>
      </vt:variant>
      <vt:variant>
        <vt:i4>5</vt:i4>
      </vt:variant>
      <vt:variant>
        <vt:lpwstr/>
      </vt:variant>
      <vt:variant>
        <vt:lpwstr>_Toc11053078</vt:lpwstr>
      </vt:variant>
      <vt:variant>
        <vt:i4>1310773</vt:i4>
      </vt:variant>
      <vt:variant>
        <vt:i4>572</vt:i4>
      </vt:variant>
      <vt:variant>
        <vt:i4>0</vt:i4>
      </vt:variant>
      <vt:variant>
        <vt:i4>5</vt:i4>
      </vt:variant>
      <vt:variant>
        <vt:lpwstr/>
      </vt:variant>
      <vt:variant>
        <vt:lpwstr>_Toc11053077</vt:lpwstr>
      </vt:variant>
      <vt:variant>
        <vt:i4>1376309</vt:i4>
      </vt:variant>
      <vt:variant>
        <vt:i4>566</vt:i4>
      </vt:variant>
      <vt:variant>
        <vt:i4>0</vt:i4>
      </vt:variant>
      <vt:variant>
        <vt:i4>5</vt:i4>
      </vt:variant>
      <vt:variant>
        <vt:lpwstr/>
      </vt:variant>
      <vt:variant>
        <vt:lpwstr>_Toc11053076</vt:lpwstr>
      </vt:variant>
      <vt:variant>
        <vt:i4>1441845</vt:i4>
      </vt:variant>
      <vt:variant>
        <vt:i4>560</vt:i4>
      </vt:variant>
      <vt:variant>
        <vt:i4>0</vt:i4>
      </vt:variant>
      <vt:variant>
        <vt:i4>5</vt:i4>
      </vt:variant>
      <vt:variant>
        <vt:lpwstr/>
      </vt:variant>
      <vt:variant>
        <vt:lpwstr>_Toc11053075</vt:lpwstr>
      </vt:variant>
      <vt:variant>
        <vt:i4>1507381</vt:i4>
      </vt:variant>
      <vt:variant>
        <vt:i4>554</vt:i4>
      </vt:variant>
      <vt:variant>
        <vt:i4>0</vt:i4>
      </vt:variant>
      <vt:variant>
        <vt:i4>5</vt:i4>
      </vt:variant>
      <vt:variant>
        <vt:lpwstr/>
      </vt:variant>
      <vt:variant>
        <vt:lpwstr>_Toc11053074</vt:lpwstr>
      </vt:variant>
      <vt:variant>
        <vt:i4>1048629</vt:i4>
      </vt:variant>
      <vt:variant>
        <vt:i4>548</vt:i4>
      </vt:variant>
      <vt:variant>
        <vt:i4>0</vt:i4>
      </vt:variant>
      <vt:variant>
        <vt:i4>5</vt:i4>
      </vt:variant>
      <vt:variant>
        <vt:lpwstr/>
      </vt:variant>
      <vt:variant>
        <vt:lpwstr>_Toc11053073</vt:lpwstr>
      </vt:variant>
      <vt:variant>
        <vt:i4>1114165</vt:i4>
      </vt:variant>
      <vt:variant>
        <vt:i4>542</vt:i4>
      </vt:variant>
      <vt:variant>
        <vt:i4>0</vt:i4>
      </vt:variant>
      <vt:variant>
        <vt:i4>5</vt:i4>
      </vt:variant>
      <vt:variant>
        <vt:lpwstr/>
      </vt:variant>
      <vt:variant>
        <vt:lpwstr>_Toc11053072</vt:lpwstr>
      </vt:variant>
      <vt:variant>
        <vt:i4>1179701</vt:i4>
      </vt:variant>
      <vt:variant>
        <vt:i4>536</vt:i4>
      </vt:variant>
      <vt:variant>
        <vt:i4>0</vt:i4>
      </vt:variant>
      <vt:variant>
        <vt:i4>5</vt:i4>
      </vt:variant>
      <vt:variant>
        <vt:lpwstr/>
      </vt:variant>
      <vt:variant>
        <vt:lpwstr>_Toc11053071</vt:lpwstr>
      </vt:variant>
      <vt:variant>
        <vt:i4>1245237</vt:i4>
      </vt:variant>
      <vt:variant>
        <vt:i4>530</vt:i4>
      </vt:variant>
      <vt:variant>
        <vt:i4>0</vt:i4>
      </vt:variant>
      <vt:variant>
        <vt:i4>5</vt:i4>
      </vt:variant>
      <vt:variant>
        <vt:lpwstr/>
      </vt:variant>
      <vt:variant>
        <vt:lpwstr>_Toc11053070</vt:lpwstr>
      </vt:variant>
      <vt:variant>
        <vt:i4>1703988</vt:i4>
      </vt:variant>
      <vt:variant>
        <vt:i4>524</vt:i4>
      </vt:variant>
      <vt:variant>
        <vt:i4>0</vt:i4>
      </vt:variant>
      <vt:variant>
        <vt:i4>5</vt:i4>
      </vt:variant>
      <vt:variant>
        <vt:lpwstr/>
      </vt:variant>
      <vt:variant>
        <vt:lpwstr>_Toc11053069</vt:lpwstr>
      </vt:variant>
      <vt:variant>
        <vt:i4>1769524</vt:i4>
      </vt:variant>
      <vt:variant>
        <vt:i4>518</vt:i4>
      </vt:variant>
      <vt:variant>
        <vt:i4>0</vt:i4>
      </vt:variant>
      <vt:variant>
        <vt:i4>5</vt:i4>
      </vt:variant>
      <vt:variant>
        <vt:lpwstr/>
      </vt:variant>
      <vt:variant>
        <vt:lpwstr>_Toc11053068</vt:lpwstr>
      </vt:variant>
      <vt:variant>
        <vt:i4>1310772</vt:i4>
      </vt:variant>
      <vt:variant>
        <vt:i4>512</vt:i4>
      </vt:variant>
      <vt:variant>
        <vt:i4>0</vt:i4>
      </vt:variant>
      <vt:variant>
        <vt:i4>5</vt:i4>
      </vt:variant>
      <vt:variant>
        <vt:lpwstr/>
      </vt:variant>
      <vt:variant>
        <vt:lpwstr>_Toc11053067</vt:lpwstr>
      </vt:variant>
      <vt:variant>
        <vt:i4>1376308</vt:i4>
      </vt:variant>
      <vt:variant>
        <vt:i4>506</vt:i4>
      </vt:variant>
      <vt:variant>
        <vt:i4>0</vt:i4>
      </vt:variant>
      <vt:variant>
        <vt:i4>5</vt:i4>
      </vt:variant>
      <vt:variant>
        <vt:lpwstr/>
      </vt:variant>
      <vt:variant>
        <vt:lpwstr>_Toc11053066</vt:lpwstr>
      </vt:variant>
      <vt:variant>
        <vt:i4>1441844</vt:i4>
      </vt:variant>
      <vt:variant>
        <vt:i4>500</vt:i4>
      </vt:variant>
      <vt:variant>
        <vt:i4>0</vt:i4>
      </vt:variant>
      <vt:variant>
        <vt:i4>5</vt:i4>
      </vt:variant>
      <vt:variant>
        <vt:lpwstr/>
      </vt:variant>
      <vt:variant>
        <vt:lpwstr>_Toc11053065</vt:lpwstr>
      </vt:variant>
      <vt:variant>
        <vt:i4>1507380</vt:i4>
      </vt:variant>
      <vt:variant>
        <vt:i4>494</vt:i4>
      </vt:variant>
      <vt:variant>
        <vt:i4>0</vt:i4>
      </vt:variant>
      <vt:variant>
        <vt:i4>5</vt:i4>
      </vt:variant>
      <vt:variant>
        <vt:lpwstr/>
      </vt:variant>
      <vt:variant>
        <vt:lpwstr>_Toc11053064</vt:lpwstr>
      </vt:variant>
      <vt:variant>
        <vt:i4>1048628</vt:i4>
      </vt:variant>
      <vt:variant>
        <vt:i4>488</vt:i4>
      </vt:variant>
      <vt:variant>
        <vt:i4>0</vt:i4>
      </vt:variant>
      <vt:variant>
        <vt:i4>5</vt:i4>
      </vt:variant>
      <vt:variant>
        <vt:lpwstr/>
      </vt:variant>
      <vt:variant>
        <vt:lpwstr>_Toc11053063</vt:lpwstr>
      </vt:variant>
      <vt:variant>
        <vt:i4>1114164</vt:i4>
      </vt:variant>
      <vt:variant>
        <vt:i4>482</vt:i4>
      </vt:variant>
      <vt:variant>
        <vt:i4>0</vt:i4>
      </vt:variant>
      <vt:variant>
        <vt:i4>5</vt:i4>
      </vt:variant>
      <vt:variant>
        <vt:lpwstr/>
      </vt:variant>
      <vt:variant>
        <vt:lpwstr>_Toc11053062</vt:lpwstr>
      </vt:variant>
      <vt:variant>
        <vt:i4>1179700</vt:i4>
      </vt:variant>
      <vt:variant>
        <vt:i4>476</vt:i4>
      </vt:variant>
      <vt:variant>
        <vt:i4>0</vt:i4>
      </vt:variant>
      <vt:variant>
        <vt:i4>5</vt:i4>
      </vt:variant>
      <vt:variant>
        <vt:lpwstr/>
      </vt:variant>
      <vt:variant>
        <vt:lpwstr>_Toc11053061</vt:lpwstr>
      </vt:variant>
      <vt:variant>
        <vt:i4>1245236</vt:i4>
      </vt:variant>
      <vt:variant>
        <vt:i4>470</vt:i4>
      </vt:variant>
      <vt:variant>
        <vt:i4>0</vt:i4>
      </vt:variant>
      <vt:variant>
        <vt:i4>5</vt:i4>
      </vt:variant>
      <vt:variant>
        <vt:lpwstr/>
      </vt:variant>
      <vt:variant>
        <vt:lpwstr>_Toc11053060</vt:lpwstr>
      </vt:variant>
      <vt:variant>
        <vt:i4>1703991</vt:i4>
      </vt:variant>
      <vt:variant>
        <vt:i4>464</vt:i4>
      </vt:variant>
      <vt:variant>
        <vt:i4>0</vt:i4>
      </vt:variant>
      <vt:variant>
        <vt:i4>5</vt:i4>
      </vt:variant>
      <vt:variant>
        <vt:lpwstr/>
      </vt:variant>
      <vt:variant>
        <vt:lpwstr>_Toc11053059</vt:lpwstr>
      </vt:variant>
      <vt:variant>
        <vt:i4>1769527</vt:i4>
      </vt:variant>
      <vt:variant>
        <vt:i4>458</vt:i4>
      </vt:variant>
      <vt:variant>
        <vt:i4>0</vt:i4>
      </vt:variant>
      <vt:variant>
        <vt:i4>5</vt:i4>
      </vt:variant>
      <vt:variant>
        <vt:lpwstr/>
      </vt:variant>
      <vt:variant>
        <vt:lpwstr>_Toc11053058</vt:lpwstr>
      </vt:variant>
      <vt:variant>
        <vt:i4>1310775</vt:i4>
      </vt:variant>
      <vt:variant>
        <vt:i4>452</vt:i4>
      </vt:variant>
      <vt:variant>
        <vt:i4>0</vt:i4>
      </vt:variant>
      <vt:variant>
        <vt:i4>5</vt:i4>
      </vt:variant>
      <vt:variant>
        <vt:lpwstr/>
      </vt:variant>
      <vt:variant>
        <vt:lpwstr>_Toc11053057</vt:lpwstr>
      </vt:variant>
      <vt:variant>
        <vt:i4>1376311</vt:i4>
      </vt:variant>
      <vt:variant>
        <vt:i4>446</vt:i4>
      </vt:variant>
      <vt:variant>
        <vt:i4>0</vt:i4>
      </vt:variant>
      <vt:variant>
        <vt:i4>5</vt:i4>
      </vt:variant>
      <vt:variant>
        <vt:lpwstr/>
      </vt:variant>
      <vt:variant>
        <vt:lpwstr>_Toc11053056</vt:lpwstr>
      </vt:variant>
      <vt:variant>
        <vt:i4>1441847</vt:i4>
      </vt:variant>
      <vt:variant>
        <vt:i4>440</vt:i4>
      </vt:variant>
      <vt:variant>
        <vt:i4>0</vt:i4>
      </vt:variant>
      <vt:variant>
        <vt:i4>5</vt:i4>
      </vt:variant>
      <vt:variant>
        <vt:lpwstr/>
      </vt:variant>
      <vt:variant>
        <vt:lpwstr>_Toc11053055</vt:lpwstr>
      </vt:variant>
      <vt:variant>
        <vt:i4>1507383</vt:i4>
      </vt:variant>
      <vt:variant>
        <vt:i4>434</vt:i4>
      </vt:variant>
      <vt:variant>
        <vt:i4>0</vt:i4>
      </vt:variant>
      <vt:variant>
        <vt:i4>5</vt:i4>
      </vt:variant>
      <vt:variant>
        <vt:lpwstr/>
      </vt:variant>
      <vt:variant>
        <vt:lpwstr>_Toc11053054</vt:lpwstr>
      </vt:variant>
      <vt:variant>
        <vt:i4>1048631</vt:i4>
      </vt:variant>
      <vt:variant>
        <vt:i4>428</vt:i4>
      </vt:variant>
      <vt:variant>
        <vt:i4>0</vt:i4>
      </vt:variant>
      <vt:variant>
        <vt:i4>5</vt:i4>
      </vt:variant>
      <vt:variant>
        <vt:lpwstr/>
      </vt:variant>
      <vt:variant>
        <vt:lpwstr>_Toc11053053</vt:lpwstr>
      </vt:variant>
      <vt:variant>
        <vt:i4>1114167</vt:i4>
      </vt:variant>
      <vt:variant>
        <vt:i4>422</vt:i4>
      </vt:variant>
      <vt:variant>
        <vt:i4>0</vt:i4>
      </vt:variant>
      <vt:variant>
        <vt:i4>5</vt:i4>
      </vt:variant>
      <vt:variant>
        <vt:lpwstr/>
      </vt:variant>
      <vt:variant>
        <vt:lpwstr>_Toc11053052</vt:lpwstr>
      </vt:variant>
      <vt:variant>
        <vt:i4>1179703</vt:i4>
      </vt:variant>
      <vt:variant>
        <vt:i4>416</vt:i4>
      </vt:variant>
      <vt:variant>
        <vt:i4>0</vt:i4>
      </vt:variant>
      <vt:variant>
        <vt:i4>5</vt:i4>
      </vt:variant>
      <vt:variant>
        <vt:lpwstr/>
      </vt:variant>
      <vt:variant>
        <vt:lpwstr>_Toc11053051</vt:lpwstr>
      </vt:variant>
      <vt:variant>
        <vt:i4>1245239</vt:i4>
      </vt:variant>
      <vt:variant>
        <vt:i4>410</vt:i4>
      </vt:variant>
      <vt:variant>
        <vt:i4>0</vt:i4>
      </vt:variant>
      <vt:variant>
        <vt:i4>5</vt:i4>
      </vt:variant>
      <vt:variant>
        <vt:lpwstr/>
      </vt:variant>
      <vt:variant>
        <vt:lpwstr>_Toc11053050</vt:lpwstr>
      </vt:variant>
      <vt:variant>
        <vt:i4>1703990</vt:i4>
      </vt:variant>
      <vt:variant>
        <vt:i4>404</vt:i4>
      </vt:variant>
      <vt:variant>
        <vt:i4>0</vt:i4>
      </vt:variant>
      <vt:variant>
        <vt:i4>5</vt:i4>
      </vt:variant>
      <vt:variant>
        <vt:lpwstr/>
      </vt:variant>
      <vt:variant>
        <vt:lpwstr>_Toc11053049</vt:lpwstr>
      </vt:variant>
      <vt:variant>
        <vt:i4>1769526</vt:i4>
      </vt:variant>
      <vt:variant>
        <vt:i4>398</vt:i4>
      </vt:variant>
      <vt:variant>
        <vt:i4>0</vt:i4>
      </vt:variant>
      <vt:variant>
        <vt:i4>5</vt:i4>
      </vt:variant>
      <vt:variant>
        <vt:lpwstr/>
      </vt:variant>
      <vt:variant>
        <vt:lpwstr>_Toc11053048</vt:lpwstr>
      </vt:variant>
      <vt:variant>
        <vt:i4>1310774</vt:i4>
      </vt:variant>
      <vt:variant>
        <vt:i4>392</vt:i4>
      </vt:variant>
      <vt:variant>
        <vt:i4>0</vt:i4>
      </vt:variant>
      <vt:variant>
        <vt:i4>5</vt:i4>
      </vt:variant>
      <vt:variant>
        <vt:lpwstr/>
      </vt:variant>
      <vt:variant>
        <vt:lpwstr>_Toc11053047</vt:lpwstr>
      </vt:variant>
      <vt:variant>
        <vt:i4>1376310</vt:i4>
      </vt:variant>
      <vt:variant>
        <vt:i4>386</vt:i4>
      </vt:variant>
      <vt:variant>
        <vt:i4>0</vt:i4>
      </vt:variant>
      <vt:variant>
        <vt:i4>5</vt:i4>
      </vt:variant>
      <vt:variant>
        <vt:lpwstr/>
      </vt:variant>
      <vt:variant>
        <vt:lpwstr>_Toc11053046</vt:lpwstr>
      </vt:variant>
      <vt:variant>
        <vt:i4>1441846</vt:i4>
      </vt:variant>
      <vt:variant>
        <vt:i4>380</vt:i4>
      </vt:variant>
      <vt:variant>
        <vt:i4>0</vt:i4>
      </vt:variant>
      <vt:variant>
        <vt:i4>5</vt:i4>
      </vt:variant>
      <vt:variant>
        <vt:lpwstr/>
      </vt:variant>
      <vt:variant>
        <vt:lpwstr>_Toc11053045</vt:lpwstr>
      </vt:variant>
      <vt:variant>
        <vt:i4>1507382</vt:i4>
      </vt:variant>
      <vt:variant>
        <vt:i4>374</vt:i4>
      </vt:variant>
      <vt:variant>
        <vt:i4>0</vt:i4>
      </vt:variant>
      <vt:variant>
        <vt:i4>5</vt:i4>
      </vt:variant>
      <vt:variant>
        <vt:lpwstr/>
      </vt:variant>
      <vt:variant>
        <vt:lpwstr>_Toc11053044</vt:lpwstr>
      </vt:variant>
      <vt:variant>
        <vt:i4>1048630</vt:i4>
      </vt:variant>
      <vt:variant>
        <vt:i4>368</vt:i4>
      </vt:variant>
      <vt:variant>
        <vt:i4>0</vt:i4>
      </vt:variant>
      <vt:variant>
        <vt:i4>5</vt:i4>
      </vt:variant>
      <vt:variant>
        <vt:lpwstr/>
      </vt:variant>
      <vt:variant>
        <vt:lpwstr>_Toc11053043</vt:lpwstr>
      </vt:variant>
      <vt:variant>
        <vt:i4>1114166</vt:i4>
      </vt:variant>
      <vt:variant>
        <vt:i4>362</vt:i4>
      </vt:variant>
      <vt:variant>
        <vt:i4>0</vt:i4>
      </vt:variant>
      <vt:variant>
        <vt:i4>5</vt:i4>
      </vt:variant>
      <vt:variant>
        <vt:lpwstr/>
      </vt:variant>
      <vt:variant>
        <vt:lpwstr>_Toc11053042</vt:lpwstr>
      </vt:variant>
      <vt:variant>
        <vt:i4>1179702</vt:i4>
      </vt:variant>
      <vt:variant>
        <vt:i4>356</vt:i4>
      </vt:variant>
      <vt:variant>
        <vt:i4>0</vt:i4>
      </vt:variant>
      <vt:variant>
        <vt:i4>5</vt:i4>
      </vt:variant>
      <vt:variant>
        <vt:lpwstr/>
      </vt:variant>
      <vt:variant>
        <vt:lpwstr>_Toc11053041</vt:lpwstr>
      </vt:variant>
      <vt:variant>
        <vt:i4>1245238</vt:i4>
      </vt:variant>
      <vt:variant>
        <vt:i4>350</vt:i4>
      </vt:variant>
      <vt:variant>
        <vt:i4>0</vt:i4>
      </vt:variant>
      <vt:variant>
        <vt:i4>5</vt:i4>
      </vt:variant>
      <vt:variant>
        <vt:lpwstr/>
      </vt:variant>
      <vt:variant>
        <vt:lpwstr>_Toc11053040</vt:lpwstr>
      </vt:variant>
      <vt:variant>
        <vt:i4>1703985</vt:i4>
      </vt:variant>
      <vt:variant>
        <vt:i4>344</vt:i4>
      </vt:variant>
      <vt:variant>
        <vt:i4>0</vt:i4>
      </vt:variant>
      <vt:variant>
        <vt:i4>5</vt:i4>
      </vt:variant>
      <vt:variant>
        <vt:lpwstr/>
      </vt:variant>
      <vt:variant>
        <vt:lpwstr>_Toc11053039</vt:lpwstr>
      </vt:variant>
      <vt:variant>
        <vt:i4>1769521</vt:i4>
      </vt:variant>
      <vt:variant>
        <vt:i4>338</vt:i4>
      </vt:variant>
      <vt:variant>
        <vt:i4>0</vt:i4>
      </vt:variant>
      <vt:variant>
        <vt:i4>5</vt:i4>
      </vt:variant>
      <vt:variant>
        <vt:lpwstr/>
      </vt:variant>
      <vt:variant>
        <vt:lpwstr>_Toc11053038</vt:lpwstr>
      </vt:variant>
      <vt:variant>
        <vt:i4>1310769</vt:i4>
      </vt:variant>
      <vt:variant>
        <vt:i4>332</vt:i4>
      </vt:variant>
      <vt:variant>
        <vt:i4>0</vt:i4>
      </vt:variant>
      <vt:variant>
        <vt:i4>5</vt:i4>
      </vt:variant>
      <vt:variant>
        <vt:lpwstr/>
      </vt:variant>
      <vt:variant>
        <vt:lpwstr>_Toc11053037</vt:lpwstr>
      </vt:variant>
      <vt:variant>
        <vt:i4>1376305</vt:i4>
      </vt:variant>
      <vt:variant>
        <vt:i4>326</vt:i4>
      </vt:variant>
      <vt:variant>
        <vt:i4>0</vt:i4>
      </vt:variant>
      <vt:variant>
        <vt:i4>5</vt:i4>
      </vt:variant>
      <vt:variant>
        <vt:lpwstr/>
      </vt:variant>
      <vt:variant>
        <vt:lpwstr>_Toc11053036</vt:lpwstr>
      </vt:variant>
      <vt:variant>
        <vt:i4>1441841</vt:i4>
      </vt:variant>
      <vt:variant>
        <vt:i4>320</vt:i4>
      </vt:variant>
      <vt:variant>
        <vt:i4>0</vt:i4>
      </vt:variant>
      <vt:variant>
        <vt:i4>5</vt:i4>
      </vt:variant>
      <vt:variant>
        <vt:lpwstr/>
      </vt:variant>
      <vt:variant>
        <vt:lpwstr>_Toc11053035</vt:lpwstr>
      </vt:variant>
      <vt:variant>
        <vt:i4>1507377</vt:i4>
      </vt:variant>
      <vt:variant>
        <vt:i4>314</vt:i4>
      </vt:variant>
      <vt:variant>
        <vt:i4>0</vt:i4>
      </vt:variant>
      <vt:variant>
        <vt:i4>5</vt:i4>
      </vt:variant>
      <vt:variant>
        <vt:lpwstr/>
      </vt:variant>
      <vt:variant>
        <vt:lpwstr>_Toc11053034</vt:lpwstr>
      </vt:variant>
      <vt:variant>
        <vt:i4>1048625</vt:i4>
      </vt:variant>
      <vt:variant>
        <vt:i4>308</vt:i4>
      </vt:variant>
      <vt:variant>
        <vt:i4>0</vt:i4>
      </vt:variant>
      <vt:variant>
        <vt:i4>5</vt:i4>
      </vt:variant>
      <vt:variant>
        <vt:lpwstr/>
      </vt:variant>
      <vt:variant>
        <vt:lpwstr>_Toc11053033</vt:lpwstr>
      </vt:variant>
      <vt:variant>
        <vt:i4>1114161</vt:i4>
      </vt:variant>
      <vt:variant>
        <vt:i4>302</vt:i4>
      </vt:variant>
      <vt:variant>
        <vt:i4>0</vt:i4>
      </vt:variant>
      <vt:variant>
        <vt:i4>5</vt:i4>
      </vt:variant>
      <vt:variant>
        <vt:lpwstr/>
      </vt:variant>
      <vt:variant>
        <vt:lpwstr>_Toc11053032</vt:lpwstr>
      </vt:variant>
      <vt:variant>
        <vt:i4>1179697</vt:i4>
      </vt:variant>
      <vt:variant>
        <vt:i4>296</vt:i4>
      </vt:variant>
      <vt:variant>
        <vt:i4>0</vt:i4>
      </vt:variant>
      <vt:variant>
        <vt:i4>5</vt:i4>
      </vt:variant>
      <vt:variant>
        <vt:lpwstr/>
      </vt:variant>
      <vt:variant>
        <vt:lpwstr>_Toc11053031</vt:lpwstr>
      </vt:variant>
      <vt:variant>
        <vt:i4>1245233</vt:i4>
      </vt:variant>
      <vt:variant>
        <vt:i4>290</vt:i4>
      </vt:variant>
      <vt:variant>
        <vt:i4>0</vt:i4>
      </vt:variant>
      <vt:variant>
        <vt:i4>5</vt:i4>
      </vt:variant>
      <vt:variant>
        <vt:lpwstr/>
      </vt:variant>
      <vt:variant>
        <vt:lpwstr>_Toc11053030</vt:lpwstr>
      </vt:variant>
      <vt:variant>
        <vt:i4>1703984</vt:i4>
      </vt:variant>
      <vt:variant>
        <vt:i4>284</vt:i4>
      </vt:variant>
      <vt:variant>
        <vt:i4>0</vt:i4>
      </vt:variant>
      <vt:variant>
        <vt:i4>5</vt:i4>
      </vt:variant>
      <vt:variant>
        <vt:lpwstr/>
      </vt:variant>
      <vt:variant>
        <vt:lpwstr>_Toc11053029</vt:lpwstr>
      </vt:variant>
      <vt:variant>
        <vt:i4>1769520</vt:i4>
      </vt:variant>
      <vt:variant>
        <vt:i4>278</vt:i4>
      </vt:variant>
      <vt:variant>
        <vt:i4>0</vt:i4>
      </vt:variant>
      <vt:variant>
        <vt:i4>5</vt:i4>
      </vt:variant>
      <vt:variant>
        <vt:lpwstr/>
      </vt:variant>
      <vt:variant>
        <vt:lpwstr>_Toc11053028</vt:lpwstr>
      </vt:variant>
      <vt:variant>
        <vt:i4>1310768</vt:i4>
      </vt:variant>
      <vt:variant>
        <vt:i4>272</vt:i4>
      </vt:variant>
      <vt:variant>
        <vt:i4>0</vt:i4>
      </vt:variant>
      <vt:variant>
        <vt:i4>5</vt:i4>
      </vt:variant>
      <vt:variant>
        <vt:lpwstr/>
      </vt:variant>
      <vt:variant>
        <vt:lpwstr>_Toc11053027</vt:lpwstr>
      </vt:variant>
      <vt:variant>
        <vt:i4>1376304</vt:i4>
      </vt:variant>
      <vt:variant>
        <vt:i4>266</vt:i4>
      </vt:variant>
      <vt:variant>
        <vt:i4>0</vt:i4>
      </vt:variant>
      <vt:variant>
        <vt:i4>5</vt:i4>
      </vt:variant>
      <vt:variant>
        <vt:lpwstr/>
      </vt:variant>
      <vt:variant>
        <vt:lpwstr>_Toc11053026</vt:lpwstr>
      </vt:variant>
      <vt:variant>
        <vt:i4>1441840</vt:i4>
      </vt:variant>
      <vt:variant>
        <vt:i4>260</vt:i4>
      </vt:variant>
      <vt:variant>
        <vt:i4>0</vt:i4>
      </vt:variant>
      <vt:variant>
        <vt:i4>5</vt:i4>
      </vt:variant>
      <vt:variant>
        <vt:lpwstr/>
      </vt:variant>
      <vt:variant>
        <vt:lpwstr>_Toc11053025</vt:lpwstr>
      </vt:variant>
      <vt:variant>
        <vt:i4>1507376</vt:i4>
      </vt:variant>
      <vt:variant>
        <vt:i4>254</vt:i4>
      </vt:variant>
      <vt:variant>
        <vt:i4>0</vt:i4>
      </vt:variant>
      <vt:variant>
        <vt:i4>5</vt:i4>
      </vt:variant>
      <vt:variant>
        <vt:lpwstr/>
      </vt:variant>
      <vt:variant>
        <vt:lpwstr>_Toc11053024</vt:lpwstr>
      </vt:variant>
      <vt:variant>
        <vt:i4>1048624</vt:i4>
      </vt:variant>
      <vt:variant>
        <vt:i4>248</vt:i4>
      </vt:variant>
      <vt:variant>
        <vt:i4>0</vt:i4>
      </vt:variant>
      <vt:variant>
        <vt:i4>5</vt:i4>
      </vt:variant>
      <vt:variant>
        <vt:lpwstr/>
      </vt:variant>
      <vt:variant>
        <vt:lpwstr>_Toc11053023</vt:lpwstr>
      </vt:variant>
      <vt:variant>
        <vt:i4>1114160</vt:i4>
      </vt:variant>
      <vt:variant>
        <vt:i4>242</vt:i4>
      </vt:variant>
      <vt:variant>
        <vt:i4>0</vt:i4>
      </vt:variant>
      <vt:variant>
        <vt:i4>5</vt:i4>
      </vt:variant>
      <vt:variant>
        <vt:lpwstr/>
      </vt:variant>
      <vt:variant>
        <vt:lpwstr>_Toc11053022</vt:lpwstr>
      </vt:variant>
      <vt:variant>
        <vt:i4>1179696</vt:i4>
      </vt:variant>
      <vt:variant>
        <vt:i4>236</vt:i4>
      </vt:variant>
      <vt:variant>
        <vt:i4>0</vt:i4>
      </vt:variant>
      <vt:variant>
        <vt:i4>5</vt:i4>
      </vt:variant>
      <vt:variant>
        <vt:lpwstr/>
      </vt:variant>
      <vt:variant>
        <vt:lpwstr>_Toc11053021</vt:lpwstr>
      </vt:variant>
      <vt:variant>
        <vt:i4>1245232</vt:i4>
      </vt:variant>
      <vt:variant>
        <vt:i4>230</vt:i4>
      </vt:variant>
      <vt:variant>
        <vt:i4>0</vt:i4>
      </vt:variant>
      <vt:variant>
        <vt:i4>5</vt:i4>
      </vt:variant>
      <vt:variant>
        <vt:lpwstr/>
      </vt:variant>
      <vt:variant>
        <vt:lpwstr>_Toc11053020</vt:lpwstr>
      </vt:variant>
      <vt:variant>
        <vt:i4>1703987</vt:i4>
      </vt:variant>
      <vt:variant>
        <vt:i4>224</vt:i4>
      </vt:variant>
      <vt:variant>
        <vt:i4>0</vt:i4>
      </vt:variant>
      <vt:variant>
        <vt:i4>5</vt:i4>
      </vt:variant>
      <vt:variant>
        <vt:lpwstr/>
      </vt:variant>
      <vt:variant>
        <vt:lpwstr>_Toc11053019</vt:lpwstr>
      </vt:variant>
      <vt:variant>
        <vt:i4>1769523</vt:i4>
      </vt:variant>
      <vt:variant>
        <vt:i4>218</vt:i4>
      </vt:variant>
      <vt:variant>
        <vt:i4>0</vt:i4>
      </vt:variant>
      <vt:variant>
        <vt:i4>5</vt:i4>
      </vt:variant>
      <vt:variant>
        <vt:lpwstr/>
      </vt:variant>
      <vt:variant>
        <vt:lpwstr>_Toc11053018</vt:lpwstr>
      </vt:variant>
      <vt:variant>
        <vt:i4>1310771</vt:i4>
      </vt:variant>
      <vt:variant>
        <vt:i4>212</vt:i4>
      </vt:variant>
      <vt:variant>
        <vt:i4>0</vt:i4>
      </vt:variant>
      <vt:variant>
        <vt:i4>5</vt:i4>
      </vt:variant>
      <vt:variant>
        <vt:lpwstr/>
      </vt:variant>
      <vt:variant>
        <vt:lpwstr>_Toc11053017</vt:lpwstr>
      </vt:variant>
      <vt:variant>
        <vt:i4>1376307</vt:i4>
      </vt:variant>
      <vt:variant>
        <vt:i4>206</vt:i4>
      </vt:variant>
      <vt:variant>
        <vt:i4>0</vt:i4>
      </vt:variant>
      <vt:variant>
        <vt:i4>5</vt:i4>
      </vt:variant>
      <vt:variant>
        <vt:lpwstr/>
      </vt:variant>
      <vt:variant>
        <vt:lpwstr>_Toc11053016</vt:lpwstr>
      </vt:variant>
      <vt:variant>
        <vt:i4>1441843</vt:i4>
      </vt:variant>
      <vt:variant>
        <vt:i4>200</vt:i4>
      </vt:variant>
      <vt:variant>
        <vt:i4>0</vt:i4>
      </vt:variant>
      <vt:variant>
        <vt:i4>5</vt:i4>
      </vt:variant>
      <vt:variant>
        <vt:lpwstr/>
      </vt:variant>
      <vt:variant>
        <vt:lpwstr>_Toc11053015</vt:lpwstr>
      </vt:variant>
      <vt:variant>
        <vt:i4>1507379</vt:i4>
      </vt:variant>
      <vt:variant>
        <vt:i4>194</vt:i4>
      </vt:variant>
      <vt:variant>
        <vt:i4>0</vt:i4>
      </vt:variant>
      <vt:variant>
        <vt:i4>5</vt:i4>
      </vt:variant>
      <vt:variant>
        <vt:lpwstr/>
      </vt:variant>
      <vt:variant>
        <vt:lpwstr>_Toc11053014</vt:lpwstr>
      </vt:variant>
      <vt:variant>
        <vt:i4>1048627</vt:i4>
      </vt:variant>
      <vt:variant>
        <vt:i4>188</vt:i4>
      </vt:variant>
      <vt:variant>
        <vt:i4>0</vt:i4>
      </vt:variant>
      <vt:variant>
        <vt:i4>5</vt:i4>
      </vt:variant>
      <vt:variant>
        <vt:lpwstr/>
      </vt:variant>
      <vt:variant>
        <vt:lpwstr>_Toc11053013</vt:lpwstr>
      </vt:variant>
      <vt:variant>
        <vt:i4>1114163</vt:i4>
      </vt:variant>
      <vt:variant>
        <vt:i4>182</vt:i4>
      </vt:variant>
      <vt:variant>
        <vt:i4>0</vt:i4>
      </vt:variant>
      <vt:variant>
        <vt:i4>5</vt:i4>
      </vt:variant>
      <vt:variant>
        <vt:lpwstr/>
      </vt:variant>
      <vt:variant>
        <vt:lpwstr>_Toc11053012</vt:lpwstr>
      </vt:variant>
      <vt:variant>
        <vt:i4>1179699</vt:i4>
      </vt:variant>
      <vt:variant>
        <vt:i4>176</vt:i4>
      </vt:variant>
      <vt:variant>
        <vt:i4>0</vt:i4>
      </vt:variant>
      <vt:variant>
        <vt:i4>5</vt:i4>
      </vt:variant>
      <vt:variant>
        <vt:lpwstr/>
      </vt:variant>
      <vt:variant>
        <vt:lpwstr>_Toc11053011</vt:lpwstr>
      </vt:variant>
      <vt:variant>
        <vt:i4>1245235</vt:i4>
      </vt:variant>
      <vt:variant>
        <vt:i4>170</vt:i4>
      </vt:variant>
      <vt:variant>
        <vt:i4>0</vt:i4>
      </vt:variant>
      <vt:variant>
        <vt:i4>5</vt:i4>
      </vt:variant>
      <vt:variant>
        <vt:lpwstr/>
      </vt:variant>
      <vt:variant>
        <vt:lpwstr>_Toc11053010</vt:lpwstr>
      </vt:variant>
      <vt:variant>
        <vt:i4>1703986</vt:i4>
      </vt:variant>
      <vt:variant>
        <vt:i4>164</vt:i4>
      </vt:variant>
      <vt:variant>
        <vt:i4>0</vt:i4>
      </vt:variant>
      <vt:variant>
        <vt:i4>5</vt:i4>
      </vt:variant>
      <vt:variant>
        <vt:lpwstr/>
      </vt:variant>
      <vt:variant>
        <vt:lpwstr>_Toc11053009</vt:lpwstr>
      </vt:variant>
      <vt:variant>
        <vt:i4>1769522</vt:i4>
      </vt:variant>
      <vt:variant>
        <vt:i4>158</vt:i4>
      </vt:variant>
      <vt:variant>
        <vt:i4>0</vt:i4>
      </vt:variant>
      <vt:variant>
        <vt:i4>5</vt:i4>
      </vt:variant>
      <vt:variant>
        <vt:lpwstr/>
      </vt:variant>
      <vt:variant>
        <vt:lpwstr>_Toc11053008</vt:lpwstr>
      </vt:variant>
      <vt:variant>
        <vt:i4>1310770</vt:i4>
      </vt:variant>
      <vt:variant>
        <vt:i4>152</vt:i4>
      </vt:variant>
      <vt:variant>
        <vt:i4>0</vt:i4>
      </vt:variant>
      <vt:variant>
        <vt:i4>5</vt:i4>
      </vt:variant>
      <vt:variant>
        <vt:lpwstr/>
      </vt:variant>
      <vt:variant>
        <vt:lpwstr>_Toc11053007</vt:lpwstr>
      </vt:variant>
      <vt:variant>
        <vt:i4>1376306</vt:i4>
      </vt:variant>
      <vt:variant>
        <vt:i4>146</vt:i4>
      </vt:variant>
      <vt:variant>
        <vt:i4>0</vt:i4>
      </vt:variant>
      <vt:variant>
        <vt:i4>5</vt:i4>
      </vt:variant>
      <vt:variant>
        <vt:lpwstr/>
      </vt:variant>
      <vt:variant>
        <vt:lpwstr>_Toc11053006</vt:lpwstr>
      </vt:variant>
      <vt:variant>
        <vt:i4>1441842</vt:i4>
      </vt:variant>
      <vt:variant>
        <vt:i4>140</vt:i4>
      </vt:variant>
      <vt:variant>
        <vt:i4>0</vt:i4>
      </vt:variant>
      <vt:variant>
        <vt:i4>5</vt:i4>
      </vt:variant>
      <vt:variant>
        <vt:lpwstr/>
      </vt:variant>
      <vt:variant>
        <vt:lpwstr>_Toc11053005</vt:lpwstr>
      </vt:variant>
      <vt:variant>
        <vt:i4>1507378</vt:i4>
      </vt:variant>
      <vt:variant>
        <vt:i4>134</vt:i4>
      </vt:variant>
      <vt:variant>
        <vt:i4>0</vt:i4>
      </vt:variant>
      <vt:variant>
        <vt:i4>5</vt:i4>
      </vt:variant>
      <vt:variant>
        <vt:lpwstr/>
      </vt:variant>
      <vt:variant>
        <vt:lpwstr>_Toc11053004</vt:lpwstr>
      </vt:variant>
      <vt:variant>
        <vt:i4>1048626</vt:i4>
      </vt:variant>
      <vt:variant>
        <vt:i4>128</vt:i4>
      </vt:variant>
      <vt:variant>
        <vt:i4>0</vt:i4>
      </vt:variant>
      <vt:variant>
        <vt:i4>5</vt:i4>
      </vt:variant>
      <vt:variant>
        <vt:lpwstr/>
      </vt:variant>
      <vt:variant>
        <vt:lpwstr>_Toc11053003</vt:lpwstr>
      </vt:variant>
      <vt:variant>
        <vt:i4>1114162</vt:i4>
      </vt:variant>
      <vt:variant>
        <vt:i4>122</vt:i4>
      </vt:variant>
      <vt:variant>
        <vt:i4>0</vt:i4>
      </vt:variant>
      <vt:variant>
        <vt:i4>5</vt:i4>
      </vt:variant>
      <vt:variant>
        <vt:lpwstr/>
      </vt:variant>
      <vt:variant>
        <vt:lpwstr>_Toc11053002</vt:lpwstr>
      </vt:variant>
      <vt:variant>
        <vt:i4>1179698</vt:i4>
      </vt:variant>
      <vt:variant>
        <vt:i4>116</vt:i4>
      </vt:variant>
      <vt:variant>
        <vt:i4>0</vt:i4>
      </vt:variant>
      <vt:variant>
        <vt:i4>5</vt:i4>
      </vt:variant>
      <vt:variant>
        <vt:lpwstr/>
      </vt:variant>
      <vt:variant>
        <vt:lpwstr>_Toc11053001</vt:lpwstr>
      </vt:variant>
      <vt:variant>
        <vt:i4>1245234</vt:i4>
      </vt:variant>
      <vt:variant>
        <vt:i4>110</vt:i4>
      </vt:variant>
      <vt:variant>
        <vt:i4>0</vt:i4>
      </vt:variant>
      <vt:variant>
        <vt:i4>5</vt:i4>
      </vt:variant>
      <vt:variant>
        <vt:lpwstr/>
      </vt:variant>
      <vt:variant>
        <vt:lpwstr>_Toc11053000</vt:lpwstr>
      </vt:variant>
      <vt:variant>
        <vt:i4>1245242</vt:i4>
      </vt:variant>
      <vt:variant>
        <vt:i4>104</vt:i4>
      </vt:variant>
      <vt:variant>
        <vt:i4>0</vt:i4>
      </vt:variant>
      <vt:variant>
        <vt:i4>5</vt:i4>
      </vt:variant>
      <vt:variant>
        <vt:lpwstr/>
      </vt:variant>
      <vt:variant>
        <vt:lpwstr>_Toc11052999</vt:lpwstr>
      </vt:variant>
      <vt:variant>
        <vt:i4>1179706</vt:i4>
      </vt:variant>
      <vt:variant>
        <vt:i4>98</vt:i4>
      </vt:variant>
      <vt:variant>
        <vt:i4>0</vt:i4>
      </vt:variant>
      <vt:variant>
        <vt:i4>5</vt:i4>
      </vt:variant>
      <vt:variant>
        <vt:lpwstr/>
      </vt:variant>
      <vt:variant>
        <vt:lpwstr>_Toc11052998</vt:lpwstr>
      </vt:variant>
      <vt:variant>
        <vt:i4>1900602</vt:i4>
      </vt:variant>
      <vt:variant>
        <vt:i4>92</vt:i4>
      </vt:variant>
      <vt:variant>
        <vt:i4>0</vt:i4>
      </vt:variant>
      <vt:variant>
        <vt:i4>5</vt:i4>
      </vt:variant>
      <vt:variant>
        <vt:lpwstr/>
      </vt:variant>
      <vt:variant>
        <vt:lpwstr>_Toc11052997</vt:lpwstr>
      </vt:variant>
      <vt:variant>
        <vt:i4>1835066</vt:i4>
      </vt:variant>
      <vt:variant>
        <vt:i4>86</vt:i4>
      </vt:variant>
      <vt:variant>
        <vt:i4>0</vt:i4>
      </vt:variant>
      <vt:variant>
        <vt:i4>5</vt:i4>
      </vt:variant>
      <vt:variant>
        <vt:lpwstr/>
      </vt:variant>
      <vt:variant>
        <vt:lpwstr>_Toc11052996</vt:lpwstr>
      </vt:variant>
      <vt:variant>
        <vt:i4>2031674</vt:i4>
      </vt:variant>
      <vt:variant>
        <vt:i4>80</vt:i4>
      </vt:variant>
      <vt:variant>
        <vt:i4>0</vt:i4>
      </vt:variant>
      <vt:variant>
        <vt:i4>5</vt:i4>
      </vt:variant>
      <vt:variant>
        <vt:lpwstr/>
      </vt:variant>
      <vt:variant>
        <vt:lpwstr>_Toc11052995</vt:lpwstr>
      </vt:variant>
      <vt:variant>
        <vt:i4>1966138</vt:i4>
      </vt:variant>
      <vt:variant>
        <vt:i4>74</vt:i4>
      </vt:variant>
      <vt:variant>
        <vt:i4>0</vt:i4>
      </vt:variant>
      <vt:variant>
        <vt:i4>5</vt:i4>
      </vt:variant>
      <vt:variant>
        <vt:lpwstr/>
      </vt:variant>
      <vt:variant>
        <vt:lpwstr>_Toc11052994</vt:lpwstr>
      </vt:variant>
      <vt:variant>
        <vt:i4>1638458</vt:i4>
      </vt:variant>
      <vt:variant>
        <vt:i4>68</vt:i4>
      </vt:variant>
      <vt:variant>
        <vt:i4>0</vt:i4>
      </vt:variant>
      <vt:variant>
        <vt:i4>5</vt:i4>
      </vt:variant>
      <vt:variant>
        <vt:lpwstr/>
      </vt:variant>
      <vt:variant>
        <vt:lpwstr>_Toc11052993</vt:lpwstr>
      </vt:variant>
      <vt:variant>
        <vt:i4>1572922</vt:i4>
      </vt:variant>
      <vt:variant>
        <vt:i4>62</vt:i4>
      </vt:variant>
      <vt:variant>
        <vt:i4>0</vt:i4>
      </vt:variant>
      <vt:variant>
        <vt:i4>5</vt:i4>
      </vt:variant>
      <vt:variant>
        <vt:lpwstr/>
      </vt:variant>
      <vt:variant>
        <vt:lpwstr>_Toc11052992</vt:lpwstr>
      </vt:variant>
      <vt:variant>
        <vt:i4>1769530</vt:i4>
      </vt:variant>
      <vt:variant>
        <vt:i4>56</vt:i4>
      </vt:variant>
      <vt:variant>
        <vt:i4>0</vt:i4>
      </vt:variant>
      <vt:variant>
        <vt:i4>5</vt:i4>
      </vt:variant>
      <vt:variant>
        <vt:lpwstr/>
      </vt:variant>
      <vt:variant>
        <vt:lpwstr>_Toc11052991</vt:lpwstr>
      </vt:variant>
      <vt:variant>
        <vt:i4>1703994</vt:i4>
      </vt:variant>
      <vt:variant>
        <vt:i4>50</vt:i4>
      </vt:variant>
      <vt:variant>
        <vt:i4>0</vt:i4>
      </vt:variant>
      <vt:variant>
        <vt:i4>5</vt:i4>
      </vt:variant>
      <vt:variant>
        <vt:lpwstr/>
      </vt:variant>
      <vt:variant>
        <vt:lpwstr>_Toc11052990</vt:lpwstr>
      </vt:variant>
      <vt:variant>
        <vt:i4>1245243</vt:i4>
      </vt:variant>
      <vt:variant>
        <vt:i4>44</vt:i4>
      </vt:variant>
      <vt:variant>
        <vt:i4>0</vt:i4>
      </vt:variant>
      <vt:variant>
        <vt:i4>5</vt:i4>
      </vt:variant>
      <vt:variant>
        <vt:lpwstr/>
      </vt:variant>
      <vt:variant>
        <vt:lpwstr>_Toc11052989</vt:lpwstr>
      </vt:variant>
      <vt:variant>
        <vt:i4>1179707</vt:i4>
      </vt:variant>
      <vt:variant>
        <vt:i4>38</vt:i4>
      </vt:variant>
      <vt:variant>
        <vt:i4>0</vt:i4>
      </vt:variant>
      <vt:variant>
        <vt:i4>5</vt:i4>
      </vt:variant>
      <vt:variant>
        <vt:lpwstr/>
      </vt:variant>
      <vt:variant>
        <vt:lpwstr>_Toc11052988</vt:lpwstr>
      </vt:variant>
      <vt:variant>
        <vt:i4>1900603</vt:i4>
      </vt:variant>
      <vt:variant>
        <vt:i4>32</vt:i4>
      </vt:variant>
      <vt:variant>
        <vt:i4>0</vt:i4>
      </vt:variant>
      <vt:variant>
        <vt:i4>5</vt:i4>
      </vt:variant>
      <vt:variant>
        <vt:lpwstr/>
      </vt:variant>
      <vt:variant>
        <vt:lpwstr>_Toc11052987</vt:lpwstr>
      </vt:variant>
      <vt:variant>
        <vt:i4>1835067</vt:i4>
      </vt:variant>
      <vt:variant>
        <vt:i4>26</vt:i4>
      </vt:variant>
      <vt:variant>
        <vt:i4>0</vt:i4>
      </vt:variant>
      <vt:variant>
        <vt:i4>5</vt:i4>
      </vt:variant>
      <vt:variant>
        <vt:lpwstr/>
      </vt:variant>
      <vt:variant>
        <vt:lpwstr>_Toc11052986</vt:lpwstr>
      </vt:variant>
      <vt:variant>
        <vt:i4>2031675</vt:i4>
      </vt:variant>
      <vt:variant>
        <vt:i4>20</vt:i4>
      </vt:variant>
      <vt:variant>
        <vt:i4>0</vt:i4>
      </vt:variant>
      <vt:variant>
        <vt:i4>5</vt:i4>
      </vt:variant>
      <vt:variant>
        <vt:lpwstr/>
      </vt:variant>
      <vt:variant>
        <vt:lpwstr>_Toc11052985</vt:lpwstr>
      </vt:variant>
      <vt:variant>
        <vt:i4>1966139</vt:i4>
      </vt:variant>
      <vt:variant>
        <vt:i4>14</vt:i4>
      </vt:variant>
      <vt:variant>
        <vt:i4>0</vt:i4>
      </vt:variant>
      <vt:variant>
        <vt:i4>5</vt:i4>
      </vt:variant>
      <vt:variant>
        <vt:lpwstr/>
      </vt:variant>
      <vt:variant>
        <vt:lpwstr>_Toc11052984</vt:lpwstr>
      </vt:variant>
      <vt:variant>
        <vt:i4>1638459</vt:i4>
      </vt:variant>
      <vt:variant>
        <vt:i4>8</vt:i4>
      </vt:variant>
      <vt:variant>
        <vt:i4>0</vt:i4>
      </vt:variant>
      <vt:variant>
        <vt:i4>5</vt:i4>
      </vt:variant>
      <vt:variant>
        <vt:lpwstr/>
      </vt:variant>
      <vt:variant>
        <vt:lpwstr>_Toc11052983</vt:lpwstr>
      </vt:variant>
      <vt:variant>
        <vt:i4>1572923</vt:i4>
      </vt:variant>
      <vt:variant>
        <vt:i4>2</vt:i4>
      </vt:variant>
      <vt:variant>
        <vt:i4>0</vt:i4>
      </vt:variant>
      <vt:variant>
        <vt:i4>5</vt:i4>
      </vt:variant>
      <vt:variant>
        <vt:lpwstr/>
      </vt:variant>
      <vt:variant>
        <vt:lpwstr>_Toc11052982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ERCOT Nodal Protocols</dc:subject>
  <dc:creator>CEHE</dc:creator>
  <cp:keywords/>
  <dc:description/>
  <cp:lastModifiedBy>C Phillips</cp:lastModifiedBy>
  <cp:revision>3</cp:revision>
  <cp:lastPrinted>2019-04-29T19:52:00Z</cp:lastPrinted>
  <dcterms:created xsi:type="dcterms:W3CDTF">2021-09-08T14:54:00Z</dcterms:created>
  <dcterms:modified xsi:type="dcterms:W3CDTF">2021-09-08T14:55:00Z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