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591" w:rsidRPr="00C754FC" w:rsidRDefault="00C754FC">
      <w:pPr>
        <w:rPr>
          <w:b/>
          <w:sz w:val="28"/>
          <w:szCs w:val="28"/>
        </w:rPr>
      </w:pPr>
      <w:r w:rsidRPr="00C754FC">
        <w:rPr>
          <w:b/>
          <w:sz w:val="28"/>
          <w:szCs w:val="28"/>
        </w:rPr>
        <w:t>RECTF</w:t>
      </w:r>
    </w:p>
    <w:p w:rsidR="00C754FC" w:rsidRPr="00C754FC" w:rsidRDefault="00317103">
      <w:pPr>
        <w:rPr>
          <w:b/>
          <w:sz w:val="28"/>
          <w:szCs w:val="28"/>
        </w:rPr>
      </w:pPr>
      <w:r>
        <w:rPr>
          <w:b/>
          <w:sz w:val="28"/>
          <w:szCs w:val="28"/>
        </w:rPr>
        <w:t>July 27th</w:t>
      </w:r>
      <w:r w:rsidR="00C754FC" w:rsidRPr="00C754FC">
        <w:rPr>
          <w:b/>
          <w:sz w:val="28"/>
          <w:szCs w:val="28"/>
        </w:rPr>
        <w:t>, 2021</w:t>
      </w:r>
    </w:p>
    <w:p w:rsidR="00C754FC" w:rsidRDefault="00C754FC">
      <w:pPr>
        <w:rPr>
          <w:b/>
          <w:sz w:val="28"/>
          <w:szCs w:val="28"/>
        </w:rPr>
      </w:pPr>
      <w:r w:rsidRPr="00C754FC">
        <w:rPr>
          <w:b/>
          <w:sz w:val="28"/>
          <w:szCs w:val="28"/>
        </w:rPr>
        <w:t>WebEx only</w:t>
      </w:r>
    </w:p>
    <w:tbl>
      <w:tblPr>
        <w:tblStyle w:val="GridTable4-Accent5"/>
        <w:tblW w:w="10710" w:type="dxa"/>
        <w:tblInd w:w="-522" w:type="dxa"/>
        <w:tblLook w:val="04A0" w:firstRow="1" w:lastRow="0" w:firstColumn="1" w:lastColumn="0" w:noHBand="0" w:noVBand="1"/>
      </w:tblPr>
      <w:tblGrid>
        <w:gridCol w:w="2093"/>
        <w:gridCol w:w="1302"/>
        <w:gridCol w:w="2046"/>
        <w:gridCol w:w="87"/>
        <w:gridCol w:w="1292"/>
        <w:gridCol w:w="2105"/>
        <w:gridCol w:w="1785"/>
      </w:tblGrid>
      <w:tr w:rsidR="00C754FC" w:rsidTr="006B52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C754FC" w:rsidRDefault="00C754FC">
            <w:pPr>
              <w:rPr>
                <w:b w:val="0"/>
                <w:sz w:val="28"/>
                <w:szCs w:val="28"/>
              </w:rPr>
            </w:pPr>
            <w:r>
              <w:rPr>
                <w:b w:val="0"/>
                <w:sz w:val="28"/>
                <w:szCs w:val="28"/>
              </w:rPr>
              <w:t>Attendee</w:t>
            </w:r>
          </w:p>
        </w:tc>
        <w:tc>
          <w:tcPr>
            <w:tcW w:w="1302" w:type="dxa"/>
          </w:tcPr>
          <w:p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Company</w:t>
            </w:r>
          </w:p>
        </w:tc>
        <w:tc>
          <w:tcPr>
            <w:tcW w:w="2133" w:type="dxa"/>
            <w:gridSpan w:val="2"/>
          </w:tcPr>
          <w:p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Attendee</w:t>
            </w:r>
          </w:p>
        </w:tc>
        <w:tc>
          <w:tcPr>
            <w:tcW w:w="1292" w:type="dxa"/>
          </w:tcPr>
          <w:p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Company</w:t>
            </w:r>
          </w:p>
        </w:tc>
        <w:tc>
          <w:tcPr>
            <w:tcW w:w="2105" w:type="dxa"/>
          </w:tcPr>
          <w:p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Attendee</w:t>
            </w:r>
          </w:p>
        </w:tc>
        <w:tc>
          <w:tcPr>
            <w:tcW w:w="1785" w:type="dxa"/>
          </w:tcPr>
          <w:p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Company</w:t>
            </w:r>
          </w:p>
        </w:tc>
      </w:tr>
      <w:tr w:rsidR="00BF6A9F" w:rsidTr="006B5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F6A9F" w:rsidRPr="00C754FC" w:rsidRDefault="00BF6A9F" w:rsidP="00BF6A9F">
            <w:pPr>
              <w:rPr>
                <w:b w:val="0"/>
              </w:rPr>
            </w:pPr>
            <w:r w:rsidRPr="00C754FC">
              <w:rPr>
                <w:b w:val="0"/>
              </w:rPr>
              <w:t>Jim Lee</w:t>
            </w:r>
          </w:p>
        </w:tc>
        <w:tc>
          <w:tcPr>
            <w:tcW w:w="1302"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rsidRPr="00C754FC">
              <w:t>AEP</w:t>
            </w:r>
          </w:p>
        </w:tc>
        <w:tc>
          <w:tcPr>
            <w:tcW w:w="2046" w:type="dxa"/>
          </w:tcPr>
          <w:p w:rsidR="00BF6A9F" w:rsidRPr="00C754FC" w:rsidRDefault="00317103" w:rsidP="00BF6A9F">
            <w:pPr>
              <w:cnfStyle w:val="000000100000" w:firstRow="0" w:lastRow="0" w:firstColumn="0" w:lastColumn="0" w:oddVBand="0" w:evenVBand="0" w:oddHBand="1" w:evenHBand="0" w:firstRowFirstColumn="0" w:firstRowLastColumn="0" w:lastRowFirstColumn="0" w:lastRowLastColumn="0"/>
            </w:pPr>
            <w:r>
              <w:t>Eric Blakey</w:t>
            </w:r>
          </w:p>
        </w:tc>
        <w:tc>
          <w:tcPr>
            <w:tcW w:w="1379" w:type="dxa"/>
            <w:gridSpan w:val="2"/>
          </w:tcPr>
          <w:p w:rsidR="00BF6A9F" w:rsidRPr="00C754FC" w:rsidRDefault="00317103" w:rsidP="00BF6A9F">
            <w:pPr>
              <w:cnfStyle w:val="000000100000" w:firstRow="0" w:lastRow="0" w:firstColumn="0" w:lastColumn="0" w:oddVBand="0" w:evenVBand="0" w:oddHBand="1" w:evenHBand="0" w:firstRowFirstColumn="0" w:firstRowLastColumn="0" w:lastRowFirstColumn="0" w:lastRowLastColumn="0"/>
            </w:pPr>
            <w:r>
              <w:t>Just Energy</w:t>
            </w:r>
          </w:p>
        </w:tc>
        <w:tc>
          <w:tcPr>
            <w:tcW w:w="2105"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Mariah Benson</w:t>
            </w:r>
          </w:p>
        </w:tc>
        <w:tc>
          <w:tcPr>
            <w:tcW w:w="1785" w:type="dxa"/>
          </w:tcPr>
          <w:p w:rsidR="00BF6A9F" w:rsidRPr="00C754FC" w:rsidRDefault="00BF6A9F" w:rsidP="00BF6A9F">
            <w:pPr>
              <w:cnfStyle w:val="000000100000" w:firstRow="0" w:lastRow="0" w:firstColumn="0" w:lastColumn="0" w:oddVBand="0" w:evenVBand="0" w:oddHBand="1" w:evenHBand="0" w:firstRowFirstColumn="0" w:firstRowLastColumn="0" w:lastRowFirstColumn="0" w:lastRowLastColumn="0"/>
            </w:pPr>
            <w:r>
              <w:t>PUCT</w:t>
            </w:r>
          </w:p>
        </w:tc>
      </w:tr>
      <w:tr w:rsidR="00317103" w:rsidTr="006B528F">
        <w:tc>
          <w:tcPr>
            <w:cnfStyle w:val="001000000000" w:firstRow="0" w:lastRow="0" w:firstColumn="1" w:lastColumn="0" w:oddVBand="0" w:evenVBand="0" w:oddHBand="0" w:evenHBand="0" w:firstRowFirstColumn="0" w:firstRowLastColumn="0" w:lastRowFirstColumn="0" w:lastRowLastColumn="0"/>
            <w:tcW w:w="2093" w:type="dxa"/>
          </w:tcPr>
          <w:p w:rsidR="00317103" w:rsidRPr="00C754FC" w:rsidRDefault="00317103" w:rsidP="00317103">
            <w:pPr>
              <w:rPr>
                <w:b w:val="0"/>
              </w:rPr>
            </w:pPr>
            <w:r w:rsidRPr="00C754FC">
              <w:rPr>
                <w:b w:val="0"/>
              </w:rPr>
              <w:t>Jordan Troublefield</w:t>
            </w:r>
          </w:p>
        </w:tc>
        <w:tc>
          <w:tcPr>
            <w:tcW w:w="1302" w:type="dxa"/>
          </w:tcPr>
          <w:p w:rsidR="00317103" w:rsidRPr="00C754FC" w:rsidRDefault="00317103" w:rsidP="00317103">
            <w:pPr>
              <w:cnfStyle w:val="000000000000" w:firstRow="0" w:lastRow="0" w:firstColumn="0" w:lastColumn="0" w:oddVBand="0" w:evenVBand="0" w:oddHBand="0" w:evenHBand="0" w:firstRowFirstColumn="0" w:firstRowLastColumn="0" w:lastRowFirstColumn="0" w:lastRowLastColumn="0"/>
            </w:pPr>
            <w:r w:rsidRPr="00C754FC">
              <w:t>ERCOT</w:t>
            </w:r>
          </w:p>
        </w:tc>
        <w:tc>
          <w:tcPr>
            <w:tcW w:w="2046" w:type="dxa"/>
          </w:tcPr>
          <w:p w:rsidR="00317103" w:rsidRPr="00C754FC" w:rsidRDefault="00317103" w:rsidP="00317103">
            <w:pPr>
              <w:cnfStyle w:val="000000000000" w:firstRow="0" w:lastRow="0" w:firstColumn="0" w:lastColumn="0" w:oddVBand="0" w:evenVBand="0" w:oddHBand="0" w:evenHBand="0" w:firstRowFirstColumn="0" w:firstRowLastColumn="0" w:lastRowFirstColumn="0" w:lastRowLastColumn="0"/>
            </w:pPr>
            <w:r>
              <w:t>Lori Lee Barfield</w:t>
            </w:r>
          </w:p>
        </w:tc>
        <w:tc>
          <w:tcPr>
            <w:tcW w:w="1379" w:type="dxa"/>
            <w:gridSpan w:val="2"/>
          </w:tcPr>
          <w:p w:rsidR="00317103" w:rsidRPr="00C754FC" w:rsidRDefault="00317103" w:rsidP="00317103">
            <w:pPr>
              <w:cnfStyle w:val="000000000000" w:firstRow="0" w:lastRow="0" w:firstColumn="0" w:lastColumn="0" w:oddVBand="0" w:evenVBand="0" w:oddHBand="0" w:evenHBand="0" w:firstRowFirstColumn="0" w:firstRowLastColumn="0" w:lastRowFirstColumn="0" w:lastRowLastColumn="0"/>
            </w:pPr>
            <w:r>
              <w:t>Just Energy</w:t>
            </w:r>
          </w:p>
        </w:tc>
        <w:tc>
          <w:tcPr>
            <w:tcW w:w="2105" w:type="dxa"/>
          </w:tcPr>
          <w:p w:rsidR="00317103" w:rsidRPr="00C754FC" w:rsidRDefault="00317103" w:rsidP="00317103">
            <w:pPr>
              <w:cnfStyle w:val="000000000000" w:firstRow="0" w:lastRow="0" w:firstColumn="0" w:lastColumn="0" w:oddVBand="0" w:evenVBand="0" w:oddHBand="0" w:evenHBand="0" w:firstRowFirstColumn="0" w:firstRowLastColumn="0" w:lastRowFirstColumn="0" w:lastRowLastColumn="0"/>
            </w:pPr>
            <w:r>
              <w:t>Chris Hendrix</w:t>
            </w:r>
          </w:p>
        </w:tc>
        <w:tc>
          <w:tcPr>
            <w:tcW w:w="1785" w:type="dxa"/>
          </w:tcPr>
          <w:p w:rsidR="00317103" w:rsidRPr="00C754FC" w:rsidRDefault="00317103" w:rsidP="00317103">
            <w:pPr>
              <w:cnfStyle w:val="000000000000" w:firstRow="0" w:lastRow="0" w:firstColumn="0" w:lastColumn="0" w:oddVBand="0" w:evenVBand="0" w:oddHBand="0" w:evenHBand="0" w:firstRowFirstColumn="0" w:firstRowLastColumn="0" w:lastRowFirstColumn="0" w:lastRowLastColumn="0"/>
            </w:pPr>
            <w:r>
              <w:t>Demand Control</w:t>
            </w:r>
          </w:p>
        </w:tc>
      </w:tr>
      <w:tr w:rsidR="00317103" w:rsidTr="006B5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317103" w:rsidRDefault="00317103" w:rsidP="00317103">
            <w:pPr>
              <w:rPr>
                <w:b w:val="0"/>
              </w:rPr>
            </w:pPr>
            <w:r>
              <w:rPr>
                <w:b w:val="0"/>
              </w:rPr>
              <w:t>Adriana Martinez</w:t>
            </w:r>
          </w:p>
        </w:tc>
        <w:tc>
          <w:tcPr>
            <w:tcW w:w="1302" w:type="dxa"/>
          </w:tcPr>
          <w:p w:rsidR="00317103" w:rsidRDefault="00317103" w:rsidP="00317103">
            <w:pPr>
              <w:cnfStyle w:val="000000100000" w:firstRow="0" w:lastRow="0" w:firstColumn="0" w:lastColumn="0" w:oddVBand="0" w:evenVBand="0" w:oddHBand="1" w:evenHBand="0" w:firstRowFirstColumn="0" w:firstRowLastColumn="0" w:lastRowFirstColumn="0" w:lastRowLastColumn="0"/>
            </w:pPr>
            <w:r>
              <w:t>ERCOT</w:t>
            </w:r>
          </w:p>
        </w:tc>
        <w:tc>
          <w:tcPr>
            <w:tcW w:w="2046" w:type="dxa"/>
          </w:tcPr>
          <w:p w:rsidR="00317103" w:rsidRPr="00C754FC" w:rsidRDefault="00317103" w:rsidP="00317103">
            <w:pPr>
              <w:cnfStyle w:val="000000100000" w:firstRow="0" w:lastRow="0" w:firstColumn="0" w:lastColumn="0" w:oddVBand="0" w:evenVBand="0" w:oddHBand="1" w:evenHBand="0" w:firstRowFirstColumn="0" w:firstRowLastColumn="0" w:lastRowFirstColumn="0" w:lastRowLastColumn="0"/>
            </w:pPr>
            <w:r>
              <w:t>Marilyn Hudson</w:t>
            </w:r>
          </w:p>
        </w:tc>
        <w:tc>
          <w:tcPr>
            <w:tcW w:w="1379" w:type="dxa"/>
            <w:gridSpan w:val="2"/>
          </w:tcPr>
          <w:p w:rsidR="00317103" w:rsidRPr="00C754FC" w:rsidRDefault="00317103" w:rsidP="00317103">
            <w:pPr>
              <w:cnfStyle w:val="000000100000" w:firstRow="0" w:lastRow="0" w:firstColumn="0" w:lastColumn="0" w:oddVBand="0" w:evenVBand="0" w:oddHBand="1" w:evenHBand="0" w:firstRowFirstColumn="0" w:firstRowLastColumn="0" w:lastRowFirstColumn="0" w:lastRowLastColumn="0"/>
            </w:pPr>
            <w:r>
              <w:t>CNP</w:t>
            </w:r>
          </w:p>
        </w:tc>
        <w:tc>
          <w:tcPr>
            <w:tcW w:w="2105" w:type="dxa"/>
          </w:tcPr>
          <w:p w:rsidR="00317103" w:rsidRPr="00C754FC" w:rsidRDefault="00317103" w:rsidP="00317103">
            <w:pPr>
              <w:cnfStyle w:val="000000100000" w:firstRow="0" w:lastRow="0" w:firstColumn="0" w:lastColumn="0" w:oddVBand="0" w:evenVBand="0" w:oddHBand="1" w:evenHBand="0" w:firstRowFirstColumn="0" w:firstRowLastColumn="0" w:lastRowFirstColumn="0" w:lastRowLastColumn="0"/>
            </w:pPr>
            <w:r>
              <w:t>Emily Black Huynh</w:t>
            </w:r>
          </w:p>
        </w:tc>
        <w:tc>
          <w:tcPr>
            <w:tcW w:w="1785" w:type="dxa"/>
          </w:tcPr>
          <w:p w:rsidR="00317103" w:rsidRPr="00C754FC" w:rsidRDefault="00317103" w:rsidP="00317103">
            <w:pPr>
              <w:cnfStyle w:val="000000100000" w:firstRow="0" w:lastRow="0" w:firstColumn="0" w:lastColumn="0" w:oddVBand="0" w:evenVBand="0" w:oddHBand="1" w:evenHBand="0" w:firstRowFirstColumn="0" w:firstRowLastColumn="0" w:lastRowFirstColumn="0" w:lastRowLastColumn="0"/>
            </w:pPr>
            <w:r>
              <w:t>EDF</w:t>
            </w:r>
          </w:p>
        </w:tc>
      </w:tr>
      <w:tr w:rsidR="00317103" w:rsidTr="006B528F">
        <w:tc>
          <w:tcPr>
            <w:cnfStyle w:val="001000000000" w:firstRow="0" w:lastRow="0" w:firstColumn="1" w:lastColumn="0" w:oddVBand="0" w:evenVBand="0" w:oddHBand="0" w:evenHBand="0" w:firstRowFirstColumn="0" w:firstRowLastColumn="0" w:lastRowFirstColumn="0" w:lastRowLastColumn="0"/>
            <w:tcW w:w="2093" w:type="dxa"/>
          </w:tcPr>
          <w:p w:rsidR="00317103" w:rsidRDefault="00317103" w:rsidP="00317103">
            <w:pPr>
              <w:rPr>
                <w:b w:val="0"/>
              </w:rPr>
            </w:pPr>
            <w:r>
              <w:rPr>
                <w:b w:val="0"/>
              </w:rPr>
              <w:t>Debbie McKeever</w:t>
            </w:r>
          </w:p>
        </w:tc>
        <w:tc>
          <w:tcPr>
            <w:tcW w:w="1302" w:type="dxa"/>
          </w:tcPr>
          <w:p w:rsidR="00317103" w:rsidRDefault="00317103" w:rsidP="00317103">
            <w:pPr>
              <w:cnfStyle w:val="000000000000" w:firstRow="0" w:lastRow="0" w:firstColumn="0" w:lastColumn="0" w:oddVBand="0" w:evenVBand="0" w:oddHBand="0" w:evenHBand="0" w:firstRowFirstColumn="0" w:firstRowLastColumn="0" w:lastRowFirstColumn="0" w:lastRowLastColumn="0"/>
            </w:pPr>
            <w:r>
              <w:t>Oncor</w:t>
            </w:r>
          </w:p>
        </w:tc>
        <w:tc>
          <w:tcPr>
            <w:tcW w:w="2046" w:type="dxa"/>
          </w:tcPr>
          <w:p w:rsidR="00317103" w:rsidRPr="00C754FC" w:rsidRDefault="00317103" w:rsidP="00317103">
            <w:pPr>
              <w:cnfStyle w:val="000000000000" w:firstRow="0" w:lastRow="0" w:firstColumn="0" w:lastColumn="0" w:oddVBand="0" w:evenVBand="0" w:oddHBand="0" w:evenHBand="0" w:firstRowFirstColumn="0" w:firstRowLastColumn="0" w:lastRowFirstColumn="0" w:lastRowLastColumn="0"/>
            </w:pPr>
            <w:r>
              <w:t>Sonja Collins</w:t>
            </w:r>
          </w:p>
        </w:tc>
        <w:tc>
          <w:tcPr>
            <w:tcW w:w="1379" w:type="dxa"/>
            <w:gridSpan w:val="2"/>
          </w:tcPr>
          <w:p w:rsidR="00317103" w:rsidRPr="00C754FC" w:rsidRDefault="00317103" w:rsidP="00317103">
            <w:pPr>
              <w:cnfStyle w:val="000000000000" w:firstRow="0" w:lastRow="0" w:firstColumn="0" w:lastColumn="0" w:oddVBand="0" w:evenVBand="0" w:oddHBand="0" w:evenHBand="0" w:firstRowFirstColumn="0" w:firstRowLastColumn="0" w:lastRowFirstColumn="0" w:lastRowLastColumn="0"/>
            </w:pPr>
            <w:r>
              <w:t>CNP</w:t>
            </w:r>
          </w:p>
        </w:tc>
        <w:tc>
          <w:tcPr>
            <w:tcW w:w="2105" w:type="dxa"/>
          </w:tcPr>
          <w:p w:rsidR="00317103" w:rsidRPr="00C754FC" w:rsidRDefault="0002341D" w:rsidP="00317103">
            <w:pPr>
              <w:cnfStyle w:val="000000000000" w:firstRow="0" w:lastRow="0" w:firstColumn="0" w:lastColumn="0" w:oddVBand="0" w:evenVBand="0" w:oddHBand="0" w:evenHBand="0" w:firstRowFirstColumn="0" w:firstRowLastColumn="0" w:lastRowFirstColumn="0" w:lastRowLastColumn="0"/>
            </w:pPr>
            <w:r>
              <w:t xml:space="preserve">James </w:t>
            </w:r>
            <w:proofErr w:type="spellStart"/>
            <w:r>
              <w:t>Okenfuss</w:t>
            </w:r>
            <w:proofErr w:type="spellEnd"/>
          </w:p>
        </w:tc>
        <w:tc>
          <w:tcPr>
            <w:tcW w:w="1785" w:type="dxa"/>
          </w:tcPr>
          <w:p w:rsidR="00317103" w:rsidRPr="00C754FC" w:rsidRDefault="0002341D" w:rsidP="00317103">
            <w:pPr>
              <w:cnfStyle w:val="000000000000" w:firstRow="0" w:lastRow="0" w:firstColumn="0" w:lastColumn="0" w:oddVBand="0" w:evenVBand="0" w:oddHBand="0" w:evenHBand="0" w:firstRowFirstColumn="0" w:firstRowLastColumn="0" w:lastRowFirstColumn="0" w:lastRowLastColumn="0"/>
            </w:pPr>
            <w:r>
              <w:t>Savion</w:t>
            </w:r>
          </w:p>
        </w:tc>
      </w:tr>
      <w:tr w:rsidR="00317103" w:rsidTr="006B5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317103" w:rsidRPr="00C754FC" w:rsidRDefault="00317103" w:rsidP="00317103">
            <w:pPr>
              <w:rPr>
                <w:b w:val="0"/>
              </w:rPr>
            </w:pPr>
            <w:r>
              <w:rPr>
                <w:b w:val="0"/>
              </w:rPr>
              <w:t>Chris Rowley</w:t>
            </w:r>
          </w:p>
        </w:tc>
        <w:tc>
          <w:tcPr>
            <w:tcW w:w="1302" w:type="dxa"/>
          </w:tcPr>
          <w:p w:rsidR="00317103" w:rsidRPr="00C754FC" w:rsidRDefault="00317103" w:rsidP="00317103">
            <w:pPr>
              <w:cnfStyle w:val="000000100000" w:firstRow="0" w:lastRow="0" w:firstColumn="0" w:lastColumn="0" w:oddVBand="0" w:evenVBand="0" w:oddHBand="1" w:evenHBand="0" w:firstRowFirstColumn="0" w:firstRowLastColumn="0" w:lastRowFirstColumn="0" w:lastRowLastColumn="0"/>
            </w:pPr>
            <w:r>
              <w:t>Oncor</w:t>
            </w:r>
          </w:p>
        </w:tc>
        <w:tc>
          <w:tcPr>
            <w:tcW w:w="2046" w:type="dxa"/>
          </w:tcPr>
          <w:p w:rsidR="00317103" w:rsidRPr="00C754FC" w:rsidRDefault="00317103" w:rsidP="00317103">
            <w:pPr>
              <w:cnfStyle w:val="000000100000" w:firstRow="0" w:lastRow="0" w:firstColumn="0" w:lastColumn="0" w:oddVBand="0" w:evenVBand="0" w:oddHBand="1" w:evenHBand="0" w:firstRowFirstColumn="0" w:firstRowLastColumn="0" w:lastRowFirstColumn="0" w:lastRowLastColumn="0"/>
            </w:pPr>
            <w:r>
              <w:t>Anthony Johnson</w:t>
            </w:r>
          </w:p>
        </w:tc>
        <w:tc>
          <w:tcPr>
            <w:tcW w:w="1379" w:type="dxa"/>
            <w:gridSpan w:val="2"/>
          </w:tcPr>
          <w:p w:rsidR="00317103" w:rsidRPr="00C754FC" w:rsidRDefault="00317103" w:rsidP="00317103">
            <w:pPr>
              <w:cnfStyle w:val="000000100000" w:firstRow="0" w:lastRow="0" w:firstColumn="0" w:lastColumn="0" w:oddVBand="0" w:evenVBand="0" w:oddHBand="1" w:evenHBand="0" w:firstRowFirstColumn="0" w:firstRowLastColumn="0" w:lastRowFirstColumn="0" w:lastRowLastColumn="0"/>
            </w:pPr>
            <w:r>
              <w:t>CNP</w:t>
            </w:r>
          </w:p>
        </w:tc>
        <w:tc>
          <w:tcPr>
            <w:tcW w:w="2105" w:type="dxa"/>
          </w:tcPr>
          <w:p w:rsidR="00317103" w:rsidRPr="00C754FC" w:rsidRDefault="00585222" w:rsidP="00317103">
            <w:pPr>
              <w:cnfStyle w:val="000000100000" w:firstRow="0" w:lastRow="0" w:firstColumn="0" w:lastColumn="0" w:oddVBand="0" w:evenVBand="0" w:oddHBand="1" w:evenHBand="0" w:firstRowFirstColumn="0" w:firstRowLastColumn="0" w:lastRowFirstColumn="0" w:lastRowLastColumn="0"/>
            </w:pPr>
            <w:r>
              <w:t>Cynthia Morrow</w:t>
            </w:r>
          </w:p>
        </w:tc>
        <w:tc>
          <w:tcPr>
            <w:tcW w:w="1785" w:type="dxa"/>
          </w:tcPr>
          <w:p w:rsidR="00317103" w:rsidRPr="00C754FC" w:rsidRDefault="00585222" w:rsidP="00317103">
            <w:pPr>
              <w:cnfStyle w:val="000000100000" w:firstRow="0" w:lastRow="0" w:firstColumn="0" w:lastColumn="0" w:oddVBand="0" w:evenVBand="0" w:oddHBand="1" w:evenHBand="0" w:firstRowFirstColumn="0" w:firstRowLastColumn="0" w:lastRowFirstColumn="0" w:lastRowLastColumn="0"/>
            </w:pPr>
            <w:proofErr w:type="spellStart"/>
            <w:r>
              <w:t>Gexa</w:t>
            </w:r>
            <w:proofErr w:type="spellEnd"/>
          </w:p>
        </w:tc>
      </w:tr>
      <w:tr w:rsidR="00585222" w:rsidTr="006B528F">
        <w:tc>
          <w:tcPr>
            <w:cnfStyle w:val="001000000000" w:firstRow="0" w:lastRow="0" w:firstColumn="1" w:lastColumn="0" w:oddVBand="0" w:evenVBand="0" w:oddHBand="0" w:evenHBand="0" w:firstRowFirstColumn="0" w:firstRowLastColumn="0" w:lastRowFirstColumn="0" w:lastRowLastColumn="0"/>
            <w:tcW w:w="2093" w:type="dxa"/>
          </w:tcPr>
          <w:p w:rsidR="00585222" w:rsidRDefault="00585222" w:rsidP="00585222">
            <w:pPr>
              <w:rPr>
                <w:b w:val="0"/>
              </w:rPr>
            </w:pPr>
            <w:r>
              <w:rPr>
                <w:b w:val="0"/>
              </w:rPr>
              <w:t>Sam Pak</w:t>
            </w:r>
          </w:p>
        </w:tc>
        <w:tc>
          <w:tcPr>
            <w:tcW w:w="1302" w:type="dxa"/>
          </w:tcPr>
          <w:p w:rsidR="00585222" w:rsidRDefault="00585222" w:rsidP="00585222">
            <w:pPr>
              <w:cnfStyle w:val="000000000000" w:firstRow="0" w:lastRow="0" w:firstColumn="0" w:lastColumn="0" w:oddVBand="0" w:evenVBand="0" w:oddHBand="0" w:evenHBand="0" w:firstRowFirstColumn="0" w:firstRowLastColumn="0" w:lastRowFirstColumn="0" w:lastRowLastColumn="0"/>
            </w:pPr>
            <w:r>
              <w:t>Oncor</w:t>
            </w:r>
          </w:p>
        </w:tc>
        <w:tc>
          <w:tcPr>
            <w:tcW w:w="2046" w:type="dxa"/>
          </w:tcPr>
          <w:p w:rsidR="00585222" w:rsidRPr="00C754FC" w:rsidRDefault="00585222" w:rsidP="00585222">
            <w:pPr>
              <w:cnfStyle w:val="000000000000" w:firstRow="0" w:lastRow="0" w:firstColumn="0" w:lastColumn="0" w:oddVBand="0" w:evenVBand="0" w:oddHBand="0" w:evenHBand="0" w:firstRowFirstColumn="0" w:firstRowLastColumn="0" w:lastRowFirstColumn="0" w:lastRowLastColumn="0"/>
            </w:pPr>
            <w:r>
              <w:t>Alberto Lopez</w:t>
            </w:r>
          </w:p>
        </w:tc>
        <w:tc>
          <w:tcPr>
            <w:tcW w:w="1379" w:type="dxa"/>
            <w:gridSpan w:val="2"/>
          </w:tcPr>
          <w:p w:rsidR="00585222" w:rsidRPr="00C754FC" w:rsidRDefault="00585222" w:rsidP="00585222">
            <w:pPr>
              <w:cnfStyle w:val="000000000000" w:firstRow="0" w:lastRow="0" w:firstColumn="0" w:lastColumn="0" w:oddVBand="0" w:evenVBand="0" w:oddHBand="0" w:evenHBand="0" w:firstRowFirstColumn="0" w:firstRowLastColumn="0" w:lastRowFirstColumn="0" w:lastRowLastColumn="0"/>
            </w:pPr>
            <w:r>
              <w:t>CNP</w:t>
            </w:r>
          </w:p>
        </w:tc>
        <w:tc>
          <w:tcPr>
            <w:tcW w:w="2105" w:type="dxa"/>
          </w:tcPr>
          <w:p w:rsidR="00585222" w:rsidRPr="00C754FC" w:rsidRDefault="00585222" w:rsidP="00585222">
            <w:pPr>
              <w:cnfStyle w:val="000000000000" w:firstRow="0" w:lastRow="0" w:firstColumn="0" w:lastColumn="0" w:oddVBand="0" w:evenVBand="0" w:oddHBand="0" w:evenHBand="0" w:firstRowFirstColumn="0" w:firstRowLastColumn="0" w:lastRowFirstColumn="0" w:lastRowLastColumn="0"/>
            </w:pPr>
            <w:r>
              <w:t>Teri Wilson Lester</w:t>
            </w:r>
          </w:p>
        </w:tc>
        <w:tc>
          <w:tcPr>
            <w:tcW w:w="1785" w:type="dxa"/>
          </w:tcPr>
          <w:p w:rsidR="00585222" w:rsidRPr="00C754FC" w:rsidRDefault="00585222" w:rsidP="00585222">
            <w:pPr>
              <w:cnfStyle w:val="000000000000" w:firstRow="0" w:lastRow="0" w:firstColumn="0" w:lastColumn="0" w:oddVBand="0" w:evenVBand="0" w:oddHBand="0" w:evenHBand="0" w:firstRowFirstColumn="0" w:firstRowLastColumn="0" w:lastRowFirstColumn="0" w:lastRowLastColumn="0"/>
            </w:pPr>
            <w:r>
              <w:t>?</w:t>
            </w:r>
          </w:p>
        </w:tc>
      </w:tr>
      <w:tr w:rsidR="00585222" w:rsidTr="006B5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85222" w:rsidRDefault="00585222" w:rsidP="00585222">
            <w:pPr>
              <w:rPr>
                <w:b w:val="0"/>
              </w:rPr>
            </w:pPr>
            <w:r>
              <w:rPr>
                <w:b w:val="0"/>
              </w:rPr>
              <w:t>Kyle Patrick</w:t>
            </w:r>
          </w:p>
        </w:tc>
        <w:tc>
          <w:tcPr>
            <w:tcW w:w="1302" w:type="dxa"/>
          </w:tcPr>
          <w:p w:rsidR="00585222" w:rsidRDefault="00585222" w:rsidP="00585222">
            <w:pPr>
              <w:cnfStyle w:val="000000100000" w:firstRow="0" w:lastRow="0" w:firstColumn="0" w:lastColumn="0" w:oddVBand="0" w:evenVBand="0" w:oddHBand="1" w:evenHBand="0" w:firstRowFirstColumn="0" w:firstRowLastColumn="0" w:lastRowFirstColumn="0" w:lastRowLastColumn="0"/>
            </w:pPr>
            <w:r>
              <w:t>NRG</w:t>
            </w:r>
          </w:p>
        </w:tc>
        <w:tc>
          <w:tcPr>
            <w:tcW w:w="2046" w:type="dxa"/>
          </w:tcPr>
          <w:p w:rsidR="00585222" w:rsidRPr="00C754FC" w:rsidRDefault="00585222" w:rsidP="00585222">
            <w:pPr>
              <w:cnfStyle w:val="000000100000" w:firstRow="0" w:lastRow="0" w:firstColumn="0" w:lastColumn="0" w:oddVBand="0" w:evenVBand="0" w:oddHBand="1" w:evenHBand="0" w:firstRowFirstColumn="0" w:firstRowLastColumn="0" w:lastRowFirstColumn="0" w:lastRowLastColumn="0"/>
            </w:pPr>
            <w:r>
              <w:t>Chris Dominguez</w:t>
            </w:r>
          </w:p>
        </w:tc>
        <w:tc>
          <w:tcPr>
            <w:tcW w:w="1379" w:type="dxa"/>
            <w:gridSpan w:val="2"/>
          </w:tcPr>
          <w:p w:rsidR="00585222" w:rsidRPr="00C754FC" w:rsidRDefault="00585222" w:rsidP="00585222">
            <w:pPr>
              <w:cnfStyle w:val="000000100000" w:firstRow="0" w:lastRow="0" w:firstColumn="0" w:lastColumn="0" w:oddVBand="0" w:evenVBand="0" w:oddHBand="1" w:evenHBand="0" w:firstRowFirstColumn="0" w:firstRowLastColumn="0" w:lastRowFirstColumn="0" w:lastRowLastColumn="0"/>
            </w:pPr>
            <w:r>
              <w:t>CNP</w:t>
            </w:r>
          </w:p>
        </w:tc>
        <w:tc>
          <w:tcPr>
            <w:tcW w:w="2105" w:type="dxa"/>
          </w:tcPr>
          <w:p w:rsidR="00585222" w:rsidRPr="00C754FC" w:rsidRDefault="00585222" w:rsidP="00585222">
            <w:pPr>
              <w:cnfStyle w:val="000000100000" w:firstRow="0" w:lastRow="0" w:firstColumn="0" w:lastColumn="0" w:oddVBand="0" w:evenVBand="0" w:oddHBand="1" w:evenHBand="0" w:firstRowFirstColumn="0" w:firstRowLastColumn="0" w:lastRowFirstColumn="0" w:lastRowLastColumn="0"/>
            </w:pPr>
            <w:r>
              <w:t>Eric Goff</w:t>
            </w:r>
          </w:p>
        </w:tc>
        <w:tc>
          <w:tcPr>
            <w:tcW w:w="1785" w:type="dxa"/>
          </w:tcPr>
          <w:p w:rsidR="00585222" w:rsidRPr="00C754FC" w:rsidRDefault="00585222" w:rsidP="00585222">
            <w:pPr>
              <w:cnfStyle w:val="000000100000" w:firstRow="0" w:lastRow="0" w:firstColumn="0" w:lastColumn="0" w:oddVBand="0" w:evenVBand="0" w:oddHBand="1" w:evenHBand="0" w:firstRowFirstColumn="0" w:firstRowLastColumn="0" w:lastRowFirstColumn="0" w:lastRowLastColumn="0"/>
            </w:pPr>
          </w:p>
        </w:tc>
      </w:tr>
      <w:tr w:rsidR="00585222" w:rsidTr="006B528F">
        <w:tc>
          <w:tcPr>
            <w:cnfStyle w:val="001000000000" w:firstRow="0" w:lastRow="0" w:firstColumn="1" w:lastColumn="0" w:oddVBand="0" w:evenVBand="0" w:oddHBand="0" w:evenHBand="0" w:firstRowFirstColumn="0" w:firstRowLastColumn="0" w:lastRowFirstColumn="0" w:lastRowLastColumn="0"/>
            <w:tcW w:w="2093" w:type="dxa"/>
          </w:tcPr>
          <w:p w:rsidR="00585222" w:rsidRPr="00BF6A9F" w:rsidRDefault="00585222" w:rsidP="00585222">
            <w:pPr>
              <w:rPr>
                <w:b w:val="0"/>
              </w:rPr>
            </w:pPr>
            <w:r w:rsidRPr="00BF6A9F">
              <w:rPr>
                <w:b w:val="0"/>
              </w:rPr>
              <w:t>Norm Levine</w:t>
            </w:r>
          </w:p>
        </w:tc>
        <w:tc>
          <w:tcPr>
            <w:tcW w:w="1302" w:type="dxa"/>
          </w:tcPr>
          <w:p w:rsidR="00585222" w:rsidRPr="00C754FC" w:rsidRDefault="00585222" w:rsidP="00585222">
            <w:pPr>
              <w:cnfStyle w:val="000000000000" w:firstRow="0" w:lastRow="0" w:firstColumn="0" w:lastColumn="0" w:oddVBand="0" w:evenVBand="0" w:oddHBand="0" w:evenHBand="0" w:firstRowFirstColumn="0" w:firstRowLastColumn="0" w:lastRowFirstColumn="0" w:lastRowLastColumn="0"/>
            </w:pPr>
            <w:r>
              <w:t>NRG</w:t>
            </w:r>
          </w:p>
        </w:tc>
        <w:tc>
          <w:tcPr>
            <w:tcW w:w="2046" w:type="dxa"/>
          </w:tcPr>
          <w:p w:rsidR="00585222" w:rsidRPr="00C754FC" w:rsidRDefault="00585222" w:rsidP="00585222">
            <w:pPr>
              <w:cnfStyle w:val="000000000000" w:firstRow="0" w:lastRow="0" w:firstColumn="0" w:lastColumn="0" w:oddVBand="0" w:evenVBand="0" w:oddHBand="0" w:evenHBand="0" w:firstRowFirstColumn="0" w:firstRowLastColumn="0" w:lastRowFirstColumn="0" w:lastRowLastColumn="0"/>
            </w:pPr>
            <w:r>
              <w:t>Kathy Scott</w:t>
            </w:r>
          </w:p>
        </w:tc>
        <w:tc>
          <w:tcPr>
            <w:tcW w:w="1379" w:type="dxa"/>
            <w:gridSpan w:val="2"/>
          </w:tcPr>
          <w:p w:rsidR="00585222" w:rsidRPr="00C754FC" w:rsidRDefault="00585222" w:rsidP="00585222">
            <w:pPr>
              <w:cnfStyle w:val="000000000000" w:firstRow="0" w:lastRow="0" w:firstColumn="0" w:lastColumn="0" w:oddVBand="0" w:evenVBand="0" w:oddHBand="0" w:evenHBand="0" w:firstRowFirstColumn="0" w:firstRowLastColumn="0" w:lastRowFirstColumn="0" w:lastRowLastColumn="0"/>
            </w:pPr>
            <w:r>
              <w:t>CNP</w:t>
            </w:r>
          </w:p>
        </w:tc>
        <w:tc>
          <w:tcPr>
            <w:tcW w:w="2105" w:type="dxa"/>
          </w:tcPr>
          <w:p w:rsidR="00585222" w:rsidRPr="00C754FC" w:rsidRDefault="00585222" w:rsidP="00585222">
            <w:pPr>
              <w:cnfStyle w:val="000000000000" w:firstRow="0" w:lastRow="0" w:firstColumn="0" w:lastColumn="0" w:oddVBand="0" w:evenVBand="0" w:oddHBand="0" w:evenHBand="0" w:firstRowFirstColumn="0" w:firstRowLastColumn="0" w:lastRowFirstColumn="0" w:lastRowLastColumn="0"/>
            </w:pPr>
            <w:r>
              <w:t>Brad Bell</w:t>
            </w:r>
          </w:p>
        </w:tc>
        <w:tc>
          <w:tcPr>
            <w:tcW w:w="1785" w:type="dxa"/>
          </w:tcPr>
          <w:p w:rsidR="00585222" w:rsidRPr="00C754FC" w:rsidRDefault="00585222" w:rsidP="00585222">
            <w:pPr>
              <w:cnfStyle w:val="000000000000" w:firstRow="0" w:lastRow="0" w:firstColumn="0" w:lastColumn="0" w:oddVBand="0" w:evenVBand="0" w:oddHBand="0" w:evenHBand="0" w:firstRowFirstColumn="0" w:firstRowLastColumn="0" w:lastRowFirstColumn="0" w:lastRowLastColumn="0"/>
            </w:pPr>
            <w:r>
              <w:t>?</w:t>
            </w:r>
          </w:p>
        </w:tc>
      </w:tr>
      <w:tr w:rsidR="00585222" w:rsidTr="006B5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85222" w:rsidRPr="00BF6A9F" w:rsidRDefault="00585222" w:rsidP="00585222">
            <w:pPr>
              <w:rPr>
                <w:b w:val="0"/>
              </w:rPr>
            </w:pPr>
            <w:r w:rsidRPr="00BF6A9F">
              <w:rPr>
                <w:b w:val="0"/>
              </w:rPr>
              <w:t>Angela Ghormley</w:t>
            </w:r>
          </w:p>
        </w:tc>
        <w:tc>
          <w:tcPr>
            <w:tcW w:w="1302" w:type="dxa"/>
          </w:tcPr>
          <w:p w:rsidR="00585222" w:rsidRPr="00C754FC" w:rsidRDefault="00585222" w:rsidP="00585222">
            <w:pPr>
              <w:cnfStyle w:val="000000100000" w:firstRow="0" w:lastRow="0" w:firstColumn="0" w:lastColumn="0" w:oddVBand="0" w:evenVBand="0" w:oddHBand="1" w:evenHBand="0" w:firstRowFirstColumn="0" w:firstRowLastColumn="0" w:lastRowFirstColumn="0" w:lastRowLastColumn="0"/>
            </w:pPr>
            <w:r>
              <w:t>Calpine</w:t>
            </w:r>
          </w:p>
        </w:tc>
        <w:tc>
          <w:tcPr>
            <w:tcW w:w="2046" w:type="dxa"/>
          </w:tcPr>
          <w:p w:rsidR="00585222" w:rsidRPr="00C754FC" w:rsidRDefault="00585222" w:rsidP="00585222">
            <w:pPr>
              <w:cnfStyle w:val="000000100000" w:firstRow="0" w:lastRow="0" w:firstColumn="0" w:lastColumn="0" w:oddVBand="0" w:evenVBand="0" w:oddHBand="1" w:evenHBand="0" w:firstRowFirstColumn="0" w:firstRowLastColumn="0" w:lastRowFirstColumn="0" w:lastRowLastColumn="0"/>
            </w:pPr>
            <w:r>
              <w:t>Carolyn Reed</w:t>
            </w:r>
          </w:p>
        </w:tc>
        <w:tc>
          <w:tcPr>
            <w:tcW w:w="1379" w:type="dxa"/>
            <w:gridSpan w:val="2"/>
          </w:tcPr>
          <w:p w:rsidR="00585222" w:rsidRPr="00C754FC" w:rsidRDefault="00585222" w:rsidP="00585222">
            <w:pPr>
              <w:cnfStyle w:val="000000100000" w:firstRow="0" w:lastRow="0" w:firstColumn="0" w:lastColumn="0" w:oddVBand="0" w:evenVBand="0" w:oddHBand="1" w:evenHBand="0" w:firstRowFirstColumn="0" w:firstRowLastColumn="0" w:lastRowFirstColumn="0" w:lastRowLastColumn="0"/>
            </w:pPr>
            <w:r>
              <w:t>CNP</w:t>
            </w:r>
          </w:p>
        </w:tc>
        <w:tc>
          <w:tcPr>
            <w:tcW w:w="2105" w:type="dxa"/>
          </w:tcPr>
          <w:p w:rsidR="00585222" w:rsidRPr="00C754FC" w:rsidRDefault="00585222" w:rsidP="00585222">
            <w:pPr>
              <w:cnfStyle w:val="000000100000" w:firstRow="0" w:lastRow="0" w:firstColumn="0" w:lastColumn="0" w:oddVBand="0" w:evenVBand="0" w:oddHBand="1" w:evenHBand="0" w:firstRowFirstColumn="0" w:firstRowLastColumn="0" w:lastRowFirstColumn="0" w:lastRowLastColumn="0"/>
            </w:pPr>
            <w:r>
              <w:t xml:space="preserve">Malcolm </w:t>
            </w:r>
            <w:proofErr w:type="spellStart"/>
            <w:r>
              <w:t>Ainspan</w:t>
            </w:r>
            <w:proofErr w:type="spellEnd"/>
          </w:p>
        </w:tc>
        <w:tc>
          <w:tcPr>
            <w:tcW w:w="1785" w:type="dxa"/>
          </w:tcPr>
          <w:p w:rsidR="00585222" w:rsidRPr="00C754FC" w:rsidRDefault="00585222" w:rsidP="00585222">
            <w:pPr>
              <w:cnfStyle w:val="000000100000" w:firstRow="0" w:lastRow="0" w:firstColumn="0" w:lastColumn="0" w:oddVBand="0" w:evenVBand="0" w:oddHBand="1" w:evenHBand="0" w:firstRowFirstColumn="0" w:firstRowLastColumn="0" w:lastRowFirstColumn="0" w:lastRowLastColumn="0"/>
            </w:pPr>
            <w:r>
              <w:t>?</w:t>
            </w:r>
          </w:p>
        </w:tc>
      </w:tr>
      <w:tr w:rsidR="00585222" w:rsidTr="006B528F">
        <w:tc>
          <w:tcPr>
            <w:cnfStyle w:val="001000000000" w:firstRow="0" w:lastRow="0" w:firstColumn="1" w:lastColumn="0" w:oddVBand="0" w:evenVBand="0" w:oddHBand="0" w:evenHBand="0" w:firstRowFirstColumn="0" w:firstRowLastColumn="0" w:lastRowFirstColumn="0" w:lastRowLastColumn="0"/>
            <w:tcW w:w="2093" w:type="dxa"/>
          </w:tcPr>
          <w:p w:rsidR="00585222" w:rsidRDefault="00585222" w:rsidP="00585222">
            <w:pPr>
              <w:rPr>
                <w:b w:val="0"/>
              </w:rPr>
            </w:pPr>
            <w:r>
              <w:rPr>
                <w:b w:val="0"/>
              </w:rPr>
              <w:t xml:space="preserve">Scott Smith </w:t>
            </w:r>
          </w:p>
        </w:tc>
        <w:tc>
          <w:tcPr>
            <w:tcW w:w="1302" w:type="dxa"/>
          </w:tcPr>
          <w:p w:rsidR="00585222" w:rsidRDefault="00585222" w:rsidP="00585222">
            <w:pPr>
              <w:cnfStyle w:val="000000000000" w:firstRow="0" w:lastRow="0" w:firstColumn="0" w:lastColumn="0" w:oddVBand="0" w:evenVBand="0" w:oddHBand="0" w:evenHBand="0" w:firstRowFirstColumn="0" w:firstRowLastColumn="0" w:lastRowFirstColumn="0" w:lastRowLastColumn="0"/>
            </w:pPr>
            <w:r>
              <w:t>Tenaska</w:t>
            </w:r>
          </w:p>
        </w:tc>
        <w:tc>
          <w:tcPr>
            <w:tcW w:w="2046" w:type="dxa"/>
          </w:tcPr>
          <w:p w:rsidR="00585222" w:rsidRPr="00C754FC" w:rsidRDefault="00585222" w:rsidP="00585222">
            <w:pPr>
              <w:cnfStyle w:val="000000000000" w:firstRow="0" w:lastRow="0" w:firstColumn="0" w:lastColumn="0" w:oddVBand="0" w:evenVBand="0" w:oddHBand="0" w:evenHBand="0" w:firstRowFirstColumn="0" w:firstRowLastColumn="0" w:lastRowFirstColumn="0" w:lastRowLastColumn="0"/>
            </w:pPr>
            <w:r>
              <w:t>Jill Bell</w:t>
            </w:r>
          </w:p>
        </w:tc>
        <w:tc>
          <w:tcPr>
            <w:tcW w:w="1379" w:type="dxa"/>
            <w:gridSpan w:val="2"/>
          </w:tcPr>
          <w:p w:rsidR="00585222" w:rsidRPr="00C754FC" w:rsidRDefault="00585222" w:rsidP="00585222">
            <w:pPr>
              <w:cnfStyle w:val="000000000000" w:firstRow="0" w:lastRow="0" w:firstColumn="0" w:lastColumn="0" w:oddVBand="0" w:evenVBand="0" w:oddHBand="0" w:evenHBand="0" w:firstRowFirstColumn="0" w:firstRowLastColumn="0" w:lastRowFirstColumn="0" w:lastRowLastColumn="0"/>
            </w:pPr>
            <w:r>
              <w:t>CNP</w:t>
            </w:r>
          </w:p>
        </w:tc>
        <w:tc>
          <w:tcPr>
            <w:tcW w:w="2105" w:type="dxa"/>
          </w:tcPr>
          <w:p w:rsidR="00585222" w:rsidRDefault="00585222" w:rsidP="00585222">
            <w:pPr>
              <w:cnfStyle w:val="000000000000" w:firstRow="0" w:lastRow="0" w:firstColumn="0" w:lastColumn="0" w:oddVBand="0" w:evenVBand="0" w:oddHBand="0" w:evenHBand="0" w:firstRowFirstColumn="0" w:firstRowLastColumn="0" w:lastRowFirstColumn="0" w:lastRowLastColumn="0"/>
              <w:rPr>
                <w:b/>
              </w:rPr>
            </w:pPr>
            <w:r>
              <w:t>Sheri Wiegand</w:t>
            </w:r>
          </w:p>
        </w:tc>
        <w:tc>
          <w:tcPr>
            <w:tcW w:w="1785" w:type="dxa"/>
          </w:tcPr>
          <w:p w:rsidR="00585222" w:rsidRDefault="00585222" w:rsidP="00585222">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r>
      <w:tr w:rsidR="00585222" w:rsidTr="006B5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85222" w:rsidRPr="00BF6A9F" w:rsidRDefault="00585222" w:rsidP="00585222">
            <w:pPr>
              <w:rPr>
                <w:b w:val="0"/>
              </w:rPr>
            </w:pPr>
            <w:r>
              <w:rPr>
                <w:b w:val="0"/>
              </w:rPr>
              <w:t>Kim Rainwater</w:t>
            </w:r>
          </w:p>
        </w:tc>
        <w:tc>
          <w:tcPr>
            <w:tcW w:w="1302" w:type="dxa"/>
          </w:tcPr>
          <w:p w:rsidR="00585222" w:rsidRPr="00C754FC" w:rsidRDefault="00585222" w:rsidP="00585222">
            <w:pPr>
              <w:cnfStyle w:val="000000100000" w:firstRow="0" w:lastRow="0" w:firstColumn="0" w:lastColumn="0" w:oddVBand="0" w:evenVBand="0" w:oddHBand="1" w:evenHBand="0" w:firstRowFirstColumn="0" w:firstRowLastColumn="0" w:lastRowFirstColumn="0" w:lastRowLastColumn="0"/>
            </w:pPr>
            <w:r>
              <w:t>LCRA</w:t>
            </w:r>
          </w:p>
        </w:tc>
        <w:tc>
          <w:tcPr>
            <w:tcW w:w="2046" w:type="dxa"/>
          </w:tcPr>
          <w:p w:rsidR="00585222" w:rsidRPr="00BF6A9F" w:rsidRDefault="00585222" w:rsidP="00585222">
            <w:pPr>
              <w:cnfStyle w:val="000000100000" w:firstRow="0" w:lastRow="0" w:firstColumn="0" w:lastColumn="0" w:oddVBand="0" w:evenVBand="0" w:oddHBand="1" w:evenHBand="0" w:firstRowFirstColumn="0" w:firstRowLastColumn="0" w:lastRowFirstColumn="0" w:lastRowLastColumn="0"/>
            </w:pPr>
            <w:r w:rsidRPr="00BF6A9F">
              <w:t>Deb Belin</w:t>
            </w:r>
          </w:p>
        </w:tc>
        <w:tc>
          <w:tcPr>
            <w:tcW w:w="1379" w:type="dxa"/>
            <w:gridSpan w:val="2"/>
          </w:tcPr>
          <w:p w:rsidR="00585222" w:rsidRPr="00C754FC" w:rsidRDefault="00585222" w:rsidP="00585222">
            <w:pPr>
              <w:cnfStyle w:val="000000100000" w:firstRow="0" w:lastRow="0" w:firstColumn="0" w:lastColumn="0" w:oddVBand="0" w:evenVBand="0" w:oddHBand="1" w:evenHBand="0" w:firstRowFirstColumn="0" w:firstRowLastColumn="0" w:lastRowFirstColumn="0" w:lastRowLastColumn="0"/>
            </w:pPr>
            <w:r>
              <w:t>Marketwise</w:t>
            </w:r>
          </w:p>
        </w:tc>
        <w:tc>
          <w:tcPr>
            <w:tcW w:w="2105" w:type="dxa"/>
          </w:tcPr>
          <w:p w:rsidR="00585222" w:rsidRDefault="00585222" w:rsidP="00585222">
            <w:pPr>
              <w:cnfStyle w:val="000000100000" w:firstRow="0" w:lastRow="0" w:firstColumn="0" w:lastColumn="0" w:oddVBand="0" w:evenVBand="0" w:oddHBand="1" w:evenHBand="0" w:firstRowFirstColumn="0" w:firstRowLastColumn="0" w:lastRowFirstColumn="0" w:lastRowLastColumn="0"/>
              <w:rPr>
                <w:b/>
              </w:rPr>
            </w:pPr>
            <w:r>
              <w:t>John Schatz</w:t>
            </w:r>
          </w:p>
        </w:tc>
        <w:tc>
          <w:tcPr>
            <w:tcW w:w="1785" w:type="dxa"/>
          </w:tcPr>
          <w:p w:rsidR="00585222" w:rsidRDefault="00585222" w:rsidP="00585222">
            <w:pPr>
              <w:cnfStyle w:val="000000100000" w:firstRow="0" w:lastRow="0" w:firstColumn="0" w:lastColumn="0" w:oddVBand="0" w:evenVBand="0" w:oddHBand="1" w:evenHBand="0" w:firstRowFirstColumn="0" w:firstRowLastColumn="0" w:lastRowFirstColumn="0" w:lastRowLastColumn="0"/>
            </w:pPr>
            <w:proofErr w:type="spellStart"/>
            <w:r>
              <w:t>Vistra</w:t>
            </w:r>
            <w:proofErr w:type="spellEnd"/>
          </w:p>
        </w:tc>
      </w:tr>
      <w:tr w:rsidR="00585222" w:rsidTr="006B528F">
        <w:tc>
          <w:tcPr>
            <w:cnfStyle w:val="001000000000" w:firstRow="0" w:lastRow="0" w:firstColumn="1" w:lastColumn="0" w:oddVBand="0" w:evenVBand="0" w:oddHBand="0" w:evenHBand="0" w:firstRowFirstColumn="0" w:firstRowLastColumn="0" w:lastRowFirstColumn="0" w:lastRowLastColumn="0"/>
            <w:tcW w:w="2093" w:type="dxa"/>
          </w:tcPr>
          <w:p w:rsidR="00585222" w:rsidRPr="00BF6A9F" w:rsidRDefault="00585222" w:rsidP="00585222">
            <w:pPr>
              <w:rPr>
                <w:b w:val="0"/>
              </w:rPr>
            </w:pPr>
          </w:p>
        </w:tc>
        <w:tc>
          <w:tcPr>
            <w:tcW w:w="1302" w:type="dxa"/>
          </w:tcPr>
          <w:p w:rsidR="00585222" w:rsidRPr="00C754FC" w:rsidRDefault="00585222" w:rsidP="00585222">
            <w:pPr>
              <w:cnfStyle w:val="000000000000" w:firstRow="0" w:lastRow="0" w:firstColumn="0" w:lastColumn="0" w:oddVBand="0" w:evenVBand="0" w:oddHBand="0" w:evenHBand="0" w:firstRowFirstColumn="0" w:firstRowLastColumn="0" w:lastRowFirstColumn="0" w:lastRowLastColumn="0"/>
            </w:pPr>
          </w:p>
        </w:tc>
        <w:tc>
          <w:tcPr>
            <w:tcW w:w="2046" w:type="dxa"/>
          </w:tcPr>
          <w:p w:rsidR="00585222" w:rsidRPr="00BF6A9F" w:rsidRDefault="00585222" w:rsidP="00585222">
            <w:pPr>
              <w:cnfStyle w:val="000000000000" w:firstRow="0" w:lastRow="0" w:firstColumn="0" w:lastColumn="0" w:oddVBand="0" w:evenVBand="0" w:oddHBand="0" w:evenHBand="0" w:firstRowFirstColumn="0" w:firstRowLastColumn="0" w:lastRowFirstColumn="0" w:lastRowLastColumn="0"/>
            </w:pPr>
          </w:p>
        </w:tc>
        <w:tc>
          <w:tcPr>
            <w:tcW w:w="1379" w:type="dxa"/>
            <w:gridSpan w:val="2"/>
          </w:tcPr>
          <w:p w:rsidR="00585222" w:rsidRPr="00C754FC" w:rsidRDefault="00585222" w:rsidP="00585222">
            <w:pPr>
              <w:cnfStyle w:val="000000000000" w:firstRow="0" w:lastRow="0" w:firstColumn="0" w:lastColumn="0" w:oddVBand="0" w:evenVBand="0" w:oddHBand="0" w:evenHBand="0" w:firstRowFirstColumn="0" w:firstRowLastColumn="0" w:lastRowFirstColumn="0" w:lastRowLastColumn="0"/>
            </w:pPr>
          </w:p>
        </w:tc>
        <w:tc>
          <w:tcPr>
            <w:tcW w:w="2105" w:type="dxa"/>
          </w:tcPr>
          <w:p w:rsidR="00585222" w:rsidRDefault="00585222" w:rsidP="00585222">
            <w:pPr>
              <w:cnfStyle w:val="000000000000" w:firstRow="0" w:lastRow="0" w:firstColumn="0" w:lastColumn="0" w:oddVBand="0" w:evenVBand="0" w:oddHBand="0" w:evenHBand="0" w:firstRowFirstColumn="0" w:firstRowLastColumn="0" w:lastRowFirstColumn="0" w:lastRowLastColumn="0"/>
              <w:rPr>
                <w:b/>
              </w:rPr>
            </w:pPr>
          </w:p>
        </w:tc>
        <w:tc>
          <w:tcPr>
            <w:tcW w:w="1785" w:type="dxa"/>
          </w:tcPr>
          <w:p w:rsidR="00585222" w:rsidRDefault="00585222" w:rsidP="00585222">
            <w:pPr>
              <w:cnfStyle w:val="000000000000" w:firstRow="0" w:lastRow="0" w:firstColumn="0" w:lastColumn="0" w:oddVBand="0" w:evenVBand="0" w:oddHBand="0" w:evenHBand="0" w:firstRowFirstColumn="0" w:firstRowLastColumn="0" w:lastRowFirstColumn="0" w:lastRowLastColumn="0"/>
            </w:pPr>
          </w:p>
        </w:tc>
      </w:tr>
    </w:tbl>
    <w:p w:rsidR="00C754FC" w:rsidRDefault="00C754FC">
      <w:pPr>
        <w:rPr>
          <w:b/>
          <w:sz w:val="28"/>
          <w:szCs w:val="28"/>
        </w:rPr>
      </w:pPr>
    </w:p>
    <w:p w:rsidR="00A74D4D" w:rsidRDefault="001C3C84">
      <w:r>
        <w:t>Jim Lee opened the meeting reading the Antitrust Admonition.</w:t>
      </w:r>
    </w:p>
    <w:p w:rsidR="00585222" w:rsidRDefault="002C43FA" w:rsidP="009133A5">
      <w:r>
        <w:t xml:space="preserve">Meeting minutes from </w:t>
      </w:r>
      <w:r w:rsidR="00585222">
        <w:t>June 29th were approved.</w:t>
      </w:r>
    </w:p>
    <w:p w:rsidR="00585222" w:rsidRDefault="00585222" w:rsidP="009133A5"/>
    <w:p w:rsidR="001C3C84" w:rsidRPr="009133A5" w:rsidRDefault="009133A5" w:rsidP="009133A5">
      <w:pPr>
        <w:rPr>
          <w:b/>
          <w:u w:val="single"/>
        </w:rPr>
      </w:pPr>
      <w:r w:rsidRPr="009133A5">
        <w:rPr>
          <w:b/>
          <w:u w:val="single"/>
        </w:rPr>
        <w:t xml:space="preserve">Emergency Conditions List </w:t>
      </w:r>
      <w:r w:rsidR="00C95221">
        <w:rPr>
          <w:b/>
          <w:u w:val="single"/>
        </w:rPr>
        <w:t>(ECL)</w:t>
      </w:r>
    </w:p>
    <w:p w:rsidR="00C95221" w:rsidRDefault="00585222" w:rsidP="001C3C84">
      <w:r>
        <w:t xml:space="preserve">Jim </w:t>
      </w:r>
      <w:r w:rsidR="001C3C84">
        <w:t xml:space="preserve">reviewed the attached </w:t>
      </w:r>
      <w:r w:rsidR="00C95221">
        <w:t>ECL noting status of each item</w:t>
      </w:r>
      <w:r w:rsidR="003651AD">
        <w:t xml:space="preserve"> and what is to be presented to TAC</w:t>
      </w:r>
      <w:r w:rsidR="00C95221">
        <w:t>.  A few notables:</w:t>
      </w:r>
    </w:p>
    <w:p w:rsidR="00093FCD" w:rsidRDefault="00093FCD" w:rsidP="00A50CFC">
      <w:pPr>
        <w:pStyle w:val="ListParagraph"/>
        <w:numPr>
          <w:ilvl w:val="0"/>
          <w:numId w:val="4"/>
        </w:numPr>
      </w:pPr>
      <w:r>
        <w:t xml:space="preserve">#18 – </w:t>
      </w:r>
      <w:r w:rsidRPr="004B083E">
        <w:rPr>
          <w:i/>
        </w:rPr>
        <w:t>Meter Data and Estimations</w:t>
      </w:r>
      <w:r>
        <w:t xml:space="preserve"> –TDSP AMS Data Practices matrix and proposed addendum questions </w:t>
      </w:r>
      <w:r w:rsidR="008B2D37">
        <w:t>were reviewed later in the meeting</w:t>
      </w:r>
    </w:p>
    <w:p w:rsidR="00093FCD" w:rsidRDefault="00A50CFC" w:rsidP="001C3C84">
      <w:pPr>
        <w:pStyle w:val="ListParagraph"/>
        <w:numPr>
          <w:ilvl w:val="0"/>
          <w:numId w:val="4"/>
        </w:numPr>
      </w:pPr>
      <w:r>
        <w:t xml:space="preserve">#19 – </w:t>
      </w:r>
      <w:r w:rsidR="006A59C8" w:rsidRPr="004B083E">
        <w:rPr>
          <w:i/>
        </w:rPr>
        <w:t>modification of proxy data for s</w:t>
      </w:r>
      <w:r w:rsidRPr="004B083E">
        <w:rPr>
          <w:i/>
        </w:rPr>
        <w:t xml:space="preserve">ubset of C&amp;I customers </w:t>
      </w:r>
      <w:r w:rsidR="006A59C8" w:rsidRPr="004B083E">
        <w:rPr>
          <w:i/>
        </w:rPr>
        <w:t>for initial settlement</w:t>
      </w:r>
      <w:r w:rsidR="006A59C8">
        <w:t xml:space="preserve"> – discussions regarding ERCOT esti</w:t>
      </w:r>
      <w:r w:rsidR="00BD3F24">
        <w:t xml:space="preserve">mation routines continue at </w:t>
      </w:r>
      <w:proofErr w:type="gramStart"/>
      <w:r w:rsidR="00BD3F24">
        <w:t>PWG;  IDR</w:t>
      </w:r>
      <w:proofErr w:type="gramEnd"/>
      <w:r w:rsidR="00BD3F24">
        <w:t xml:space="preserve"> to AMS Workshop will be held October 13th</w:t>
      </w:r>
    </w:p>
    <w:p w:rsidR="006A59C8" w:rsidRDefault="006A59C8" w:rsidP="001C3C84">
      <w:pPr>
        <w:pStyle w:val="ListParagraph"/>
        <w:numPr>
          <w:ilvl w:val="0"/>
          <w:numId w:val="4"/>
        </w:numPr>
      </w:pPr>
      <w:r>
        <w:t>#20 – “</w:t>
      </w:r>
      <w:r>
        <w:rPr>
          <w:i/>
        </w:rPr>
        <w:t>Should there be modifications for Validation, Editing and Estimation of meter data?  What is the extent of billing errors caused by this?</w:t>
      </w:r>
      <w:proofErr w:type="gramStart"/>
      <w:r>
        <w:rPr>
          <w:i/>
        </w:rPr>
        <w:t xml:space="preserve">” </w:t>
      </w:r>
      <w:r w:rsidR="00181749">
        <w:t>;</w:t>
      </w:r>
      <w:proofErr w:type="gramEnd"/>
      <w:r w:rsidR="00181749">
        <w:t xml:space="preserve"> see latter notes on Pre-VEE</w:t>
      </w:r>
      <w:r w:rsidR="00E013EA">
        <w:t xml:space="preserve"> data for Settlement notes</w:t>
      </w:r>
    </w:p>
    <w:p w:rsidR="004B083E" w:rsidRDefault="004B083E" w:rsidP="004B083E">
      <w:pPr>
        <w:pStyle w:val="ListParagraph"/>
        <w:numPr>
          <w:ilvl w:val="0"/>
          <w:numId w:val="4"/>
        </w:numPr>
      </w:pPr>
      <w:r>
        <w:t xml:space="preserve">#126 – </w:t>
      </w:r>
      <w:r w:rsidRPr="005D077A">
        <w:rPr>
          <w:i/>
        </w:rPr>
        <w:t xml:space="preserve"> Do the TDSPs utilize other data practices during prolonged widespread outages which may deviate from normal VEE processes?  (major outage events) </w:t>
      </w:r>
      <w:proofErr w:type="gramStart"/>
      <w:r w:rsidRPr="005D077A">
        <w:rPr>
          <w:i/>
        </w:rPr>
        <w:t>--</w:t>
      </w:r>
      <w:r>
        <w:t xml:space="preserve">  </w:t>
      </w:r>
      <w:r w:rsidR="00B42D35">
        <w:t>addendum</w:t>
      </w:r>
      <w:proofErr w:type="gramEnd"/>
      <w:r w:rsidR="00B42D35">
        <w:t xml:space="preserve"> Q &amp; A were reviewed later in the meeting </w:t>
      </w:r>
    </w:p>
    <w:p w:rsidR="00B42D35" w:rsidRDefault="00B42D35" w:rsidP="00B42D35">
      <w:pPr>
        <w:pStyle w:val="ListParagraph"/>
        <w:numPr>
          <w:ilvl w:val="0"/>
          <w:numId w:val="4"/>
        </w:numPr>
      </w:pPr>
      <w:r>
        <w:t xml:space="preserve">#8 – </w:t>
      </w:r>
      <w:r w:rsidRPr="00B42D35">
        <w:rPr>
          <w:i/>
        </w:rPr>
        <w:t>Summer/Winter Preparedness Workshops</w:t>
      </w:r>
      <w:r>
        <w:t xml:space="preserve"> - RECTF will begin planning of the Winter Preparedness Workshop for a November date (after RMS preferably) and review of the FAQ matrix occurred later in the meeting</w:t>
      </w:r>
    </w:p>
    <w:p w:rsidR="00B42D35" w:rsidRDefault="00B42D35" w:rsidP="00B42D35">
      <w:pPr>
        <w:pStyle w:val="ListParagraph"/>
        <w:numPr>
          <w:ilvl w:val="0"/>
          <w:numId w:val="4"/>
        </w:numPr>
      </w:pPr>
      <w:r>
        <w:t xml:space="preserve">#14 – </w:t>
      </w:r>
      <w:r w:rsidRPr="00B42D35">
        <w:rPr>
          <w:i/>
        </w:rPr>
        <w:t>ERCOT Listservs</w:t>
      </w:r>
      <w:r>
        <w:t xml:space="preserve"> – testing should be complete by EOM (July) for new platform (Listserv functionality monitored ‘on premises’ by </w:t>
      </w:r>
      <w:proofErr w:type="gramStart"/>
      <w:r>
        <w:t>ERCOT;  ERCOT</w:t>
      </w:r>
      <w:proofErr w:type="gramEnd"/>
      <w:r>
        <w:t xml:space="preserve"> will be presenting @ TAC on 7/28</w:t>
      </w:r>
    </w:p>
    <w:p w:rsidR="00B42D35" w:rsidRDefault="00B42D35" w:rsidP="007534B4">
      <w:pPr>
        <w:pStyle w:val="ListParagraph"/>
        <w:numPr>
          <w:ilvl w:val="0"/>
          <w:numId w:val="4"/>
        </w:numPr>
      </w:pPr>
      <w:r>
        <w:t xml:space="preserve">#21 – </w:t>
      </w:r>
      <w:r w:rsidRPr="00B42D35">
        <w:rPr>
          <w:i/>
        </w:rPr>
        <w:t>Increased transparency in default/acquisitions</w:t>
      </w:r>
      <w:r>
        <w:t xml:space="preserve"> – RMGRR165 is up for consideration @ TAC 7/28</w:t>
      </w:r>
    </w:p>
    <w:p w:rsidR="007534B4" w:rsidRDefault="007534B4" w:rsidP="007534B4">
      <w:pPr>
        <w:pStyle w:val="ListParagraph"/>
        <w:numPr>
          <w:ilvl w:val="0"/>
          <w:numId w:val="4"/>
        </w:numPr>
      </w:pPr>
      <w:r>
        <w:t xml:space="preserve">#22 – </w:t>
      </w:r>
      <w:r w:rsidRPr="00B42D35">
        <w:rPr>
          <w:i/>
        </w:rPr>
        <w:t xml:space="preserve">Mass Transition </w:t>
      </w:r>
      <w:r w:rsidR="00414718" w:rsidRPr="00B42D35">
        <w:rPr>
          <w:i/>
        </w:rPr>
        <w:t xml:space="preserve">(MT) </w:t>
      </w:r>
      <w:r w:rsidRPr="00B42D35">
        <w:rPr>
          <w:i/>
        </w:rPr>
        <w:t>expectations (stacking logic) of transactions</w:t>
      </w:r>
      <w:r>
        <w:t xml:space="preserve"> – </w:t>
      </w:r>
      <w:r w:rsidR="00B42D35">
        <w:t>RMS will consider RMGRR166</w:t>
      </w:r>
      <w:r>
        <w:t xml:space="preserve"> </w:t>
      </w:r>
      <w:r w:rsidR="00414718">
        <w:t xml:space="preserve">to </w:t>
      </w:r>
      <w:r w:rsidR="00B42D35">
        <w:t xml:space="preserve">approve changes to </w:t>
      </w:r>
      <w:r w:rsidR="00414718">
        <w:t>ERCOT’s responsibility in modifying post MT switches to reflect FASD and instead allow CR requested dates to prevail</w:t>
      </w:r>
      <w:r w:rsidR="00B42D35">
        <w:t xml:space="preserve"> – aligning tariffs and current market processes</w:t>
      </w:r>
    </w:p>
    <w:p w:rsidR="00B42D35" w:rsidRDefault="00B42D35" w:rsidP="00B42D35"/>
    <w:p w:rsidR="00B42D35" w:rsidRDefault="00B42D35" w:rsidP="00B42D35">
      <w:pPr>
        <w:rPr>
          <w:b/>
          <w:u w:val="single"/>
        </w:rPr>
      </w:pPr>
      <w:r>
        <w:rPr>
          <w:b/>
          <w:u w:val="single"/>
        </w:rPr>
        <w:lastRenderedPageBreak/>
        <w:t xml:space="preserve">Alignment on ERCOT’s </w:t>
      </w:r>
      <w:proofErr w:type="gramStart"/>
      <w:r>
        <w:rPr>
          <w:b/>
          <w:u w:val="single"/>
        </w:rPr>
        <w:t>60 point</w:t>
      </w:r>
      <w:proofErr w:type="gramEnd"/>
      <w:r>
        <w:rPr>
          <w:b/>
          <w:u w:val="single"/>
        </w:rPr>
        <w:t xml:space="preserve"> Roadmap to Improve Grid Reliability</w:t>
      </w:r>
    </w:p>
    <w:p w:rsidR="00B42D35" w:rsidRDefault="00B42D35" w:rsidP="00B42D35">
      <w:r>
        <w:t xml:space="preserve">Sheri reviewed the few items on the roadmap that directly or indirectly impacted the retail segment and the retail Emergency Conditions List.  The following points were mentioned for awareness and noted RECTF </w:t>
      </w:r>
      <w:r w:rsidR="000E35BD">
        <w:t>has covered these issues directly/indirectly in the existing ECL.  If any participants felt any other issues needed to be brought forward, those should be directed to RECTF leadership…</w:t>
      </w:r>
    </w:p>
    <w:p w:rsidR="000E35BD" w:rsidRDefault="000E35BD" w:rsidP="000E35BD">
      <w:pPr>
        <w:pStyle w:val="ListParagraph"/>
        <w:numPr>
          <w:ilvl w:val="0"/>
          <w:numId w:val="6"/>
        </w:numPr>
      </w:pPr>
      <w:r w:rsidRPr="000E35BD">
        <w:rPr>
          <w:b/>
        </w:rPr>
        <w:t>#28</w:t>
      </w:r>
      <w:r>
        <w:t xml:space="preserve">   </w:t>
      </w:r>
      <w:r>
        <w:t>Biannually test end-to-end grid and market communications to verify energy emergency communications status flows from the control room to the public. This helps ensure the public will immediately know if an energy emergency occurs</w:t>
      </w:r>
    </w:p>
    <w:p w:rsidR="000E35BD" w:rsidRDefault="000E35BD" w:rsidP="000E35BD">
      <w:pPr>
        <w:pStyle w:val="ListParagraph"/>
        <w:numPr>
          <w:ilvl w:val="0"/>
          <w:numId w:val="6"/>
        </w:numPr>
      </w:pPr>
      <w:r>
        <w:rPr>
          <w:b/>
        </w:rPr>
        <w:t>#</w:t>
      </w:r>
      <w:proofErr w:type="gramStart"/>
      <w:r>
        <w:rPr>
          <w:b/>
        </w:rPr>
        <w:t xml:space="preserve">29  </w:t>
      </w:r>
      <w:r>
        <w:t>Host</w:t>
      </w:r>
      <w:proofErr w:type="gramEnd"/>
      <w:r>
        <w:t xml:space="preserve"> virtual pre-summer communications meeting with PUC and market participants and distribute summer 2021 communications manual. This will help market participant communicators prepare for the hot summer months. Repeat process in advance of winter</w:t>
      </w:r>
    </w:p>
    <w:p w:rsidR="000E35BD" w:rsidRDefault="000E35BD" w:rsidP="000E35BD">
      <w:pPr>
        <w:pStyle w:val="ListParagraph"/>
        <w:numPr>
          <w:ilvl w:val="0"/>
          <w:numId w:val="6"/>
        </w:numPr>
      </w:pPr>
      <w:r>
        <w:rPr>
          <w:b/>
        </w:rPr>
        <w:t>#</w:t>
      </w:r>
      <w:proofErr w:type="gramStart"/>
      <w:r>
        <w:rPr>
          <w:b/>
        </w:rPr>
        <w:t xml:space="preserve">34  </w:t>
      </w:r>
      <w:r>
        <w:t>Identify</w:t>
      </w:r>
      <w:proofErr w:type="gramEnd"/>
      <w:r>
        <w:t xml:space="preserve"> preferred channels of communication for each of ERCOT’s audiences including government, market participants, and customers – including Spanish language communications. Re-write external communications materials to eliminate industry jargon. This will make ERCOT communications easier to understand and reach a broader audience.</w:t>
      </w:r>
    </w:p>
    <w:p w:rsidR="000E35BD" w:rsidRDefault="000E35BD" w:rsidP="000E35BD">
      <w:pPr>
        <w:pStyle w:val="ListParagraph"/>
        <w:numPr>
          <w:ilvl w:val="0"/>
          <w:numId w:val="6"/>
        </w:numPr>
      </w:pPr>
      <w:r>
        <w:rPr>
          <w:b/>
        </w:rPr>
        <w:t>#</w:t>
      </w:r>
      <w:proofErr w:type="gramStart"/>
      <w:r>
        <w:rPr>
          <w:b/>
        </w:rPr>
        <w:t xml:space="preserve">44  </w:t>
      </w:r>
      <w:r>
        <w:t>Identify</w:t>
      </w:r>
      <w:proofErr w:type="gramEnd"/>
      <w:r>
        <w:t xml:space="preserve"> and implement new processes to keep market participant communicators informed during a grid event. This will ensure timely and accurate information.</w:t>
      </w:r>
    </w:p>
    <w:p w:rsidR="000E35BD" w:rsidRDefault="000E35BD" w:rsidP="000E35BD">
      <w:pPr>
        <w:pStyle w:val="ListParagraph"/>
        <w:numPr>
          <w:ilvl w:val="0"/>
          <w:numId w:val="6"/>
        </w:numPr>
      </w:pPr>
      <w:r>
        <w:rPr>
          <w:b/>
        </w:rPr>
        <w:t>#</w:t>
      </w:r>
      <w:proofErr w:type="gramStart"/>
      <w:r>
        <w:rPr>
          <w:b/>
        </w:rPr>
        <w:t xml:space="preserve">45  </w:t>
      </w:r>
      <w:r>
        <w:t>Work</w:t>
      </w:r>
      <w:proofErr w:type="gramEnd"/>
      <w:r>
        <w:t xml:space="preserve"> with Transmission and Distribution Service Providers and customers to expand AMS meter implementation to improve timeliness of accurate meter data for settlements, credit calculations, and load management.</w:t>
      </w:r>
      <w:r>
        <w:t xml:space="preserve">  </w:t>
      </w:r>
    </w:p>
    <w:p w:rsidR="000E35BD" w:rsidRDefault="000E35BD" w:rsidP="000E35BD">
      <w:pPr>
        <w:pStyle w:val="ListParagraph"/>
        <w:numPr>
          <w:ilvl w:val="0"/>
          <w:numId w:val="6"/>
        </w:numPr>
      </w:pPr>
      <w:r>
        <w:rPr>
          <w:b/>
        </w:rPr>
        <w:t>#</w:t>
      </w:r>
      <w:proofErr w:type="gramStart"/>
      <w:r>
        <w:rPr>
          <w:b/>
        </w:rPr>
        <w:t xml:space="preserve">49  </w:t>
      </w:r>
      <w:r>
        <w:t>Conduct</w:t>
      </w:r>
      <w:proofErr w:type="gramEnd"/>
      <w:r>
        <w:t xml:space="preserve"> a comprehensive review of ERCOT communications practices and policies, as well as an in-depth review of crisis communications performance during February 2021 event</w:t>
      </w:r>
      <w:r>
        <w:t>.</w:t>
      </w:r>
    </w:p>
    <w:p w:rsidR="000E35BD" w:rsidRDefault="000E35BD" w:rsidP="000E35BD"/>
    <w:p w:rsidR="000E35BD" w:rsidRDefault="00A00209" w:rsidP="00A00209">
      <w:pPr>
        <w:rPr>
          <w:b/>
          <w:u w:val="single"/>
        </w:rPr>
      </w:pPr>
      <w:r w:rsidRPr="00A00209">
        <w:rPr>
          <w:b/>
          <w:u w:val="single"/>
        </w:rPr>
        <w:t xml:space="preserve">TDSP AMS Data Practices Matrix </w:t>
      </w:r>
    </w:p>
    <w:p w:rsidR="000E35BD" w:rsidRDefault="000E35BD" w:rsidP="00A00209">
      <w:r>
        <w:t>Jim reviewed the attached edits to the TDSP AMS Data Practices Matrix that will be posted on the RMS main page.  It was noted many responses remained unchanged from original matrix established in 2012, especially around estimation methodologies.</w:t>
      </w:r>
    </w:p>
    <w:p w:rsidR="000E35BD" w:rsidRPr="000E35BD" w:rsidRDefault="000E35BD" w:rsidP="00A00209"/>
    <w:p w:rsidR="00E7517B" w:rsidRDefault="00E7517B" w:rsidP="00A00209">
      <w:pPr>
        <w:rPr>
          <w:b/>
          <w:u w:val="single"/>
        </w:rPr>
      </w:pPr>
      <w:r>
        <w:rPr>
          <w:b/>
          <w:u w:val="single"/>
        </w:rPr>
        <w:t xml:space="preserve">Pre-VEE data for Settlement </w:t>
      </w:r>
    </w:p>
    <w:p w:rsidR="00DC2D01" w:rsidRDefault="00E7517B" w:rsidP="00A00209">
      <w:r>
        <w:t xml:space="preserve">The discussion was associated with </w:t>
      </w:r>
      <w:r w:rsidR="008367E2">
        <w:t>item #</w:t>
      </w:r>
      <w:r w:rsidR="00C81373">
        <w:t xml:space="preserve">20 on the ECL.  Eric Goff explained one of the goals of the ask is to mitigate the risk of short pay default uplift by possibly netting the DAM and RTM settlement.  In doing so, ERCOT initial settlement would have to occur at Operating Day (OD)+ 2 or +3. </w:t>
      </w:r>
    </w:p>
    <w:p w:rsidR="00DC2D01" w:rsidRDefault="00DC2D01" w:rsidP="00A00209"/>
    <w:p w:rsidR="00E7517B" w:rsidRDefault="000E31F4" w:rsidP="00A00209">
      <w:r>
        <w:t xml:space="preserve">Understanding the IDR (BUSIDRRQ) ESIs have a large impact, the current efforts to transition IDR to AMS </w:t>
      </w:r>
      <w:r w:rsidR="00DC2D01">
        <w:t xml:space="preserve">profiled ESIs </w:t>
      </w:r>
      <w:r>
        <w:t>will be helpful</w:t>
      </w:r>
      <w:r w:rsidR="00DC2D01">
        <w:t xml:space="preserve"> in that actual data will be available to ERCOT for initial settlement.  Regarding AMS interval data, i</w:t>
      </w:r>
      <w:r w:rsidR="00C81373">
        <w:t xml:space="preserve">t was initially thought the VEE process for AMS interval data would have to be bypassed with the TDSP’s providing “raw” data to ERCOT </w:t>
      </w:r>
      <w:proofErr w:type="gramStart"/>
      <w:r w:rsidR="00C81373">
        <w:t>in order for</w:t>
      </w:r>
      <w:proofErr w:type="gramEnd"/>
      <w:r w:rsidR="00C81373">
        <w:t xml:space="preserve"> the data to arrive </w:t>
      </w:r>
      <w:r w:rsidR="00C81373">
        <w:t xml:space="preserve">in time for an earlier settlement timeline.  </w:t>
      </w:r>
    </w:p>
    <w:p w:rsidR="00C81373" w:rsidRDefault="00C81373" w:rsidP="00A00209"/>
    <w:p w:rsidR="000B7987" w:rsidRDefault="000B7987" w:rsidP="00A00209">
      <w:r>
        <w:t>Jim described the current ERCOT settlement process:</w:t>
      </w:r>
    </w:p>
    <w:p w:rsidR="000B7987" w:rsidRDefault="000B7987" w:rsidP="000B7987">
      <w:pPr>
        <w:ind w:firstLine="720"/>
      </w:pPr>
      <w:r>
        <w:t>OD+3 – ERCOT data aggregation process starts</w:t>
      </w:r>
    </w:p>
    <w:p w:rsidR="000B7987" w:rsidRDefault="000B7987" w:rsidP="000B7987">
      <w:pPr>
        <w:ind w:firstLine="720"/>
      </w:pPr>
      <w:r>
        <w:t>OD+4 – Data aggregation process concludes</w:t>
      </w:r>
    </w:p>
    <w:p w:rsidR="000B7987" w:rsidRDefault="000B7987" w:rsidP="000B7987">
      <w:pPr>
        <w:ind w:firstLine="720"/>
      </w:pPr>
      <w:r>
        <w:t>OD+5 – Initial settlements occur</w:t>
      </w:r>
    </w:p>
    <w:p w:rsidR="000B7987" w:rsidRDefault="000B7987" w:rsidP="000B7987">
      <w:pPr>
        <w:ind w:firstLine="720"/>
      </w:pPr>
    </w:p>
    <w:p w:rsidR="00C81373" w:rsidRDefault="00C81373" w:rsidP="000B7987">
      <w:r>
        <w:t>Kathy Scott explained the current timeline for AMS LSE interval data</w:t>
      </w:r>
      <w:r w:rsidR="000B7987">
        <w:t xml:space="preserve"> files</w:t>
      </w:r>
      <w:r>
        <w:t xml:space="preserve">:  once the midnight register read is obtained (11:59:59), the date undergoes the VEE process and the LSE file is sent to </w:t>
      </w:r>
      <w:r w:rsidR="000B7987">
        <w:t xml:space="preserve">both </w:t>
      </w:r>
      <w:r>
        <w:t xml:space="preserve">ERCOT </w:t>
      </w:r>
      <w:r w:rsidR="000B7987">
        <w:t xml:space="preserve">and SMT, typically by mid-afternoon the next day (the requirement is by 11 PM, however, most files are </w:t>
      </w:r>
      <w:r w:rsidR="000B7987">
        <w:lastRenderedPageBreak/>
        <w:t xml:space="preserve">submitted prior to 11 PM).  </w:t>
      </w:r>
      <w:r w:rsidR="00DA7850">
        <w:t xml:space="preserve">Kathy also noted REPs </w:t>
      </w:r>
      <w:r w:rsidR="000E31F4">
        <w:t xml:space="preserve">want the settlement quality data for products such as pre-pay.  </w:t>
      </w:r>
    </w:p>
    <w:p w:rsidR="000B7987" w:rsidRDefault="000B7987" w:rsidP="00A00209"/>
    <w:p w:rsidR="00E7517B" w:rsidRDefault="000B7987" w:rsidP="00A00209">
      <w:r>
        <w:t xml:space="preserve">Sheri confirmed the importance of VEE data for REPs </w:t>
      </w:r>
      <w:r w:rsidR="000E31F4">
        <w:t>as many innovative products and features have been developed for customers due to the confidence in the quality of the data.</w:t>
      </w:r>
    </w:p>
    <w:p w:rsidR="000E31F4" w:rsidRDefault="000E31F4" w:rsidP="00A00209"/>
    <w:p w:rsidR="000E31F4" w:rsidRDefault="000E31F4" w:rsidP="00A00209">
      <w:r>
        <w:t xml:space="preserve">The question was asked if there was a material difference in accelerating the settlement timeline to OD+1?  The following link was posted from the June 2020 ERCOT workshop regarding reducing the settlement timeline </w:t>
      </w:r>
      <w:hyperlink r:id="rId5" w:history="1">
        <w:r w:rsidRPr="009C1385">
          <w:rPr>
            <w:rStyle w:val="Hyperlink"/>
          </w:rPr>
          <w:t>http://www.ercot.com/calendar/2020/6/2/202929</w:t>
        </w:r>
      </w:hyperlink>
      <w:r>
        <w:t xml:space="preserve"> for additional information.</w:t>
      </w:r>
    </w:p>
    <w:p w:rsidR="00DC2D01" w:rsidRDefault="00DC2D01" w:rsidP="00A00209"/>
    <w:p w:rsidR="00DC2D01" w:rsidRDefault="00DC2D01" w:rsidP="00A00209">
      <w:r>
        <w:t>The TF agreed this issue is a collaborative effort of RMS and WMS:</w:t>
      </w:r>
    </w:p>
    <w:p w:rsidR="00DC2D01" w:rsidRDefault="00DC2D01" w:rsidP="00DC2D01">
      <w:pPr>
        <w:pStyle w:val="ListParagraph"/>
        <w:numPr>
          <w:ilvl w:val="0"/>
          <w:numId w:val="7"/>
        </w:numPr>
      </w:pPr>
      <w:r>
        <w:t>RMS/PWG is currently researching the amount of IDR load that will transition to AMS, hence having actual data available for current initial settlement timelines.</w:t>
      </w:r>
      <w:r w:rsidR="002C03A4">
        <w:t xml:space="preserve">  This information will likely be discussed at the upcoming IDR to AMS Workshop scheduled for October 13</w:t>
      </w:r>
      <w:r w:rsidR="002C03A4" w:rsidRPr="002C03A4">
        <w:rPr>
          <w:vertAlign w:val="superscript"/>
        </w:rPr>
        <w:t>th</w:t>
      </w:r>
      <w:r w:rsidR="002C03A4">
        <w:t>.</w:t>
      </w:r>
    </w:p>
    <w:p w:rsidR="00DC2D01" w:rsidRDefault="00DC2D01" w:rsidP="00DC2D01">
      <w:pPr>
        <w:pStyle w:val="ListParagraph"/>
        <w:numPr>
          <w:ilvl w:val="0"/>
          <w:numId w:val="7"/>
        </w:numPr>
      </w:pPr>
      <w:r>
        <w:t xml:space="preserve">WMS/ERCOT will need to explore accelerating the settlement timeline </w:t>
      </w:r>
      <w:r w:rsidR="002C03A4">
        <w:t>and if DAM/RTM invoices may be combined/netted.</w:t>
      </w:r>
    </w:p>
    <w:p w:rsidR="002C03A4" w:rsidRDefault="002C03A4" w:rsidP="002C03A4"/>
    <w:p w:rsidR="002C03A4" w:rsidRDefault="002C03A4" w:rsidP="002C03A4">
      <w:r>
        <w:t xml:space="preserve">Eric agreed the market should complete the IDR to AMS transition first and then will be able to determine if any efficiencies can be further gained by accelerating the settlement timeline and possibly netting DAM/RTM invoices. </w:t>
      </w:r>
    </w:p>
    <w:p w:rsidR="002C03A4" w:rsidRDefault="002C03A4" w:rsidP="002C03A4"/>
    <w:p w:rsidR="00A00209" w:rsidRDefault="00A00209" w:rsidP="00A00209">
      <w:pPr>
        <w:rPr>
          <w:b/>
          <w:u w:val="single"/>
        </w:rPr>
      </w:pPr>
      <w:r w:rsidRPr="00A00209">
        <w:rPr>
          <w:b/>
          <w:u w:val="single"/>
        </w:rPr>
        <w:t>Addendum Questions for Prolonged Widespread Outage</w:t>
      </w:r>
    </w:p>
    <w:p w:rsidR="000E35BD" w:rsidRDefault="000E35BD" w:rsidP="00A00209">
      <w:r>
        <w:t xml:space="preserve">Jim reviewed the attached TDSP responses to the revised questions for AMS Data Practices during Prolonged Widespread Outages.  This document will be reviewed again at the next meeting to ensure </w:t>
      </w:r>
      <w:r w:rsidR="00E7517B">
        <w:t xml:space="preserve">all questions have been included before bringing to TAC and RMS.  </w:t>
      </w:r>
    </w:p>
    <w:p w:rsidR="00E7517B" w:rsidRPr="000E35BD" w:rsidRDefault="00E7517B" w:rsidP="00A00209"/>
    <w:p w:rsidR="007B1E7F" w:rsidRDefault="002C03A4" w:rsidP="002C03A4">
      <w:pPr>
        <w:rPr>
          <w:b/>
          <w:u w:val="single"/>
        </w:rPr>
      </w:pPr>
      <w:r w:rsidRPr="002C03A4">
        <w:rPr>
          <w:b/>
          <w:u w:val="single"/>
        </w:rPr>
        <w:t>Weather Preparedness – Q &amp; A – Updated Matrix</w:t>
      </w:r>
    </w:p>
    <w:p w:rsidR="002C03A4" w:rsidRDefault="002C03A4" w:rsidP="002C03A4">
      <w:r>
        <w:t>Jim indicated RECTF would facilitate an upcoming Winter Preparedness Workshop slated possibly for November 2</w:t>
      </w:r>
      <w:r w:rsidRPr="002C03A4">
        <w:rPr>
          <w:vertAlign w:val="superscript"/>
        </w:rPr>
        <w:t>nd</w:t>
      </w:r>
      <w:r>
        <w:t xml:space="preserve"> after RMS.  Jim presented previous agendas and the TF confirmed the </w:t>
      </w:r>
      <w:r w:rsidR="008649B2">
        <w:t xml:space="preserve">agenda was appropriate.  </w:t>
      </w:r>
    </w:p>
    <w:p w:rsidR="008649B2" w:rsidRDefault="008649B2" w:rsidP="002C03A4"/>
    <w:p w:rsidR="008649B2" w:rsidRDefault="008649B2" w:rsidP="002C03A4">
      <w:r>
        <w:t xml:space="preserve">The TF began reviewing the existing Summer Preparedness FAQ (3/13/19) noting what revisions may be necessary.  The matrix currently highlights an EEA event and it was decided to model the Q&amp;A for an EOP event such as a hurricane/storm/tornado causing prolonged widespread outages.  </w:t>
      </w:r>
    </w:p>
    <w:p w:rsidR="008649B2" w:rsidRDefault="008649B2" w:rsidP="002C03A4">
      <w:r w:rsidRPr="008649B2">
        <w:rPr>
          <w:b/>
          <w:highlight w:val="yellow"/>
        </w:rPr>
        <w:t>ACTION ITEM</w:t>
      </w:r>
      <w:r>
        <w:t>: Participants are to review current matrix and provide any additional questions to possibly include on the document to RECTF leadership. (Jim for TDSPs, Sheri for REPs).</w:t>
      </w:r>
    </w:p>
    <w:p w:rsidR="002C03A4" w:rsidRPr="002C03A4" w:rsidRDefault="002C03A4" w:rsidP="002C03A4"/>
    <w:p w:rsidR="00BE6978" w:rsidRPr="00C3680C" w:rsidRDefault="00BE6978" w:rsidP="00C3680C">
      <w:pPr>
        <w:pStyle w:val="ListParagraph"/>
        <w:ind w:left="0"/>
        <w:rPr>
          <w:b/>
          <w:u w:val="single"/>
        </w:rPr>
      </w:pPr>
      <w:r w:rsidRPr="00C3680C">
        <w:rPr>
          <w:b/>
          <w:u w:val="single"/>
        </w:rPr>
        <w:t>Next Steps/Next Meeting</w:t>
      </w:r>
    </w:p>
    <w:p w:rsidR="00BE6978" w:rsidRDefault="00BE6978" w:rsidP="007B1E7F">
      <w:pPr>
        <w:pStyle w:val="ListParagraph"/>
        <w:ind w:left="360"/>
      </w:pPr>
      <w:r>
        <w:t xml:space="preserve">Next meeting is scheduled for </w:t>
      </w:r>
      <w:r w:rsidR="008649B2">
        <w:rPr>
          <w:b/>
        </w:rPr>
        <w:t>August 24</w:t>
      </w:r>
      <w:r w:rsidR="008649B2" w:rsidRPr="008649B2">
        <w:rPr>
          <w:b/>
          <w:vertAlign w:val="superscript"/>
        </w:rPr>
        <w:t>th</w:t>
      </w:r>
      <w:r w:rsidR="008649B2">
        <w:rPr>
          <w:b/>
        </w:rPr>
        <w:t>.</w:t>
      </w:r>
      <w:r>
        <w:t xml:space="preserve"> </w:t>
      </w:r>
    </w:p>
    <w:p w:rsidR="005D077A" w:rsidRDefault="005D077A" w:rsidP="007B1E7F">
      <w:pPr>
        <w:pStyle w:val="ListParagraph"/>
        <w:ind w:left="360"/>
      </w:pPr>
    </w:p>
    <w:p w:rsidR="005D077A" w:rsidRDefault="005D077A" w:rsidP="007B1E7F">
      <w:pPr>
        <w:pStyle w:val="ListParagraph"/>
        <w:ind w:left="360"/>
      </w:pPr>
      <w:r>
        <w:t>Proposed Agenda topics:</w:t>
      </w:r>
    </w:p>
    <w:p w:rsidR="005D077A" w:rsidRDefault="008649B2" w:rsidP="005D077A">
      <w:pPr>
        <w:pStyle w:val="ListParagraph"/>
        <w:numPr>
          <w:ilvl w:val="0"/>
          <w:numId w:val="5"/>
        </w:numPr>
      </w:pPr>
      <w:r>
        <w:t>Update on ECL items</w:t>
      </w:r>
    </w:p>
    <w:p w:rsidR="005D077A" w:rsidRDefault="008649B2" w:rsidP="005D077A">
      <w:pPr>
        <w:pStyle w:val="ListParagraph"/>
        <w:numPr>
          <w:ilvl w:val="0"/>
          <w:numId w:val="5"/>
        </w:numPr>
      </w:pPr>
      <w:r>
        <w:t xml:space="preserve">Finalizing </w:t>
      </w:r>
      <w:r w:rsidR="005D077A">
        <w:t>TDSP AMS Data Practices matrix</w:t>
      </w:r>
      <w:r>
        <w:t xml:space="preserve"> &amp; Addendum for prolonged widespread outages</w:t>
      </w:r>
    </w:p>
    <w:p w:rsidR="005D077A" w:rsidRDefault="008649B2" w:rsidP="005D077A">
      <w:pPr>
        <w:pStyle w:val="ListParagraph"/>
        <w:numPr>
          <w:ilvl w:val="0"/>
          <w:numId w:val="5"/>
        </w:numPr>
      </w:pPr>
      <w:r>
        <w:t>Review of Summer/Winter Preparedness FAQ matrix</w:t>
      </w:r>
    </w:p>
    <w:p w:rsidR="005D077A" w:rsidRDefault="005D077A" w:rsidP="007B1E7F">
      <w:pPr>
        <w:pStyle w:val="ListParagraph"/>
        <w:ind w:left="360"/>
      </w:pPr>
    </w:p>
    <w:p w:rsidR="00BE6978" w:rsidRPr="00BE6978" w:rsidRDefault="00BE6978" w:rsidP="007B1E7F">
      <w:pPr>
        <w:pStyle w:val="ListParagraph"/>
        <w:ind w:left="360"/>
      </w:pPr>
      <w:r>
        <w:t xml:space="preserve">Meeting adjourned ~ </w:t>
      </w:r>
      <w:r w:rsidR="008649B2">
        <w:t>1</w:t>
      </w:r>
      <w:r>
        <w:t>:</w:t>
      </w:r>
      <w:r w:rsidR="008649B2">
        <w:t>30</w:t>
      </w:r>
      <w:r>
        <w:t xml:space="preserve"> PM</w:t>
      </w:r>
      <w:bookmarkStart w:id="0" w:name="_GoBack"/>
      <w:bookmarkEnd w:id="0"/>
    </w:p>
    <w:p w:rsidR="007B1E7F" w:rsidRPr="007B1E7F" w:rsidRDefault="007B1E7F" w:rsidP="007B1E7F"/>
    <w:p w:rsidR="001C3C84" w:rsidRDefault="001C3C84" w:rsidP="001C3C84">
      <w:pPr>
        <w:pStyle w:val="ListParagraph"/>
      </w:pPr>
    </w:p>
    <w:p w:rsidR="001C3C84" w:rsidRPr="001C3C84" w:rsidRDefault="001C3C84"/>
    <w:sectPr w:rsidR="001C3C84" w:rsidRPr="001C3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92558"/>
    <w:multiLevelType w:val="hybridMultilevel"/>
    <w:tmpl w:val="3C66A1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02F4F"/>
    <w:multiLevelType w:val="hybridMultilevel"/>
    <w:tmpl w:val="2B6C17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1B1A12"/>
    <w:multiLevelType w:val="hybridMultilevel"/>
    <w:tmpl w:val="CE12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13990"/>
    <w:multiLevelType w:val="hybridMultilevel"/>
    <w:tmpl w:val="85626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6741BD"/>
    <w:multiLevelType w:val="hybridMultilevel"/>
    <w:tmpl w:val="462A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42808"/>
    <w:multiLevelType w:val="hybridMultilevel"/>
    <w:tmpl w:val="0BF8AE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5B6DFF"/>
    <w:multiLevelType w:val="hybridMultilevel"/>
    <w:tmpl w:val="5CF48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FC"/>
    <w:rsid w:val="0002341D"/>
    <w:rsid w:val="00093FCD"/>
    <w:rsid w:val="000B7987"/>
    <w:rsid w:val="000E0E02"/>
    <w:rsid w:val="000E31F4"/>
    <w:rsid w:val="000E35BD"/>
    <w:rsid w:val="00181749"/>
    <w:rsid w:val="001B579C"/>
    <w:rsid w:val="001C0126"/>
    <w:rsid w:val="001C3C84"/>
    <w:rsid w:val="002C03A4"/>
    <w:rsid w:val="002C43FA"/>
    <w:rsid w:val="00317103"/>
    <w:rsid w:val="003651AD"/>
    <w:rsid w:val="003B1591"/>
    <w:rsid w:val="003F7D20"/>
    <w:rsid w:val="00414718"/>
    <w:rsid w:val="004B083E"/>
    <w:rsid w:val="00585222"/>
    <w:rsid w:val="005D077A"/>
    <w:rsid w:val="006A59C8"/>
    <w:rsid w:val="006B528F"/>
    <w:rsid w:val="007512A6"/>
    <w:rsid w:val="007534B4"/>
    <w:rsid w:val="00771266"/>
    <w:rsid w:val="007B1E7F"/>
    <w:rsid w:val="007F5DCE"/>
    <w:rsid w:val="008367E2"/>
    <w:rsid w:val="008649B2"/>
    <w:rsid w:val="008B0979"/>
    <w:rsid w:val="008B2D37"/>
    <w:rsid w:val="009133A5"/>
    <w:rsid w:val="00984D81"/>
    <w:rsid w:val="009A3D65"/>
    <w:rsid w:val="00A00209"/>
    <w:rsid w:val="00A45165"/>
    <w:rsid w:val="00A50CFC"/>
    <w:rsid w:val="00A74D4D"/>
    <w:rsid w:val="00AE4688"/>
    <w:rsid w:val="00B3345E"/>
    <w:rsid w:val="00B42D35"/>
    <w:rsid w:val="00BC30FA"/>
    <w:rsid w:val="00BD3F24"/>
    <w:rsid w:val="00BE6978"/>
    <w:rsid w:val="00BF6A9F"/>
    <w:rsid w:val="00C3680C"/>
    <w:rsid w:val="00C754FC"/>
    <w:rsid w:val="00C81373"/>
    <w:rsid w:val="00C95221"/>
    <w:rsid w:val="00CE3922"/>
    <w:rsid w:val="00D30A52"/>
    <w:rsid w:val="00DA7850"/>
    <w:rsid w:val="00DC2D01"/>
    <w:rsid w:val="00E013EA"/>
    <w:rsid w:val="00E7517B"/>
    <w:rsid w:val="00F27FD3"/>
    <w:rsid w:val="00FF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293F"/>
  <w15:chartTrackingRefBased/>
  <w15:docId w15:val="{823114F5-E7BE-4B4A-9222-5043ABA5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4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C754FC"/>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basedOn w:val="Normal"/>
    <w:uiPriority w:val="34"/>
    <w:qFormat/>
    <w:rsid w:val="001C3C84"/>
    <w:pPr>
      <w:ind w:left="720"/>
      <w:contextualSpacing/>
    </w:pPr>
  </w:style>
  <w:style w:type="character" w:styleId="Hyperlink">
    <w:name w:val="Hyperlink"/>
    <w:basedOn w:val="DefaultParagraphFont"/>
    <w:uiPriority w:val="99"/>
    <w:unhideWhenUsed/>
    <w:rsid w:val="000E31F4"/>
    <w:rPr>
      <w:color w:val="0000FF" w:themeColor="hyperlink"/>
      <w:u w:val="single"/>
    </w:rPr>
  </w:style>
  <w:style w:type="character" w:styleId="UnresolvedMention">
    <w:name w:val="Unresolved Mention"/>
    <w:basedOn w:val="DefaultParagraphFont"/>
    <w:uiPriority w:val="99"/>
    <w:semiHidden/>
    <w:unhideWhenUsed/>
    <w:rsid w:val="000E31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62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rcot.com/calendar/2020/6/2/20292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4</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6</cp:revision>
  <dcterms:created xsi:type="dcterms:W3CDTF">2021-07-28T16:58:00Z</dcterms:created>
  <dcterms:modified xsi:type="dcterms:W3CDTF">2021-07-28T22:22:00Z</dcterms:modified>
</cp:coreProperties>
</file>