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90BEB" w14:textId="15454535" w:rsidR="002C13E8" w:rsidRPr="00870B69" w:rsidRDefault="00870B69" w:rsidP="002C13E8">
      <w:pPr>
        <w:rPr>
          <w:b/>
          <w:bCs/>
        </w:rPr>
      </w:pPr>
      <w:r w:rsidRPr="00870B69">
        <w:rPr>
          <w:b/>
          <w:bCs/>
        </w:rPr>
        <w:t>ERCOT Opinions and Market Impact Statements for 8/27/21 TAC</w:t>
      </w:r>
    </w:p>
    <w:p w14:paraId="0A7B154F" w14:textId="77777777" w:rsidR="002C13E8" w:rsidRDefault="002C13E8" w:rsidP="002C13E8"/>
    <w:tbl>
      <w:tblPr>
        <w:tblW w:w="15210" w:type="dxa"/>
        <w:tblInd w:w="-460" w:type="dxa"/>
        <w:tblLayout w:type="fixed"/>
        <w:tblCellMar>
          <w:left w:w="0" w:type="dxa"/>
          <w:right w:w="0" w:type="dxa"/>
        </w:tblCellMar>
        <w:tblLook w:val="04A0" w:firstRow="1" w:lastRow="0" w:firstColumn="1" w:lastColumn="0" w:noHBand="0" w:noVBand="1"/>
      </w:tblPr>
      <w:tblGrid>
        <w:gridCol w:w="1170"/>
        <w:gridCol w:w="6030"/>
        <w:gridCol w:w="1080"/>
        <w:gridCol w:w="2160"/>
        <w:gridCol w:w="4770"/>
      </w:tblGrid>
      <w:tr w:rsidR="002C13E8" w:rsidRPr="002C13E8" w14:paraId="4F79847F" w14:textId="77777777" w:rsidTr="00870B69">
        <w:tc>
          <w:tcPr>
            <w:tcW w:w="1170" w:type="dxa"/>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14:paraId="2EED307F" w14:textId="77777777" w:rsidR="002C13E8" w:rsidRPr="002C13E8" w:rsidRDefault="002C13E8">
            <w:pPr>
              <w:spacing w:line="252" w:lineRule="auto"/>
              <w:rPr>
                <w:b/>
                <w:bCs/>
                <w:color w:val="FFFFFF"/>
                <w:sz w:val="20"/>
                <w:szCs w:val="20"/>
              </w:rPr>
            </w:pPr>
            <w:r w:rsidRPr="002C13E8">
              <w:rPr>
                <w:b/>
                <w:bCs/>
                <w:color w:val="FFFFFF"/>
                <w:sz w:val="20"/>
                <w:szCs w:val="20"/>
              </w:rPr>
              <w:t>REV REQ NO.</w:t>
            </w:r>
          </w:p>
        </w:tc>
        <w:tc>
          <w:tcPr>
            <w:tcW w:w="603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14:paraId="5C6A45D6" w14:textId="77777777" w:rsidR="002C13E8" w:rsidRPr="002C13E8" w:rsidRDefault="002C13E8">
            <w:pPr>
              <w:spacing w:line="252" w:lineRule="auto"/>
              <w:rPr>
                <w:b/>
                <w:bCs/>
                <w:color w:val="FFFFFF"/>
                <w:sz w:val="20"/>
                <w:szCs w:val="20"/>
              </w:rPr>
            </w:pPr>
            <w:r w:rsidRPr="002C13E8">
              <w:rPr>
                <w:b/>
                <w:bCs/>
                <w:color w:val="FFFFFF"/>
                <w:sz w:val="20"/>
                <w:szCs w:val="20"/>
              </w:rPr>
              <w:t>DESCRIPTION</w:t>
            </w:r>
          </w:p>
        </w:tc>
        <w:tc>
          <w:tcPr>
            <w:tcW w:w="108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14:paraId="74060A71" w14:textId="77777777" w:rsidR="002C13E8" w:rsidRPr="002C13E8" w:rsidRDefault="002C13E8">
            <w:pPr>
              <w:spacing w:line="252" w:lineRule="auto"/>
              <w:jc w:val="center"/>
              <w:rPr>
                <w:b/>
                <w:bCs/>
                <w:color w:val="FFFFFF"/>
                <w:sz w:val="20"/>
                <w:szCs w:val="20"/>
              </w:rPr>
            </w:pPr>
            <w:r w:rsidRPr="002C13E8">
              <w:rPr>
                <w:b/>
                <w:bCs/>
                <w:color w:val="FFFFFF"/>
                <w:sz w:val="20"/>
                <w:szCs w:val="20"/>
              </w:rPr>
              <w:t>URGENT</w:t>
            </w:r>
          </w:p>
        </w:tc>
        <w:tc>
          <w:tcPr>
            <w:tcW w:w="216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14:paraId="670F64B5" w14:textId="77777777" w:rsidR="002C13E8" w:rsidRPr="002C13E8" w:rsidRDefault="002C13E8">
            <w:pPr>
              <w:spacing w:line="252" w:lineRule="auto"/>
              <w:rPr>
                <w:b/>
                <w:bCs/>
                <w:color w:val="FFFFFF"/>
                <w:sz w:val="20"/>
                <w:szCs w:val="20"/>
              </w:rPr>
            </w:pPr>
            <w:r w:rsidRPr="002C13E8">
              <w:rPr>
                <w:b/>
                <w:bCs/>
                <w:color w:val="FFFFFF"/>
                <w:sz w:val="20"/>
                <w:szCs w:val="20"/>
              </w:rPr>
              <w:t>ERCOT Opinion</w:t>
            </w:r>
          </w:p>
        </w:tc>
        <w:tc>
          <w:tcPr>
            <w:tcW w:w="4770" w:type="dxa"/>
            <w:tcBorders>
              <w:top w:val="single" w:sz="8" w:space="0" w:color="auto"/>
              <w:left w:val="nil"/>
              <w:bottom w:val="single" w:sz="8" w:space="0" w:color="auto"/>
              <w:right w:val="single" w:sz="8" w:space="0" w:color="auto"/>
            </w:tcBorders>
            <w:shd w:val="clear" w:color="auto" w:fill="366092"/>
            <w:hideMark/>
          </w:tcPr>
          <w:p w14:paraId="549767E4" w14:textId="77777777" w:rsidR="002C13E8" w:rsidRPr="002C13E8" w:rsidRDefault="002C13E8" w:rsidP="002C13E8">
            <w:pPr>
              <w:spacing w:line="252" w:lineRule="auto"/>
              <w:jc w:val="center"/>
              <w:rPr>
                <w:b/>
                <w:bCs/>
                <w:color w:val="FFFFFF"/>
                <w:sz w:val="20"/>
                <w:szCs w:val="20"/>
              </w:rPr>
            </w:pPr>
            <w:r w:rsidRPr="002C13E8">
              <w:rPr>
                <w:b/>
                <w:bCs/>
                <w:color w:val="FFFFFF"/>
                <w:sz w:val="20"/>
                <w:szCs w:val="20"/>
              </w:rPr>
              <w:t>ERCOT Market Impact Statement</w:t>
            </w:r>
          </w:p>
        </w:tc>
      </w:tr>
      <w:tr w:rsidR="002C13E8" w:rsidRPr="002C13E8" w14:paraId="13E1E40F" w14:textId="77777777" w:rsidTr="00870B69">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CE0D8" w14:textId="77777777" w:rsidR="002C13E8" w:rsidRPr="002C13E8" w:rsidRDefault="002C13E8">
            <w:pPr>
              <w:spacing w:line="252" w:lineRule="auto"/>
              <w:rPr>
                <w:b/>
                <w:bCs/>
                <w:color w:val="000000"/>
                <w:sz w:val="20"/>
                <w:szCs w:val="20"/>
              </w:rPr>
            </w:pPr>
            <w:r w:rsidRPr="002C13E8">
              <w:rPr>
                <w:b/>
                <w:bCs/>
                <w:color w:val="000000"/>
                <w:sz w:val="20"/>
                <w:szCs w:val="20"/>
              </w:rPr>
              <w:t>813SCR</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4BAA76BD" w14:textId="77777777" w:rsidR="002C13E8" w:rsidRPr="002C13E8" w:rsidRDefault="002C13E8">
            <w:pPr>
              <w:spacing w:line="252" w:lineRule="auto"/>
              <w:rPr>
                <w:b/>
                <w:bCs/>
                <w:color w:val="000000"/>
                <w:sz w:val="20"/>
                <w:szCs w:val="20"/>
              </w:rPr>
            </w:pPr>
            <w:r w:rsidRPr="002C13E8">
              <w:rPr>
                <w:b/>
                <w:bCs/>
                <w:color w:val="000000"/>
                <w:sz w:val="20"/>
                <w:szCs w:val="20"/>
              </w:rPr>
              <w:t xml:space="preserve">NMMS </w:t>
            </w:r>
            <w:proofErr w:type="gramStart"/>
            <w:r w:rsidRPr="002C13E8">
              <w:rPr>
                <w:b/>
                <w:bCs/>
                <w:color w:val="000000"/>
                <w:sz w:val="20"/>
                <w:szCs w:val="20"/>
              </w:rPr>
              <w:t>Jointly-Rated</w:t>
            </w:r>
            <w:proofErr w:type="gramEnd"/>
            <w:r w:rsidRPr="002C13E8">
              <w:rPr>
                <w:b/>
                <w:bCs/>
                <w:color w:val="000000"/>
                <w:sz w:val="20"/>
                <w:szCs w:val="20"/>
              </w:rPr>
              <w:t xml:space="preserve"> Equipment Coordination Confirmation. </w:t>
            </w:r>
            <w:r w:rsidRPr="002C13E8">
              <w:rPr>
                <w:color w:val="000000"/>
                <w:sz w:val="20"/>
                <w:szCs w:val="20"/>
              </w:rPr>
              <w:t xml:space="preserve"> This System Change Request (SCR) modifies the Network Model Management System (NMMS) to highlight change submissions related to </w:t>
            </w:r>
            <w:proofErr w:type="gramStart"/>
            <w:r w:rsidRPr="002C13E8">
              <w:rPr>
                <w:color w:val="000000"/>
                <w:sz w:val="20"/>
                <w:szCs w:val="20"/>
              </w:rPr>
              <w:t>jointly-rated</w:t>
            </w:r>
            <w:proofErr w:type="gramEnd"/>
            <w:r w:rsidRPr="002C13E8">
              <w:rPr>
                <w:color w:val="000000"/>
                <w:sz w:val="20"/>
                <w:szCs w:val="20"/>
              </w:rPr>
              <w:t xml:space="preserve"> equipment.  NMMS will display the </w:t>
            </w:r>
            <w:proofErr w:type="gramStart"/>
            <w:r w:rsidRPr="002C13E8">
              <w:rPr>
                <w:color w:val="000000"/>
                <w:sz w:val="20"/>
                <w:szCs w:val="20"/>
              </w:rPr>
              <w:t>jointly-rated</w:t>
            </w:r>
            <w:proofErr w:type="gramEnd"/>
            <w:r w:rsidRPr="002C13E8">
              <w:rPr>
                <w:color w:val="000000"/>
                <w:sz w:val="20"/>
                <w:szCs w:val="20"/>
              </w:rPr>
              <w:t xml:space="preserve"> equipment to the submitter and list other Entities which have also provided ratings.  The submitter will be asked to confirm that the requested changes have been coordinated with the associated companies.  Additional changes are requested to improve automated email notifications of these model changes.  [ERCOT]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59A1A4F" w14:textId="77777777" w:rsidR="002C13E8" w:rsidRPr="002C13E8" w:rsidRDefault="002C13E8">
            <w:pPr>
              <w:spacing w:line="252" w:lineRule="auto"/>
              <w:jc w:val="center"/>
              <w:rPr>
                <w:color w:val="000000"/>
                <w:sz w:val="20"/>
                <w:szCs w:val="20"/>
              </w:rPr>
            </w:pPr>
            <w:r w:rsidRPr="002C13E8">
              <w:rPr>
                <w:sz w:val="20"/>
                <w:szCs w:val="20"/>
              </w:rPr>
              <w:t>N</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F10924F" w14:textId="77777777" w:rsidR="002C13E8" w:rsidRPr="002C13E8" w:rsidRDefault="002C13E8">
            <w:pPr>
              <w:spacing w:line="252" w:lineRule="auto"/>
              <w:rPr>
                <w:sz w:val="20"/>
                <w:szCs w:val="20"/>
              </w:rPr>
            </w:pPr>
            <w:r w:rsidRPr="002C13E8">
              <w:rPr>
                <w:sz w:val="20"/>
                <w:szCs w:val="20"/>
              </w:rPr>
              <w:t>ERCOT supports approval of SCR813</w:t>
            </w:r>
          </w:p>
        </w:tc>
        <w:tc>
          <w:tcPr>
            <w:tcW w:w="4770" w:type="dxa"/>
            <w:tcBorders>
              <w:top w:val="nil"/>
              <w:left w:val="nil"/>
              <w:bottom w:val="single" w:sz="8" w:space="0" w:color="auto"/>
              <w:right w:val="single" w:sz="8" w:space="0" w:color="auto"/>
            </w:tcBorders>
            <w:hideMark/>
          </w:tcPr>
          <w:p w14:paraId="09C98AE3" w14:textId="77777777" w:rsidR="002C13E8" w:rsidRPr="002C13E8" w:rsidRDefault="002C13E8">
            <w:pPr>
              <w:spacing w:line="252" w:lineRule="auto"/>
              <w:rPr>
                <w:sz w:val="20"/>
                <w:szCs w:val="20"/>
              </w:rPr>
            </w:pPr>
            <w:r w:rsidRPr="002C13E8">
              <w:rPr>
                <w:sz w:val="20"/>
                <w:szCs w:val="20"/>
              </w:rPr>
              <w:t xml:space="preserve">ERCOT Staff has reviewed SCR813 and believes the market impact for SCR813 improves situational awareness regarding </w:t>
            </w:r>
            <w:proofErr w:type="gramStart"/>
            <w:r w:rsidRPr="002C13E8">
              <w:rPr>
                <w:sz w:val="20"/>
                <w:szCs w:val="20"/>
              </w:rPr>
              <w:t>jointly-rated</w:t>
            </w:r>
            <w:proofErr w:type="gramEnd"/>
            <w:r w:rsidRPr="002C13E8">
              <w:rPr>
                <w:sz w:val="20"/>
                <w:szCs w:val="20"/>
              </w:rPr>
              <w:t xml:space="preserve"> equipment and helps earlier mitigate data inconsistencies.</w:t>
            </w:r>
          </w:p>
        </w:tc>
      </w:tr>
      <w:tr w:rsidR="002C13E8" w:rsidRPr="002C13E8" w14:paraId="547C9DCB" w14:textId="77777777" w:rsidTr="00641F84">
        <w:trPr>
          <w:trHeight w:val="1438"/>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6D2C3" w14:textId="77777777" w:rsidR="002C13E8" w:rsidRPr="002C13E8" w:rsidRDefault="002C13E8">
            <w:pPr>
              <w:spacing w:line="252" w:lineRule="auto"/>
              <w:rPr>
                <w:b/>
                <w:bCs/>
                <w:color w:val="000000"/>
                <w:sz w:val="20"/>
                <w:szCs w:val="20"/>
              </w:rPr>
            </w:pPr>
            <w:r w:rsidRPr="002C13E8">
              <w:rPr>
                <w:b/>
                <w:bCs/>
                <w:color w:val="000000"/>
                <w:sz w:val="20"/>
                <w:szCs w:val="20"/>
              </w:rPr>
              <w:t>814SCR</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27006F56" w14:textId="77777777" w:rsidR="002C13E8" w:rsidRPr="002C13E8" w:rsidRDefault="002C13E8">
            <w:pPr>
              <w:spacing w:line="252" w:lineRule="auto"/>
              <w:rPr>
                <w:b/>
                <w:bCs/>
                <w:color w:val="000000"/>
                <w:sz w:val="20"/>
                <w:szCs w:val="20"/>
              </w:rPr>
            </w:pPr>
            <w:r w:rsidRPr="002C13E8">
              <w:rPr>
                <w:b/>
                <w:bCs/>
                <w:color w:val="000000"/>
                <w:sz w:val="20"/>
                <w:szCs w:val="20"/>
              </w:rPr>
              <w:t xml:space="preserve">Point-to-Point (PTP) Obligation Bid Interval Limit. </w:t>
            </w:r>
            <w:r w:rsidRPr="002C13E8">
              <w:rPr>
                <w:color w:val="000000"/>
                <w:sz w:val="20"/>
                <w:szCs w:val="20"/>
              </w:rPr>
              <w:t xml:space="preserve"> This System Change Request (SCR) introduces a limit on the total number of Point-to-Point (PTP) Obligation bid intervals that can be submitted into the Day-Ahead Market (DAM) per </w:t>
            </w:r>
            <w:proofErr w:type="gramStart"/>
            <w:r w:rsidRPr="002C13E8">
              <w:rPr>
                <w:color w:val="000000"/>
                <w:sz w:val="20"/>
                <w:szCs w:val="20"/>
              </w:rPr>
              <w:t>Counter-Party</w:t>
            </w:r>
            <w:proofErr w:type="gramEnd"/>
            <w:r w:rsidRPr="002C13E8">
              <w:rPr>
                <w:color w:val="000000"/>
                <w:sz w:val="20"/>
                <w:szCs w:val="20"/>
              </w:rPr>
              <w:t>.  [ERCOT]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6BC10AE" w14:textId="77777777" w:rsidR="002C13E8" w:rsidRPr="002C13E8" w:rsidRDefault="002C13E8">
            <w:pPr>
              <w:spacing w:line="252" w:lineRule="auto"/>
              <w:jc w:val="center"/>
              <w:rPr>
                <w:color w:val="000000"/>
                <w:sz w:val="20"/>
                <w:szCs w:val="20"/>
              </w:rPr>
            </w:pPr>
            <w:r w:rsidRPr="002C13E8">
              <w:rPr>
                <w:sz w:val="20"/>
                <w:szCs w:val="20"/>
              </w:rPr>
              <w:t>N</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23AFD7D" w14:textId="77777777" w:rsidR="002C13E8" w:rsidRPr="002C13E8" w:rsidRDefault="002C13E8">
            <w:pPr>
              <w:spacing w:line="252" w:lineRule="auto"/>
              <w:rPr>
                <w:sz w:val="20"/>
                <w:szCs w:val="20"/>
              </w:rPr>
            </w:pPr>
            <w:r w:rsidRPr="002C13E8">
              <w:rPr>
                <w:sz w:val="20"/>
                <w:szCs w:val="20"/>
              </w:rPr>
              <w:t>ERCOT supports approval of SCR814</w:t>
            </w:r>
          </w:p>
        </w:tc>
        <w:tc>
          <w:tcPr>
            <w:tcW w:w="4770" w:type="dxa"/>
            <w:tcBorders>
              <w:top w:val="nil"/>
              <w:left w:val="nil"/>
              <w:bottom w:val="single" w:sz="8" w:space="0" w:color="auto"/>
              <w:right w:val="single" w:sz="8" w:space="0" w:color="auto"/>
            </w:tcBorders>
            <w:hideMark/>
          </w:tcPr>
          <w:p w14:paraId="4C1B75A2" w14:textId="3B5ACB36" w:rsidR="00641F84" w:rsidRPr="002C13E8" w:rsidRDefault="00641F84">
            <w:pPr>
              <w:spacing w:line="252" w:lineRule="auto"/>
              <w:rPr>
                <w:sz w:val="20"/>
                <w:szCs w:val="20"/>
              </w:rPr>
            </w:pPr>
            <w:r w:rsidRPr="00641F84">
              <w:rPr>
                <w:sz w:val="20"/>
                <w:szCs w:val="20"/>
              </w:rPr>
              <w:t xml:space="preserve">ERCOT Staff has reviewed SCR814 and believes that SCR814 will reduce PTP bid interval limits by placing a maximum limit per </w:t>
            </w:r>
            <w:proofErr w:type="gramStart"/>
            <w:r w:rsidRPr="00641F84">
              <w:rPr>
                <w:sz w:val="20"/>
                <w:szCs w:val="20"/>
              </w:rPr>
              <w:t>Counter-Party</w:t>
            </w:r>
            <w:proofErr w:type="gramEnd"/>
            <w:r w:rsidRPr="00641F84">
              <w:rPr>
                <w:sz w:val="20"/>
                <w:szCs w:val="20"/>
              </w:rPr>
              <w:t xml:space="preserve"> per Operating Day, thereby reducing the risk of DAM aborts due to disproportionate PTP submission increases by QSEs.</w:t>
            </w:r>
          </w:p>
        </w:tc>
      </w:tr>
      <w:tr w:rsidR="002C13E8" w:rsidRPr="002C13E8" w14:paraId="305FEFED" w14:textId="77777777" w:rsidTr="00870B69">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BE5BB2" w14:textId="77777777" w:rsidR="002C13E8" w:rsidRPr="002C13E8" w:rsidRDefault="002C13E8">
            <w:pPr>
              <w:spacing w:line="252" w:lineRule="auto"/>
              <w:rPr>
                <w:b/>
                <w:bCs/>
                <w:color w:val="000000"/>
                <w:sz w:val="20"/>
                <w:szCs w:val="20"/>
              </w:rPr>
            </w:pPr>
            <w:r w:rsidRPr="002C13E8">
              <w:rPr>
                <w:b/>
                <w:bCs/>
                <w:sz w:val="20"/>
                <w:szCs w:val="20"/>
              </w:rPr>
              <w:t>031RRGRR</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60D0AB88" w14:textId="77777777" w:rsidR="002C13E8" w:rsidRPr="002C13E8" w:rsidRDefault="002C13E8">
            <w:pPr>
              <w:spacing w:line="252" w:lineRule="auto"/>
              <w:rPr>
                <w:b/>
                <w:bCs/>
                <w:color w:val="000000"/>
                <w:sz w:val="20"/>
                <w:szCs w:val="20"/>
              </w:rPr>
            </w:pPr>
            <w:r w:rsidRPr="002C13E8">
              <w:rPr>
                <w:b/>
                <w:bCs/>
                <w:color w:val="000000"/>
                <w:sz w:val="20"/>
                <w:szCs w:val="20"/>
              </w:rPr>
              <w:t xml:space="preserve">Related to NPRR995, RTF-6 Create Definition and Terms for Settlement Only Energy Storage.  </w:t>
            </w:r>
            <w:r w:rsidRPr="002C13E8">
              <w:rPr>
                <w:color w:val="000000"/>
                <w:sz w:val="20"/>
                <w:szCs w:val="20"/>
              </w:rPr>
              <w:t>This Resource Registration Glossary Revision Request (RRGRR) amends the Glossary to accommodate registration of Settlement Only Energy Storage Systems (SOESSs), proposing to require the same level of registration detail for an SOESS that is required for Energy Storage Resources (ESRs) under RRGRR023, Related to NPRR1002, BESTF-5 Energy Storage Resource Single Model Registration and Charging Restrictions in Emergency Conditions. This RRGRR should be implemented simultaneously with NPRR995.  [ERCOT]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0516183" w14:textId="77777777" w:rsidR="002C13E8" w:rsidRPr="002C13E8" w:rsidRDefault="002C13E8">
            <w:pPr>
              <w:spacing w:line="252" w:lineRule="auto"/>
              <w:jc w:val="center"/>
              <w:rPr>
                <w:color w:val="000000"/>
                <w:sz w:val="20"/>
                <w:szCs w:val="20"/>
              </w:rPr>
            </w:pPr>
            <w:r w:rsidRPr="002C13E8">
              <w:rPr>
                <w:sz w:val="20"/>
                <w:szCs w:val="20"/>
              </w:rPr>
              <w:t>N</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E040ABC" w14:textId="77777777" w:rsidR="002C13E8" w:rsidRPr="002C13E8" w:rsidRDefault="002C13E8">
            <w:pPr>
              <w:spacing w:line="252" w:lineRule="auto"/>
              <w:rPr>
                <w:sz w:val="20"/>
                <w:szCs w:val="20"/>
              </w:rPr>
            </w:pPr>
            <w:r w:rsidRPr="002C13E8">
              <w:rPr>
                <w:sz w:val="20"/>
                <w:szCs w:val="20"/>
              </w:rPr>
              <w:t>ERCOT supports approval of RRGRR031</w:t>
            </w:r>
          </w:p>
        </w:tc>
        <w:tc>
          <w:tcPr>
            <w:tcW w:w="4770" w:type="dxa"/>
            <w:tcBorders>
              <w:top w:val="nil"/>
              <w:left w:val="nil"/>
              <w:bottom w:val="single" w:sz="8" w:space="0" w:color="auto"/>
              <w:right w:val="single" w:sz="8" w:space="0" w:color="auto"/>
            </w:tcBorders>
            <w:hideMark/>
          </w:tcPr>
          <w:p w14:paraId="3C1C9A80" w14:textId="77777777" w:rsidR="002C13E8" w:rsidRPr="002C13E8" w:rsidRDefault="002C13E8">
            <w:pPr>
              <w:spacing w:line="252" w:lineRule="auto"/>
              <w:rPr>
                <w:sz w:val="20"/>
                <w:szCs w:val="20"/>
              </w:rPr>
            </w:pPr>
            <w:r w:rsidRPr="002C13E8">
              <w:rPr>
                <w:sz w:val="20"/>
                <w:szCs w:val="20"/>
              </w:rPr>
              <w:t>ERCOT Staff has reviewed RRGRR031 and believes the market impact for RRGRR031, along with Nodal Protocol Revision Request (NPRR) 995, clarifies the registration and treatment of Settlement Only Energy Storage Systems (SOESSs).</w:t>
            </w:r>
          </w:p>
        </w:tc>
      </w:tr>
      <w:tr w:rsidR="002C13E8" w:rsidRPr="002C13E8" w14:paraId="564F59F8" w14:textId="77777777" w:rsidTr="00870B69">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41F40" w14:textId="77777777" w:rsidR="002C13E8" w:rsidRPr="002C13E8" w:rsidRDefault="002C13E8">
            <w:pPr>
              <w:spacing w:line="252" w:lineRule="auto"/>
              <w:rPr>
                <w:b/>
                <w:bCs/>
                <w:color w:val="000000"/>
                <w:sz w:val="20"/>
                <w:szCs w:val="20"/>
              </w:rPr>
            </w:pPr>
            <w:r w:rsidRPr="002C13E8">
              <w:rPr>
                <w:b/>
                <w:bCs/>
                <w:sz w:val="20"/>
                <w:szCs w:val="20"/>
              </w:rPr>
              <w:t>227NOGRR</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46AFD761" w14:textId="77777777" w:rsidR="002C13E8" w:rsidRPr="002C13E8" w:rsidRDefault="002C13E8">
            <w:pPr>
              <w:spacing w:line="252" w:lineRule="auto"/>
              <w:rPr>
                <w:b/>
                <w:bCs/>
                <w:color w:val="000000"/>
                <w:sz w:val="20"/>
                <w:szCs w:val="20"/>
              </w:rPr>
            </w:pPr>
            <w:r w:rsidRPr="002C13E8">
              <w:rPr>
                <w:b/>
                <w:bCs/>
                <w:color w:val="000000"/>
                <w:sz w:val="20"/>
                <w:szCs w:val="20"/>
              </w:rPr>
              <w:t xml:space="preserve">Add Phasor Measurement Recording Equipment Location for Main Power Transformer for Intermittent Renewable Resource (IRR).  </w:t>
            </w:r>
            <w:r w:rsidRPr="002C13E8">
              <w:rPr>
                <w:color w:val="000000"/>
                <w:sz w:val="20"/>
                <w:szCs w:val="20"/>
              </w:rPr>
              <w:t>This Nodal Operating Guide Revision Request (NOGRR) allows for single phase current magnitude/angle data for an interconnected Intermittent Renewable Resource (IRR) over 20 MVA to be taken from either side of the main power transformer where turbines exist on a feeder(s) that were aggregated to two or more IRRs.  [ERCOT]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2E68B43" w14:textId="77777777" w:rsidR="002C13E8" w:rsidRPr="002C13E8" w:rsidRDefault="002C13E8">
            <w:pPr>
              <w:spacing w:line="252" w:lineRule="auto"/>
              <w:jc w:val="center"/>
              <w:rPr>
                <w:color w:val="000000"/>
                <w:sz w:val="20"/>
                <w:szCs w:val="20"/>
              </w:rPr>
            </w:pPr>
            <w:r w:rsidRPr="002C13E8">
              <w:rPr>
                <w:sz w:val="20"/>
                <w:szCs w:val="20"/>
              </w:rPr>
              <w:t>N</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D371B55" w14:textId="77777777" w:rsidR="002C13E8" w:rsidRPr="002C13E8" w:rsidRDefault="002C13E8">
            <w:pPr>
              <w:spacing w:line="252" w:lineRule="auto"/>
              <w:rPr>
                <w:sz w:val="20"/>
                <w:szCs w:val="20"/>
              </w:rPr>
            </w:pPr>
            <w:r w:rsidRPr="002C13E8">
              <w:rPr>
                <w:sz w:val="20"/>
                <w:szCs w:val="20"/>
              </w:rPr>
              <w:t>ERCOT supports approval of NOGRR227</w:t>
            </w:r>
          </w:p>
        </w:tc>
        <w:tc>
          <w:tcPr>
            <w:tcW w:w="4770" w:type="dxa"/>
            <w:tcBorders>
              <w:top w:val="nil"/>
              <w:left w:val="nil"/>
              <w:bottom w:val="single" w:sz="8" w:space="0" w:color="auto"/>
              <w:right w:val="single" w:sz="8" w:space="0" w:color="auto"/>
            </w:tcBorders>
            <w:hideMark/>
          </w:tcPr>
          <w:p w14:paraId="762075AD" w14:textId="77777777" w:rsidR="002C13E8" w:rsidRPr="002C13E8" w:rsidRDefault="002C13E8">
            <w:pPr>
              <w:spacing w:line="252" w:lineRule="auto"/>
              <w:rPr>
                <w:sz w:val="20"/>
                <w:szCs w:val="20"/>
              </w:rPr>
            </w:pPr>
            <w:r w:rsidRPr="002C13E8">
              <w:rPr>
                <w:sz w:val="20"/>
                <w:szCs w:val="20"/>
              </w:rPr>
              <w:t>ERCOT Staff has reviewed NOGRR227 and believes that NOGRR227 will improve efficiencies for Entities by allowing current magnitude/angle to be taken from either side of the main power transformer where turbines exist on feeders that were aggregated.</w:t>
            </w:r>
          </w:p>
        </w:tc>
      </w:tr>
      <w:tr w:rsidR="002C13E8" w:rsidRPr="002C13E8" w14:paraId="2727F553" w14:textId="77777777" w:rsidTr="00870B69">
        <w:trPr>
          <w:trHeight w:val="60"/>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3B5D21" w14:textId="77777777" w:rsidR="002C13E8" w:rsidRPr="002C13E8" w:rsidRDefault="002C13E8">
            <w:pPr>
              <w:spacing w:line="252" w:lineRule="auto"/>
              <w:rPr>
                <w:b/>
                <w:bCs/>
                <w:sz w:val="20"/>
                <w:szCs w:val="20"/>
              </w:rPr>
            </w:pPr>
            <w:r w:rsidRPr="002C13E8">
              <w:rPr>
                <w:b/>
                <w:bCs/>
                <w:sz w:val="20"/>
                <w:szCs w:val="20"/>
              </w:rPr>
              <w:t>030RRGRR</w:t>
            </w:r>
          </w:p>
        </w:tc>
        <w:tc>
          <w:tcPr>
            <w:tcW w:w="6030" w:type="dxa"/>
            <w:tcBorders>
              <w:top w:val="nil"/>
              <w:left w:val="nil"/>
              <w:bottom w:val="single" w:sz="8" w:space="0" w:color="auto"/>
              <w:right w:val="single" w:sz="8" w:space="0" w:color="auto"/>
            </w:tcBorders>
            <w:tcMar>
              <w:top w:w="0" w:type="dxa"/>
              <w:left w:w="108" w:type="dxa"/>
              <w:bottom w:w="0" w:type="dxa"/>
              <w:right w:w="108" w:type="dxa"/>
            </w:tcMar>
          </w:tcPr>
          <w:p w14:paraId="5A33CD72" w14:textId="4C56072B" w:rsidR="002C13E8" w:rsidRPr="002C13E8" w:rsidRDefault="002C13E8">
            <w:pPr>
              <w:spacing w:line="252" w:lineRule="auto"/>
              <w:rPr>
                <w:b/>
                <w:bCs/>
                <w:color w:val="000000"/>
                <w:sz w:val="20"/>
                <w:szCs w:val="20"/>
              </w:rPr>
            </w:pPr>
            <w:r w:rsidRPr="002C13E8">
              <w:rPr>
                <w:b/>
                <w:bCs/>
                <w:color w:val="000000"/>
                <w:sz w:val="20"/>
                <w:szCs w:val="20"/>
              </w:rPr>
              <w:t>Allow New Voltage Levels in Resource Registration Information.</w:t>
            </w:r>
            <w:r>
              <w:rPr>
                <w:b/>
                <w:bCs/>
                <w:color w:val="000000"/>
                <w:sz w:val="20"/>
                <w:szCs w:val="20"/>
              </w:rPr>
              <w:t xml:space="preserve">  </w:t>
            </w:r>
            <w:r w:rsidRPr="002C13E8">
              <w:rPr>
                <w:color w:val="000000"/>
                <w:sz w:val="20"/>
                <w:szCs w:val="20"/>
              </w:rPr>
              <w:t xml:space="preserve">This Resource Registration Glossary Revision Request (RRGRR) removes the hard coding of voltage levels for certain Resource Registration information related to Transformer Data. This will allow Resources </w:t>
            </w:r>
            <w:r w:rsidRPr="002C13E8">
              <w:rPr>
                <w:color w:val="000000"/>
                <w:sz w:val="20"/>
                <w:szCs w:val="20"/>
              </w:rPr>
              <w:lastRenderedPageBreak/>
              <w:t>connected to other voltage levels to submit their Resource Registration data without receiving validation errors.  [ERCOT]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05D7359" w14:textId="029AFB39" w:rsidR="002C13E8" w:rsidRPr="002C13E8" w:rsidRDefault="002C13E8">
            <w:pPr>
              <w:spacing w:line="252" w:lineRule="auto"/>
              <w:jc w:val="center"/>
              <w:rPr>
                <w:sz w:val="20"/>
                <w:szCs w:val="20"/>
              </w:rPr>
            </w:pPr>
            <w:r>
              <w:rPr>
                <w:sz w:val="20"/>
                <w:szCs w:val="20"/>
              </w:rPr>
              <w:lastRenderedPageBreak/>
              <w:t>N</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73579CB9" w14:textId="3CDAEB6D" w:rsidR="002C13E8" w:rsidRPr="002C13E8" w:rsidRDefault="002C13E8">
            <w:pPr>
              <w:spacing w:line="252" w:lineRule="auto"/>
              <w:rPr>
                <w:sz w:val="20"/>
                <w:szCs w:val="20"/>
              </w:rPr>
            </w:pPr>
            <w:r w:rsidRPr="002C13E8">
              <w:rPr>
                <w:sz w:val="20"/>
                <w:szCs w:val="20"/>
              </w:rPr>
              <w:t xml:space="preserve">ERCOT supports approval of </w:t>
            </w:r>
            <w:r>
              <w:rPr>
                <w:sz w:val="20"/>
                <w:szCs w:val="20"/>
              </w:rPr>
              <w:t>RRGRR030</w:t>
            </w:r>
          </w:p>
        </w:tc>
        <w:tc>
          <w:tcPr>
            <w:tcW w:w="4770" w:type="dxa"/>
            <w:tcBorders>
              <w:top w:val="nil"/>
              <w:left w:val="nil"/>
              <w:bottom w:val="single" w:sz="8" w:space="0" w:color="auto"/>
              <w:right w:val="single" w:sz="8" w:space="0" w:color="auto"/>
            </w:tcBorders>
            <w:hideMark/>
          </w:tcPr>
          <w:p w14:paraId="03246AF5" w14:textId="77777777" w:rsidR="002C13E8" w:rsidRPr="002C13E8" w:rsidRDefault="002C13E8">
            <w:pPr>
              <w:spacing w:line="252" w:lineRule="auto"/>
              <w:rPr>
                <w:sz w:val="20"/>
                <w:szCs w:val="20"/>
              </w:rPr>
            </w:pPr>
            <w:r w:rsidRPr="002C13E8">
              <w:rPr>
                <w:sz w:val="20"/>
                <w:szCs w:val="20"/>
              </w:rPr>
              <w:t>ERCOT Staff has reviewed RRGRR030 and believes that RRGRR030 increases efficiency by addressing issues with validation errors.</w:t>
            </w:r>
          </w:p>
        </w:tc>
      </w:tr>
      <w:tr w:rsidR="002C13E8" w:rsidRPr="002C13E8" w14:paraId="29F940AF" w14:textId="77777777" w:rsidTr="00870B69">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FB2D19" w14:textId="77777777" w:rsidR="002C13E8" w:rsidRPr="002C13E8" w:rsidRDefault="002C13E8">
            <w:pPr>
              <w:spacing w:line="252" w:lineRule="auto"/>
              <w:rPr>
                <w:b/>
                <w:bCs/>
                <w:sz w:val="20"/>
                <w:szCs w:val="20"/>
              </w:rPr>
            </w:pPr>
            <w:r w:rsidRPr="002C13E8">
              <w:rPr>
                <w:b/>
                <w:bCs/>
                <w:sz w:val="20"/>
                <w:szCs w:val="20"/>
              </w:rPr>
              <w:t>167RMGRR</w:t>
            </w:r>
          </w:p>
          <w:p w14:paraId="38FDEE8D" w14:textId="77777777" w:rsidR="002C13E8" w:rsidRPr="002C13E8" w:rsidRDefault="002C13E8">
            <w:pPr>
              <w:spacing w:line="252" w:lineRule="auto"/>
              <w:rPr>
                <w:b/>
                <w:bCs/>
                <w:sz w:val="20"/>
                <w:szCs w:val="20"/>
              </w:rPr>
            </w:pPr>
          </w:p>
          <w:p w14:paraId="00B5623B" w14:textId="77777777" w:rsidR="002C13E8" w:rsidRPr="002C13E8" w:rsidRDefault="002C13E8">
            <w:pPr>
              <w:spacing w:line="252" w:lineRule="auto"/>
              <w:rPr>
                <w:b/>
                <w:bCs/>
                <w:sz w:val="20"/>
                <w:szCs w:val="20"/>
              </w:rPr>
            </w:pPr>
          </w:p>
          <w:p w14:paraId="49861E17" w14:textId="77777777" w:rsidR="002C13E8" w:rsidRPr="002C13E8" w:rsidRDefault="002C13E8">
            <w:pPr>
              <w:spacing w:line="252" w:lineRule="auto"/>
              <w:rPr>
                <w:b/>
                <w:bCs/>
                <w:sz w:val="20"/>
                <w:szCs w:val="20"/>
              </w:rPr>
            </w:pPr>
          </w:p>
          <w:p w14:paraId="393D3C16" w14:textId="77777777" w:rsidR="002C13E8" w:rsidRPr="002C13E8" w:rsidRDefault="002C13E8">
            <w:pPr>
              <w:spacing w:line="252" w:lineRule="auto"/>
              <w:rPr>
                <w:b/>
                <w:bCs/>
                <w:sz w:val="20"/>
                <w:szCs w:val="20"/>
              </w:rPr>
            </w:pP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D36F43A" w14:textId="6145D7B7" w:rsidR="002C13E8" w:rsidRPr="002C13E8" w:rsidRDefault="002C13E8">
            <w:pPr>
              <w:spacing w:line="252" w:lineRule="auto"/>
              <w:rPr>
                <w:b/>
                <w:bCs/>
                <w:color w:val="000000"/>
                <w:sz w:val="20"/>
                <w:szCs w:val="20"/>
              </w:rPr>
            </w:pPr>
            <w:r w:rsidRPr="002C13E8">
              <w:rPr>
                <w:b/>
                <w:bCs/>
                <w:color w:val="000000"/>
                <w:sz w:val="20"/>
                <w:szCs w:val="20"/>
              </w:rPr>
              <w:t>Switch Hold Removal Documentation Clarification</w:t>
            </w:r>
            <w:r>
              <w:rPr>
                <w:b/>
                <w:bCs/>
                <w:color w:val="000000"/>
                <w:sz w:val="20"/>
                <w:szCs w:val="20"/>
              </w:rPr>
              <w:t xml:space="preserve">.  </w:t>
            </w:r>
            <w:r w:rsidRPr="002C13E8">
              <w:rPr>
                <w:color w:val="000000"/>
                <w:sz w:val="20"/>
                <w:szCs w:val="20"/>
              </w:rPr>
              <w:t>This Retail Market Guide Revision Request (RMGRR) clarifies current documentation that is required for a successful submission to request the removal of a switch hold due to a deferred payment plan or tampering.  [TDTMS]</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04445EA" w14:textId="4F716EF5" w:rsidR="002C13E8" w:rsidRPr="002C13E8" w:rsidRDefault="002C13E8">
            <w:pPr>
              <w:spacing w:line="252" w:lineRule="auto"/>
              <w:jc w:val="center"/>
              <w:rPr>
                <w:sz w:val="20"/>
                <w:szCs w:val="20"/>
              </w:rPr>
            </w:pPr>
            <w:r>
              <w:rPr>
                <w:sz w:val="20"/>
                <w:szCs w:val="20"/>
              </w:rPr>
              <w:t>N</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6D4D22FD" w14:textId="407EFF70" w:rsidR="002C13E8" w:rsidRPr="002C13E8" w:rsidRDefault="002C13E8">
            <w:pPr>
              <w:spacing w:line="252" w:lineRule="auto"/>
              <w:rPr>
                <w:sz w:val="20"/>
                <w:szCs w:val="20"/>
              </w:rPr>
            </w:pPr>
            <w:r w:rsidRPr="002C13E8">
              <w:rPr>
                <w:sz w:val="20"/>
                <w:szCs w:val="20"/>
              </w:rPr>
              <w:t xml:space="preserve">ERCOT supports approval of </w:t>
            </w:r>
            <w:r>
              <w:rPr>
                <w:sz w:val="20"/>
                <w:szCs w:val="20"/>
              </w:rPr>
              <w:t>RMGRR167</w:t>
            </w:r>
          </w:p>
        </w:tc>
        <w:tc>
          <w:tcPr>
            <w:tcW w:w="4770" w:type="dxa"/>
            <w:tcBorders>
              <w:top w:val="nil"/>
              <w:left w:val="nil"/>
              <w:bottom w:val="single" w:sz="8" w:space="0" w:color="auto"/>
              <w:right w:val="single" w:sz="8" w:space="0" w:color="auto"/>
            </w:tcBorders>
            <w:hideMark/>
          </w:tcPr>
          <w:p w14:paraId="4344302F" w14:textId="77777777" w:rsidR="002C13E8" w:rsidRPr="002C13E8" w:rsidRDefault="002C13E8">
            <w:pPr>
              <w:spacing w:line="252" w:lineRule="auto"/>
              <w:rPr>
                <w:sz w:val="20"/>
                <w:szCs w:val="20"/>
              </w:rPr>
            </w:pPr>
            <w:r w:rsidRPr="002C13E8">
              <w:rPr>
                <w:sz w:val="20"/>
                <w:szCs w:val="20"/>
              </w:rPr>
              <w:t xml:space="preserve">ERCOT Staff has reviewed RMGRR167 and believes that RMGRR167 meets the market request to clarifying current documentation that is required </w:t>
            </w:r>
            <w:proofErr w:type="gramStart"/>
            <w:r w:rsidRPr="002C13E8">
              <w:rPr>
                <w:sz w:val="20"/>
                <w:szCs w:val="20"/>
              </w:rPr>
              <w:t>in order to</w:t>
            </w:r>
            <w:proofErr w:type="gramEnd"/>
            <w:r w:rsidRPr="002C13E8">
              <w:rPr>
                <w:sz w:val="20"/>
                <w:szCs w:val="20"/>
              </w:rPr>
              <w:t xml:space="preserve"> successfully request to remove a switch hold in the case of a deferred payment plan or tampering.</w:t>
            </w:r>
          </w:p>
        </w:tc>
      </w:tr>
    </w:tbl>
    <w:p w14:paraId="5A334999" w14:textId="77777777" w:rsidR="002C13E8" w:rsidRDefault="002C13E8" w:rsidP="002C13E8"/>
    <w:p w14:paraId="44A9555B" w14:textId="77777777" w:rsidR="002C13E8" w:rsidRDefault="002C13E8"/>
    <w:sectPr w:rsidR="002C13E8" w:rsidSect="00870B6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E8"/>
    <w:rsid w:val="002C13E8"/>
    <w:rsid w:val="00641F84"/>
    <w:rsid w:val="00870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A675"/>
  <w15:chartTrackingRefBased/>
  <w15:docId w15:val="{B0797E84-0162-488F-9CDF-CC2D4779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3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72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Boren</dc:creator>
  <cp:keywords/>
  <dc:description/>
  <cp:lastModifiedBy>A. Boren</cp:lastModifiedBy>
  <cp:revision>2</cp:revision>
  <dcterms:created xsi:type="dcterms:W3CDTF">2021-08-24T14:39:00Z</dcterms:created>
  <dcterms:modified xsi:type="dcterms:W3CDTF">2021-08-24T14:39:00Z</dcterms:modified>
</cp:coreProperties>
</file>