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5048DF" w:rsidP="00123FEE">
      <w:pPr>
        <w:pStyle w:val="NoSpacing"/>
        <w:rPr>
          <w:b/>
          <w:sz w:val="28"/>
          <w:szCs w:val="24"/>
        </w:rPr>
      </w:pPr>
      <w:r>
        <w:rPr>
          <w:b/>
          <w:sz w:val="28"/>
          <w:szCs w:val="24"/>
        </w:rPr>
        <w:t>July 22</w:t>
      </w:r>
      <w:r w:rsidRPr="005048DF">
        <w:rPr>
          <w:b/>
          <w:sz w:val="28"/>
          <w:szCs w:val="24"/>
          <w:vertAlign w:val="superscript"/>
        </w:rPr>
        <w:t>nd</w:t>
      </w:r>
      <w:r w:rsidR="002F5B65">
        <w:rPr>
          <w:b/>
          <w:sz w:val="28"/>
          <w:szCs w:val="24"/>
        </w:rPr>
        <w:t>,</w:t>
      </w:r>
      <w:r w:rsidR="005645B7">
        <w:rPr>
          <w:b/>
          <w:sz w:val="28"/>
          <w:szCs w:val="24"/>
        </w:rPr>
        <w:t xml:space="preserve"> 202</w:t>
      </w:r>
      <w:r w:rsidR="00AA3CAF">
        <w:rPr>
          <w:b/>
          <w:sz w:val="28"/>
          <w:szCs w:val="24"/>
        </w:rPr>
        <w:t>1</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350"/>
        <w:gridCol w:w="2340"/>
        <w:gridCol w:w="1710"/>
      </w:tblGrid>
      <w:tr w:rsidR="00EA742D" w:rsidRPr="00020312" w:rsidTr="000F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5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4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0F415E" w:rsidRPr="00020312"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F415E" w:rsidRPr="00020312" w:rsidRDefault="0031702C" w:rsidP="000F415E">
            <w:pPr>
              <w:rPr>
                <w:b w:val="0"/>
              </w:rPr>
            </w:pPr>
            <w:r>
              <w:rPr>
                <w:b w:val="0"/>
              </w:rPr>
              <w:t>Jim Lee</w:t>
            </w:r>
          </w:p>
        </w:tc>
        <w:tc>
          <w:tcPr>
            <w:tcW w:w="1411"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AEP</w:t>
            </w:r>
          </w:p>
        </w:tc>
        <w:tc>
          <w:tcPr>
            <w:tcW w:w="2099"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Dave Michelson</w:t>
            </w:r>
          </w:p>
        </w:tc>
        <w:tc>
          <w:tcPr>
            <w:tcW w:w="135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ERCOT</w:t>
            </w:r>
          </w:p>
        </w:tc>
        <w:tc>
          <w:tcPr>
            <w:tcW w:w="2340"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rPr>
                <w:b/>
              </w:rPr>
            </w:pPr>
            <w:r>
              <w:t>Mick Hanna</w:t>
            </w:r>
          </w:p>
        </w:tc>
        <w:tc>
          <w:tcPr>
            <w:tcW w:w="1710"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ERCOT</w:t>
            </w:r>
          </w:p>
        </w:tc>
      </w:tr>
      <w:tr w:rsidR="000F415E" w:rsidRPr="00020312" w:rsidTr="000F415E">
        <w:tc>
          <w:tcPr>
            <w:cnfStyle w:val="001000000000" w:firstRow="0" w:lastRow="0" w:firstColumn="1" w:lastColumn="0" w:oddVBand="0" w:evenVBand="0" w:oddHBand="0" w:evenHBand="0" w:firstRowFirstColumn="0" w:firstRowLastColumn="0" w:lastRowFirstColumn="0" w:lastRowLastColumn="0"/>
            <w:tcW w:w="2155" w:type="dxa"/>
          </w:tcPr>
          <w:p w:rsidR="000F415E" w:rsidRPr="00020312" w:rsidRDefault="000F415E" w:rsidP="000F415E">
            <w:pPr>
              <w:rPr>
                <w:b w:val="0"/>
              </w:rPr>
            </w:pPr>
            <w:r w:rsidRPr="00020312">
              <w:rPr>
                <w:b w:val="0"/>
              </w:rPr>
              <w:t>Sam Pak</w:t>
            </w:r>
          </w:p>
        </w:tc>
        <w:tc>
          <w:tcPr>
            <w:tcW w:w="1411"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Steven Pliler</w:t>
            </w:r>
          </w:p>
        </w:tc>
        <w:tc>
          <w:tcPr>
            <w:tcW w:w="1350"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TXU</w:t>
            </w:r>
          </w:p>
        </w:tc>
        <w:tc>
          <w:tcPr>
            <w:tcW w:w="2340" w:type="dxa"/>
          </w:tcPr>
          <w:p w:rsidR="000F415E" w:rsidRPr="00D17CF3" w:rsidRDefault="000F415E" w:rsidP="000F415E">
            <w:pPr>
              <w:cnfStyle w:val="000000000000" w:firstRow="0" w:lastRow="0" w:firstColumn="0" w:lastColumn="0" w:oddVBand="0" w:evenVBand="0" w:oddHBand="0" w:evenHBand="0" w:firstRowFirstColumn="0" w:firstRowLastColumn="0" w:lastRowFirstColumn="0" w:lastRowLastColumn="0"/>
              <w:rPr>
                <w:b/>
              </w:rPr>
            </w:pPr>
            <w:r>
              <w:t>Jordan Troublefield</w:t>
            </w:r>
          </w:p>
        </w:tc>
        <w:tc>
          <w:tcPr>
            <w:tcW w:w="1710"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ERCOT</w:t>
            </w:r>
          </w:p>
        </w:tc>
      </w:tr>
      <w:tr w:rsidR="000F415E" w:rsidRPr="00020312"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F415E" w:rsidRPr="00020312" w:rsidRDefault="000F415E" w:rsidP="000F415E">
            <w:pPr>
              <w:rPr>
                <w:b w:val="0"/>
              </w:rPr>
            </w:pPr>
            <w:r>
              <w:rPr>
                <w:b w:val="0"/>
              </w:rPr>
              <w:t>Kathy Scott</w:t>
            </w:r>
          </w:p>
        </w:tc>
        <w:tc>
          <w:tcPr>
            <w:tcW w:w="1411"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 xml:space="preserve">Eric </w:t>
            </w:r>
          </w:p>
        </w:tc>
        <w:tc>
          <w:tcPr>
            <w:tcW w:w="135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c>
          <w:tcPr>
            <w:tcW w:w="234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Melinda Earnest</w:t>
            </w:r>
          </w:p>
        </w:tc>
        <w:tc>
          <w:tcPr>
            <w:tcW w:w="171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AEP</w:t>
            </w:r>
          </w:p>
        </w:tc>
      </w:tr>
      <w:tr w:rsidR="000F415E" w:rsidRPr="00020312" w:rsidTr="000F415E">
        <w:tc>
          <w:tcPr>
            <w:cnfStyle w:val="001000000000" w:firstRow="0" w:lastRow="0" w:firstColumn="1" w:lastColumn="0" w:oddVBand="0" w:evenVBand="0" w:oddHBand="0" w:evenHBand="0" w:firstRowFirstColumn="0" w:firstRowLastColumn="0" w:lastRowFirstColumn="0" w:lastRowLastColumn="0"/>
            <w:tcW w:w="2155" w:type="dxa"/>
          </w:tcPr>
          <w:p w:rsidR="000F415E" w:rsidRPr="003D3023" w:rsidRDefault="000F415E" w:rsidP="000F415E">
            <w:pPr>
              <w:rPr>
                <w:b w:val="0"/>
              </w:rPr>
            </w:pPr>
            <w:r w:rsidRPr="003D3023">
              <w:rPr>
                <w:b w:val="0"/>
              </w:rPr>
              <w:t>Sheri W</w:t>
            </w:r>
            <w:r>
              <w:rPr>
                <w:b w:val="0"/>
              </w:rPr>
              <w:t>ie</w:t>
            </w:r>
            <w:r w:rsidRPr="003D3023">
              <w:rPr>
                <w:b w:val="0"/>
              </w:rPr>
              <w:t>gand</w:t>
            </w:r>
          </w:p>
        </w:tc>
        <w:tc>
          <w:tcPr>
            <w:tcW w:w="1411"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Carolyn Reed</w:t>
            </w:r>
          </w:p>
        </w:tc>
        <w:tc>
          <w:tcPr>
            <w:tcW w:w="1350"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CNP</w:t>
            </w:r>
          </w:p>
        </w:tc>
        <w:tc>
          <w:tcPr>
            <w:tcW w:w="2340" w:type="dxa"/>
          </w:tcPr>
          <w:p w:rsidR="000F415E" w:rsidRPr="00020312" w:rsidRDefault="0031702C" w:rsidP="000F415E">
            <w:pPr>
              <w:cnfStyle w:val="000000000000" w:firstRow="0" w:lastRow="0" w:firstColumn="0" w:lastColumn="0" w:oddVBand="0" w:evenVBand="0" w:oddHBand="0" w:evenHBand="0" w:firstRowFirstColumn="0" w:firstRowLastColumn="0" w:lastRowFirstColumn="0" w:lastRowLastColumn="0"/>
            </w:pPr>
            <w:r>
              <w:t>Corde Nuru</w:t>
            </w:r>
          </w:p>
        </w:tc>
        <w:tc>
          <w:tcPr>
            <w:tcW w:w="1710" w:type="dxa"/>
          </w:tcPr>
          <w:p w:rsidR="000F415E" w:rsidRPr="00020312" w:rsidRDefault="0031702C" w:rsidP="000F415E">
            <w:pPr>
              <w:cnfStyle w:val="000000000000" w:firstRow="0" w:lastRow="0" w:firstColumn="0" w:lastColumn="0" w:oddVBand="0" w:evenVBand="0" w:oddHBand="0" w:evenHBand="0" w:firstRowFirstColumn="0" w:firstRowLastColumn="0" w:lastRowFirstColumn="0" w:lastRowLastColumn="0"/>
            </w:pPr>
            <w:r>
              <w:t>CNP</w:t>
            </w:r>
          </w:p>
        </w:tc>
      </w:tr>
      <w:tr w:rsidR="000F415E" w:rsidRPr="00020312"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F415E" w:rsidRPr="003D3023" w:rsidRDefault="000F415E" w:rsidP="000F415E">
            <w:pPr>
              <w:rPr>
                <w:b w:val="0"/>
              </w:rPr>
            </w:pPr>
            <w:r w:rsidRPr="00020312">
              <w:rPr>
                <w:b w:val="0"/>
              </w:rPr>
              <w:t>Kyle Patrick</w:t>
            </w:r>
          </w:p>
        </w:tc>
        <w:tc>
          <w:tcPr>
            <w:tcW w:w="1411"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Tammy Stewart</w:t>
            </w:r>
          </w:p>
        </w:tc>
        <w:tc>
          <w:tcPr>
            <w:tcW w:w="1350"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ERCOT</w:t>
            </w:r>
          </w:p>
        </w:tc>
        <w:tc>
          <w:tcPr>
            <w:tcW w:w="234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 xml:space="preserve">Trish </w:t>
            </w:r>
            <w:proofErr w:type="spellStart"/>
            <w:r>
              <w:t>Matus</w:t>
            </w:r>
            <w:proofErr w:type="spellEnd"/>
          </w:p>
        </w:tc>
        <w:tc>
          <w:tcPr>
            <w:tcW w:w="171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ERCOT</w:t>
            </w:r>
          </w:p>
        </w:tc>
      </w:tr>
      <w:tr w:rsidR="0031702C" w:rsidRPr="00020312" w:rsidTr="000F415E">
        <w:tc>
          <w:tcPr>
            <w:cnfStyle w:val="001000000000" w:firstRow="0" w:lastRow="0" w:firstColumn="1" w:lastColumn="0" w:oddVBand="0" w:evenVBand="0" w:oddHBand="0" w:evenHBand="0" w:firstRowFirstColumn="0" w:firstRowLastColumn="0" w:lastRowFirstColumn="0" w:lastRowLastColumn="0"/>
            <w:tcW w:w="2155" w:type="dxa"/>
          </w:tcPr>
          <w:p w:rsidR="0031702C" w:rsidRPr="0031702C" w:rsidRDefault="0031702C" w:rsidP="000F415E">
            <w:pPr>
              <w:rPr>
                <w:b w:val="0"/>
              </w:rPr>
            </w:pPr>
            <w:r>
              <w:rPr>
                <w:b w:val="0"/>
              </w:rPr>
              <w:t>Eric Blakey</w:t>
            </w:r>
          </w:p>
        </w:tc>
        <w:tc>
          <w:tcPr>
            <w:tcW w:w="1411" w:type="dxa"/>
          </w:tcPr>
          <w:p w:rsidR="0031702C" w:rsidRPr="00020312" w:rsidRDefault="0031702C" w:rsidP="000F415E">
            <w:pPr>
              <w:cnfStyle w:val="000000000000" w:firstRow="0" w:lastRow="0" w:firstColumn="0" w:lastColumn="0" w:oddVBand="0" w:evenVBand="0" w:oddHBand="0" w:evenHBand="0" w:firstRowFirstColumn="0" w:firstRowLastColumn="0" w:lastRowFirstColumn="0" w:lastRowLastColumn="0"/>
            </w:pPr>
            <w:r>
              <w:t>Just Energy</w:t>
            </w:r>
          </w:p>
        </w:tc>
        <w:tc>
          <w:tcPr>
            <w:tcW w:w="2099"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r>
              <w:t>Stephen Wilson</w:t>
            </w:r>
          </w:p>
        </w:tc>
        <w:tc>
          <w:tcPr>
            <w:tcW w:w="1350"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40"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r>
              <w:t>John Schatz</w:t>
            </w:r>
          </w:p>
        </w:tc>
        <w:tc>
          <w:tcPr>
            <w:tcW w:w="1710"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AA3CAF">
        <w:rPr>
          <w:b/>
          <w:u w:val="single"/>
        </w:rPr>
        <w:t>,</w:t>
      </w:r>
      <w:r w:rsidR="00CE3D30">
        <w:rPr>
          <w:b/>
          <w:u w:val="single"/>
        </w:rPr>
        <w:t xml:space="preserve"> Antitrust</w:t>
      </w:r>
    </w:p>
    <w:p w:rsidR="00CE3D30" w:rsidRPr="00CE3D30" w:rsidRDefault="00CE3D30" w:rsidP="00245452">
      <w:pPr>
        <w:pStyle w:val="NoSpacing"/>
        <w:numPr>
          <w:ilvl w:val="0"/>
          <w:numId w:val="1"/>
        </w:numPr>
        <w:rPr>
          <w:u w:val="single"/>
        </w:rPr>
      </w:pPr>
      <w:r>
        <w:t xml:space="preserve">Antitrust Admonition was read by Sheri </w:t>
      </w:r>
    </w:p>
    <w:p w:rsidR="0031702C" w:rsidRPr="0031702C" w:rsidRDefault="002F5B65" w:rsidP="0031702C">
      <w:pPr>
        <w:pStyle w:val="NoSpacing"/>
        <w:numPr>
          <w:ilvl w:val="0"/>
          <w:numId w:val="1"/>
        </w:numPr>
        <w:rPr>
          <w:b/>
          <w:u w:val="single"/>
        </w:rPr>
      </w:pPr>
      <w:r>
        <w:t>M</w:t>
      </w:r>
      <w:r w:rsidR="00326666">
        <w:t xml:space="preserve">inutes </w:t>
      </w:r>
      <w:r w:rsidR="001D16C1">
        <w:t xml:space="preserve">from </w:t>
      </w:r>
      <w:r w:rsidR="0031702C">
        <w:t>6/17</w:t>
      </w:r>
      <w:r>
        <w:t>/</w:t>
      </w:r>
      <w:r w:rsidR="00766E5D">
        <w:t>2</w:t>
      </w:r>
      <w:r w:rsidR="001313EA">
        <w:t>1</w:t>
      </w:r>
      <w:r w:rsidR="001D16C1">
        <w:t xml:space="preserve"> </w:t>
      </w:r>
      <w:r w:rsidR="00326666">
        <w:t xml:space="preserve">were </w:t>
      </w:r>
      <w:r w:rsidR="008451D6">
        <w:t xml:space="preserve">reviewed and </w:t>
      </w:r>
      <w:r w:rsidR="00326666">
        <w:t>approved</w:t>
      </w:r>
      <w:r w:rsidR="009D7657">
        <w:t xml:space="preserve"> </w:t>
      </w:r>
    </w:p>
    <w:p w:rsidR="0031702C" w:rsidRDefault="0031702C" w:rsidP="0031702C">
      <w:pPr>
        <w:pStyle w:val="NoSpacing"/>
        <w:rPr>
          <w:b/>
          <w:u w:val="single"/>
        </w:rPr>
      </w:pPr>
    </w:p>
    <w:p w:rsidR="003C2B32" w:rsidRDefault="00351211" w:rsidP="0031702C">
      <w:pPr>
        <w:pStyle w:val="NoSpacing"/>
        <w:rPr>
          <w:b/>
          <w:u w:val="single"/>
        </w:rPr>
      </w:pPr>
      <w:r>
        <w:rPr>
          <w:b/>
          <w:u w:val="single"/>
        </w:rPr>
        <w:t xml:space="preserve">ERCOT </w:t>
      </w:r>
      <w:r w:rsidR="00CE3D30">
        <w:rPr>
          <w:b/>
          <w:u w:val="single"/>
        </w:rPr>
        <w:t xml:space="preserve">System Instances </w:t>
      </w:r>
      <w:r w:rsidR="00AA3CAF">
        <w:rPr>
          <w:b/>
          <w:u w:val="single"/>
        </w:rPr>
        <w:t>&amp;</w:t>
      </w:r>
      <w:r w:rsidR="00CE3D30">
        <w:rPr>
          <w:b/>
          <w:u w:val="single"/>
        </w:rPr>
        <w:t xml:space="preserve"> MarkeTrak Monthly Performance Review</w:t>
      </w:r>
    </w:p>
    <w:p w:rsidR="00C33E4E" w:rsidRDefault="000C319D" w:rsidP="00A241ED">
      <w:pPr>
        <w:pStyle w:val="NoSpacing"/>
        <w:numPr>
          <w:ilvl w:val="0"/>
          <w:numId w:val="1"/>
        </w:numPr>
      </w:pPr>
      <w:r>
        <w:t xml:space="preserve">All </w:t>
      </w:r>
      <w:r w:rsidR="008A3554">
        <w:t xml:space="preserve">Retail Market IT </w:t>
      </w:r>
      <w:r w:rsidR="00F621D1">
        <w:t xml:space="preserve">SLAs for </w:t>
      </w:r>
      <w:r w:rsidR="007E52DF">
        <w:t>June</w:t>
      </w:r>
      <w:r w:rsidR="000F415E">
        <w:t xml:space="preserve"> </w:t>
      </w:r>
      <w:r w:rsidR="00F621D1">
        <w:t xml:space="preserve">were </w:t>
      </w:r>
      <w:r>
        <w:t>met</w:t>
      </w:r>
    </w:p>
    <w:p w:rsidR="005B05BD" w:rsidRDefault="002A0074" w:rsidP="001F585E">
      <w:pPr>
        <w:pStyle w:val="NoSpacing"/>
        <w:numPr>
          <w:ilvl w:val="0"/>
          <w:numId w:val="1"/>
        </w:numPr>
      </w:pPr>
      <w:r>
        <w:t xml:space="preserve">MarkeTrak performance remains positive on SLOs </w:t>
      </w:r>
      <w:r w:rsidR="007E52DF">
        <w:t>and “back to normal” levels with slight improvement</w:t>
      </w:r>
    </w:p>
    <w:p w:rsidR="000F415E" w:rsidRDefault="007E52DF" w:rsidP="001F585E">
      <w:pPr>
        <w:pStyle w:val="NoSpacing"/>
        <w:numPr>
          <w:ilvl w:val="0"/>
          <w:numId w:val="1"/>
        </w:numPr>
      </w:pPr>
      <w:r>
        <w:t>Quick review of IT Services Reporting (found on SLA page) which is a summary of all market notices impacting system performance</w:t>
      </w:r>
    </w:p>
    <w:p w:rsidR="000F415E" w:rsidRDefault="000F415E" w:rsidP="000F415E">
      <w:pPr>
        <w:pStyle w:val="NoSpacing"/>
        <w:ind w:left="720"/>
      </w:pPr>
    </w:p>
    <w:p w:rsidR="005B05BD" w:rsidRPr="005B05BD" w:rsidRDefault="005B05BD" w:rsidP="005B05BD">
      <w:pPr>
        <w:pStyle w:val="NoSpacing"/>
        <w:rPr>
          <w:b/>
          <w:u w:val="single"/>
        </w:rPr>
      </w:pPr>
      <w:r>
        <w:rPr>
          <w:b/>
          <w:u w:val="single"/>
        </w:rPr>
        <w:t xml:space="preserve">ERCOT </w:t>
      </w:r>
      <w:r w:rsidR="004F3A5D">
        <w:rPr>
          <w:b/>
          <w:u w:val="single"/>
        </w:rPr>
        <w:t xml:space="preserve">Communications - </w:t>
      </w:r>
      <w:proofErr w:type="spellStart"/>
      <w:r w:rsidR="004F3A5D">
        <w:rPr>
          <w:b/>
          <w:u w:val="single"/>
        </w:rPr>
        <w:t>Listserves</w:t>
      </w:r>
      <w:proofErr w:type="spellEnd"/>
    </w:p>
    <w:p w:rsidR="000F415E" w:rsidRDefault="004F3A5D" w:rsidP="004F3A5D">
      <w:pPr>
        <w:pStyle w:val="NoSpacing"/>
        <w:numPr>
          <w:ilvl w:val="0"/>
          <w:numId w:val="12"/>
        </w:numPr>
      </w:pPr>
      <w:r>
        <w:t xml:space="preserve">Mick Hanna reported </w:t>
      </w:r>
      <w:r w:rsidR="007E52DF">
        <w:t>testing is in progress, password staging, and coordinating with vendor on a few deliverables</w:t>
      </w:r>
    </w:p>
    <w:p w:rsidR="007F0580" w:rsidRDefault="007E52DF" w:rsidP="004F3A5D">
      <w:pPr>
        <w:pStyle w:val="NoSpacing"/>
        <w:numPr>
          <w:ilvl w:val="0"/>
          <w:numId w:val="12"/>
        </w:numPr>
      </w:pPr>
      <w:r>
        <w:t xml:space="preserve">Mick further explained the </w:t>
      </w:r>
      <w:proofErr w:type="spellStart"/>
      <w:r>
        <w:t>listserves</w:t>
      </w:r>
      <w:proofErr w:type="spellEnd"/>
      <w:r>
        <w:t xml:space="preserve"> is a </w:t>
      </w:r>
      <w:proofErr w:type="gramStart"/>
      <w:r>
        <w:t>50 gig</w:t>
      </w:r>
      <w:proofErr w:type="gramEnd"/>
      <w:r>
        <w:t xml:space="preserve"> file with transfer to ERCOT systems to occur after hours and “penciled in” to transfer starting around 7/29 and over the weekend</w:t>
      </w:r>
    </w:p>
    <w:p w:rsidR="007F0580" w:rsidRDefault="007E52DF" w:rsidP="007F0580">
      <w:pPr>
        <w:pStyle w:val="NoSpacing"/>
        <w:numPr>
          <w:ilvl w:val="0"/>
          <w:numId w:val="12"/>
        </w:numPr>
      </w:pPr>
      <w:r>
        <w:t xml:space="preserve">No update on the </w:t>
      </w:r>
      <w:r w:rsidR="007F0580">
        <w:t>BACK-UP Plan during outages</w:t>
      </w:r>
      <w:r>
        <w:t xml:space="preserve"> – Mick will continue to work with Ted Hailu.</w:t>
      </w:r>
    </w:p>
    <w:p w:rsidR="00D9194D" w:rsidRDefault="00D9194D" w:rsidP="00D9194D">
      <w:pPr>
        <w:pStyle w:val="NoSpacing"/>
      </w:pPr>
    </w:p>
    <w:p w:rsidR="00D9194D" w:rsidRDefault="00D9194D" w:rsidP="00D9194D">
      <w:pPr>
        <w:pStyle w:val="NoSpacing"/>
        <w:rPr>
          <w:b/>
          <w:u w:val="single"/>
        </w:rPr>
      </w:pPr>
      <w:r w:rsidRPr="008C13D1">
        <w:rPr>
          <w:b/>
          <w:u w:val="single"/>
        </w:rPr>
        <w:t xml:space="preserve">ERCOT MIS API </w:t>
      </w:r>
      <w:r>
        <w:rPr>
          <w:b/>
          <w:u w:val="single"/>
        </w:rPr>
        <w:t>Workshop</w:t>
      </w:r>
    </w:p>
    <w:p w:rsidR="002A0074" w:rsidRDefault="00D9194D" w:rsidP="002A0074">
      <w:pPr>
        <w:pStyle w:val="NoSpacing"/>
      </w:pPr>
      <w:r>
        <w:t xml:space="preserve">Mick </w:t>
      </w:r>
      <w:r w:rsidR="007E52DF">
        <w:t>reported the development team is reviewing the parameters provided by Kyle to see the level of effort for the API view to match the GUI view</w:t>
      </w:r>
      <w:r w:rsidR="00B02EFA">
        <w:t>.</w:t>
      </w:r>
    </w:p>
    <w:p w:rsidR="00B02EFA" w:rsidRDefault="00B02EFA" w:rsidP="002A0074">
      <w:pPr>
        <w:pStyle w:val="NoSpacing"/>
      </w:pPr>
    </w:p>
    <w:p w:rsidR="007A37AE" w:rsidRDefault="002A0074" w:rsidP="007A37AE">
      <w:pPr>
        <w:pStyle w:val="NoSpacing"/>
        <w:rPr>
          <w:b/>
          <w:u w:val="single"/>
        </w:rPr>
      </w:pPr>
      <w:r w:rsidRPr="002A0074">
        <w:rPr>
          <w:b/>
          <w:u w:val="single"/>
        </w:rPr>
        <w:t>ERCOT MarkeTrak Upgrade</w:t>
      </w:r>
      <w:r w:rsidR="007A37AE">
        <w:rPr>
          <w:b/>
          <w:u w:val="single"/>
        </w:rPr>
        <w:t xml:space="preserve"> &amp; </w:t>
      </w:r>
      <w:r w:rsidR="007A37AE" w:rsidRPr="00323CE5">
        <w:rPr>
          <w:b/>
          <w:u w:val="single"/>
        </w:rPr>
        <w:t>SCR</w:t>
      </w:r>
      <w:r w:rsidR="007A37AE">
        <w:rPr>
          <w:b/>
          <w:u w:val="single"/>
        </w:rPr>
        <w:t>815</w:t>
      </w:r>
      <w:r w:rsidR="007A37AE" w:rsidRPr="00323CE5">
        <w:rPr>
          <w:b/>
          <w:u w:val="single"/>
        </w:rPr>
        <w:t xml:space="preserve"> M</w:t>
      </w:r>
      <w:r w:rsidR="007A37AE">
        <w:rPr>
          <w:b/>
          <w:u w:val="single"/>
        </w:rPr>
        <w:t>arke</w:t>
      </w:r>
      <w:r w:rsidR="007A37AE" w:rsidRPr="00323CE5">
        <w:rPr>
          <w:b/>
          <w:u w:val="single"/>
        </w:rPr>
        <w:t>T</w:t>
      </w:r>
      <w:r w:rsidR="007A37AE">
        <w:rPr>
          <w:b/>
          <w:u w:val="single"/>
        </w:rPr>
        <w:t xml:space="preserve">rak </w:t>
      </w:r>
      <w:proofErr w:type="spellStart"/>
      <w:r w:rsidR="007A37AE">
        <w:rPr>
          <w:b/>
          <w:u w:val="single"/>
        </w:rPr>
        <w:t>Admininstrative</w:t>
      </w:r>
      <w:proofErr w:type="spellEnd"/>
      <w:r w:rsidR="007A37AE" w:rsidRPr="00323CE5">
        <w:rPr>
          <w:b/>
          <w:u w:val="single"/>
        </w:rPr>
        <w:t xml:space="preserve"> Enhancements</w:t>
      </w:r>
      <w:r w:rsidR="007A37AE">
        <w:rPr>
          <w:b/>
          <w:u w:val="single"/>
        </w:rPr>
        <w:t xml:space="preserve"> </w:t>
      </w:r>
    </w:p>
    <w:p w:rsidR="002A0074" w:rsidRPr="00386AB4" w:rsidRDefault="00386AB4" w:rsidP="00386AB4">
      <w:pPr>
        <w:pStyle w:val="NoSpacing"/>
        <w:numPr>
          <w:ilvl w:val="0"/>
          <w:numId w:val="30"/>
        </w:numPr>
        <w:rPr>
          <w:b/>
          <w:u w:val="single"/>
        </w:rPr>
      </w:pPr>
      <w:r>
        <w:t>ERCOT continues to work on the Impact Analysis for the technical refresh upgrade for MarkeTrak</w:t>
      </w:r>
    </w:p>
    <w:p w:rsidR="00386AB4" w:rsidRPr="00386AB4" w:rsidRDefault="00386AB4" w:rsidP="00386AB4">
      <w:pPr>
        <w:pStyle w:val="NoSpacing"/>
        <w:numPr>
          <w:ilvl w:val="0"/>
          <w:numId w:val="30"/>
        </w:numPr>
        <w:rPr>
          <w:b/>
          <w:u w:val="single"/>
        </w:rPr>
      </w:pPr>
      <w:r>
        <w:t xml:space="preserve">The IA for SCR815 came back with a 6 – </w:t>
      </w:r>
      <w:proofErr w:type="gramStart"/>
      <w:r>
        <w:t>9 month</w:t>
      </w:r>
      <w:proofErr w:type="gramEnd"/>
      <w:r>
        <w:t xml:space="preserve"> implementation timeline @ $75 – 95K</w:t>
      </w:r>
    </w:p>
    <w:p w:rsidR="00386AB4" w:rsidRPr="00386AB4" w:rsidRDefault="00386AB4" w:rsidP="00386AB4">
      <w:pPr>
        <w:pStyle w:val="NoSpacing"/>
        <w:numPr>
          <w:ilvl w:val="0"/>
          <w:numId w:val="30"/>
        </w:numPr>
        <w:rPr>
          <w:b/>
          <w:u w:val="single"/>
        </w:rPr>
      </w:pPr>
      <w:r>
        <w:t>Dave explained the two projects will be worked in conjunction with each other and in the end, both will align.</w:t>
      </w:r>
    </w:p>
    <w:p w:rsidR="00386AB4" w:rsidRPr="00386AB4" w:rsidRDefault="00386AB4" w:rsidP="00386AB4">
      <w:pPr>
        <w:pStyle w:val="NoSpacing"/>
        <w:numPr>
          <w:ilvl w:val="0"/>
          <w:numId w:val="30"/>
        </w:numPr>
        <w:rPr>
          <w:b/>
          <w:u w:val="single"/>
        </w:rPr>
      </w:pPr>
      <w:r>
        <w:t>ERCOT has a commitment to deliver the tech refresh with an upgrade of the UI first, and the SCR is considered phase II.  With this plan, ERCOT may need to redline the SCR.</w:t>
      </w:r>
    </w:p>
    <w:p w:rsidR="00386AB4" w:rsidRPr="002A0074" w:rsidRDefault="00386AB4" w:rsidP="00386AB4">
      <w:pPr>
        <w:pStyle w:val="NoSpacing"/>
        <w:numPr>
          <w:ilvl w:val="0"/>
          <w:numId w:val="30"/>
        </w:numPr>
        <w:rPr>
          <w:b/>
          <w:u w:val="single"/>
        </w:rPr>
      </w:pPr>
      <w:r>
        <w:t>When asked if the tech refresh would impact APIs, Dave responded no significant impacts, however, WSDLs will change in the SCR</w:t>
      </w:r>
    </w:p>
    <w:p w:rsidR="00D9194D" w:rsidRDefault="00386AB4" w:rsidP="00D9194D">
      <w:pPr>
        <w:pStyle w:val="NoSpacing"/>
        <w:numPr>
          <w:ilvl w:val="0"/>
          <w:numId w:val="28"/>
        </w:numPr>
      </w:pPr>
      <w:r>
        <w:t xml:space="preserve">Dave plans to bring “show and tells” </w:t>
      </w:r>
      <w:r w:rsidR="007945C0">
        <w:t>to TDTMS and RMTTF to use for training development</w:t>
      </w:r>
    </w:p>
    <w:p w:rsidR="007945C0" w:rsidRDefault="007945C0" w:rsidP="00D9194D">
      <w:pPr>
        <w:pStyle w:val="NoSpacing"/>
        <w:numPr>
          <w:ilvl w:val="0"/>
          <w:numId w:val="28"/>
        </w:numPr>
      </w:pPr>
      <w:r>
        <w:t xml:space="preserve">Any workshops planned for the tech refresh?  Not </w:t>
      </w:r>
      <w:proofErr w:type="gramStart"/>
      <w:r>
        <w:t>at this time</w:t>
      </w:r>
      <w:proofErr w:type="gramEnd"/>
      <w:r>
        <w:t>.  It is thought they will not be necessary, however, will certainly pivot if market participants feel a workshop is needed</w:t>
      </w:r>
    </w:p>
    <w:p w:rsidR="007945C0" w:rsidRDefault="007945C0" w:rsidP="00D9194D">
      <w:pPr>
        <w:pStyle w:val="NoSpacing"/>
        <w:numPr>
          <w:ilvl w:val="0"/>
          <w:numId w:val="28"/>
        </w:numPr>
      </w:pPr>
      <w:r>
        <w:t>SCR815 status:</w:t>
      </w:r>
    </w:p>
    <w:p w:rsidR="007945C0" w:rsidRDefault="007945C0" w:rsidP="007945C0">
      <w:pPr>
        <w:pStyle w:val="NoSpacing"/>
        <w:numPr>
          <w:ilvl w:val="1"/>
          <w:numId w:val="28"/>
        </w:numPr>
      </w:pPr>
      <w:r>
        <w:t>IA will be presented at 7/28 TAC</w:t>
      </w:r>
      <w:r w:rsidR="00F5709C">
        <w:t xml:space="preserve"> – then rank and priority</w:t>
      </w:r>
    </w:p>
    <w:p w:rsidR="00F5709C" w:rsidRDefault="00F5709C" w:rsidP="007945C0">
      <w:pPr>
        <w:pStyle w:val="NoSpacing"/>
        <w:numPr>
          <w:ilvl w:val="1"/>
          <w:numId w:val="28"/>
        </w:numPr>
      </w:pPr>
      <w:r>
        <w:t>Presented to Board 8/10</w:t>
      </w:r>
    </w:p>
    <w:p w:rsidR="00D9194D" w:rsidRDefault="00D9194D" w:rsidP="005D1EE7">
      <w:pPr>
        <w:pStyle w:val="NoSpacing"/>
      </w:pPr>
    </w:p>
    <w:p w:rsidR="00015B0C" w:rsidRDefault="00774226" w:rsidP="00774226">
      <w:pPr>
        <w:pStyle w:val="NoSpacing"/>
        <w:rPr>
          <w:b/>
          <w:u w:val="single"/>
        </w:rPr>
      </w:pPr>
      <w:r>
        <w:rPr>
          <w:b/>
          <w:u w:val="single"/>
        </w:rPr>
        <w:t xml:space="preserve">RMGRR 166 – Switch Hold Repository </w:t>
      </w:r>
    </w:p>
    <w:p w:rsidR="00774226" w:rsidRDefault="00F5709C" w:rsidP="00774226">
      <w:pPr>
        <w:pStyle w:val="NoSpacing"/>
      </w:pPr>
      <w:r>
        <w:t xml:space="preserve">Dave </w:t>
      </w:r>
      <w:r w:rsidR="00945CCB">
        <w:t xml:space="preserve">sought clarity </w:t>
      </w:r>
      <w:r w:rsidR="00A72D14">
        <w:t xml:space="preserve">that the ‘certified’ note in the RMGRR can be corrected to ‘secured’ as the Switch Hold lists do not need to be posted by DUNS as the SH list is the </w:t>
      </w:r>
      <w:proofErr w:type="gramStart"/>
      <w:r w:rsidR="00A72D14">
        <w:t>“ master</w:t>
      </w:r>
      <w:proofErr w:type="gramEnd"/>
      <w:r w:rsidR="00A72D14">
        <w:t xml:space="preserve"> list” of all ESIs with current SHs in place.  The modification will be made via desktop edits as opposed to formal comments from ERCOT or TDTMS.</w:t>
      </w:r>
    </w:p>
    <w:p w:rsidR="00A72D14" w:rsidRPr="00774226" w:rsidRDefault="00A72D14" w:rsidP="00774226">
      <w:pPr>
        <w:pStyle w:val="NoSpacing"/>
      </w:pPr>
      <w:r>
        <w:lastRenderedPageBreak/>
        <w:t xml:space="preserve">The IA for RMGRR166 will be presented at the August RMS where rank and priority will be </w:t>
      </w:r>
      <w:proofErr w:type="gramStart"/>
      <w:r>
        <w:t>discussed .</w:t>
      </w:r>
      <w:proofErr w:type="gramEnd"/>
      <w:r>
        <w:t xml:space="preserve">  This would then go to TAC in Aug and if a project is required, Board in October.  </w:t>
      </w:r>
    </w:p>
    <w:p w:rsidR="002A4D17" w:rsidRDefault="002A4D17" w:rsidP="00015B0C">
      <w:pPr>
        <w:pStyle w:val="NoSpacing"/>
        <w:ind w:left="720"/>
        <w:rPr>
          <w:i/>
        </w:rPr>
      </w:pPr>
    </w:p>
    <w:p w:rsidR="002A4D17" w:rsidRDefault="002A4D17" w:rsidP="002A4D17">
      <w:pPr>
        <w:pStyle w:val="NoSpacing"/>
        <w:rPr>
          <w:b/>
          <w:u w:val="single"/>
        </w:rPr>
      </w:pPr>
      <w:r>
        <w:rPr>
          <w:b/>
          <w:u w:val="single"/>
        </w:rPr>
        <w:t>DRAFT RMGRR Switch Hold Removal Documentation</w:t>
      </w:r>
    </w:p>
    <w:p w:rsidR="00A72D14" w:rsidRDefault="001416DA" w:rsidP="00A72D14">
      <w:pPr>
        <w:pStyle w:val="NoSpacing"/>
        <w:numPr>
          <w:ilvl w:val="0"/>
          <w:numId w:val="26"/>
        </w:numPr>
        <w:rPr>
          <w:rFonts w:cstheme="minorHAnsi"/>
          <w:iCs/>
        </w:rPr>
      </w:pPr>
      <w:r>
        <w:rPr>
          <w:rFonts w:cstheme="minorHAnsi"/>
          <w:iCs/>
        </w:rPr>
        <w:t>IAs for both RMGRR 166 and 167 will be reviewed as follows:</w:t>
      </w:r>
    </w:p>
    <w:p w:rsidR="00774226" w:rsidRDefault="00774226" w:rsidP="00774226">
      <w:pPr>
        <w:pStyle w:val="NoSpacing"/>
        <w:numPr>
          <w:ilvl w:val="1"/>
          <w:numId w:val="26"/>
        </w:numPr>
        <w:rPr>
          <w:rFonts w:cstheme="minorHAnsi"/>
          <w:iCs/>
        </w:rPr>
      </w:pPr>
      <w:r>
        <w:rPr>
          <w:rFonts w:cstheme="minorHAnsi"/>
          <w:iCs/>
        </w:rPr>
        <w:t>Aug RMS – IA</w:t>
      </w:r>
    </w:p>
    <w:p w:rsidR="00774226" w:rsidRDefault="00774226" w:rsidP="00774226">
      <w:pPr>
        <w:pStyle w:val="NoSpacing"/>
        <w:numPr>
          <w:ilvl w:val="1"/>
          <w:numId w:val="26"/>
        </w:numPr>
        <w:rPr>
          <w:rFonts w:cstheme="minorHAnsi"/>
          <w:iCs/>
        </w:rPr>
      </w:pPr>
      <w:r>
        <w:rPr>
          <w:rFonts w:cstheme="minorHAnsi"/>
          <w:iCs/>
        </w:rPr>
        <w:t xml:space="preserve">Aug TAC </w:t>
      </w:r>
    </w:p>
    <w:p w:rsidR="002A4D17" w:rsidRDefault="00774226" w:rsidP="00774226">
      <w:pPr>
        <w:pStyle w:val="NoSpacing"/>
        <w:numPr>
          <w:ilvl w:val="1"/>
          <w:numId w:val="26"/>
        </w:numPr>
        <w:rPr>
          <w:rFonts w:cstheme="minorHAnsi"/>
          <w:iCs/>
        </w:rPr>
      </w:pPr>
      <w:r>
        <w:rPr>
          <w:rFonts w:cstheme="minorHAnsi"/>
          <w:iCs/>
        </w:rPr>
        <w:t>Effective date of September</w:t>
      </w:r>
    </w:p>
    <w:p w:rsidR="001416DA" w:rsidRDefault="001416DA" w:rsidP="001416DA">
      <w:pPr>
        <w:pStyle w:val="NoSpacing"/>
        <w:numPr>
          <w:ilvl w:val="0"/>
          <w:numId w:val="26"/>
        </w:numPr>
        <w:rPr>
          <w:rFonts w:cstheme="minorHAnsi"/>
          <w:iCs/>
        </w:rPr>
      </w:pPr>
      <w:r>
        <w:rPr>
          <w:rFonts w:cstheme="minorHAnsi"/>
          <w:iCs/>
        </w:rPr>
        <w:t>Plan is for the new form to be rolled out immediately effective 9/1/21 with a transition period of 30 days and effective 10/1/21, only the new form will be accepted with submittal of SH Removal MarkeTrak.   The ACTION item below still applies to remind market participants of change.</w:t>
      </w:r>
    </w:p>
    <w:p w:rsidR="00774226" w:rsidRDefault="00774226" w:rsidP="00774226">
      <w:pPr>
        <w:pStyle w:val="NoSpacing"/>
        <w:numPr>
          <w:ilvl w:val="0"/>
          <w:numId w:val="26"/>
        </w:numPr>
        <w:rPr>
          <w:rFonts w:cstheme="minorHAnsi"/>
          <w:iCs/>
        </w:rPr>
      </w:pPr>
      <w:r w:rsidRPr="00625565">
        <w:rPr>
          <w:rFonts w:cstheme="minorHAnsi"/>
          <w:iCs/>
          <w:highlight w:val="yellow"/>
        </w:rPr>
        <w:t>ACTION ITEM</w:t>
      </w:r>
      <w:r>
        <w:rPr>
          <w:rFonts w:cstheme="minorHAnsi"/>
          <w:iCs/>
        </w:rPr>
        <w:t>:  a reminder of updated NOS forms will be sent via market notice on 8/16 to ensure market participants are utilizing the latest form</w:t>
      </w:r>
      <w:r w:rsidR="001416DA">
        <w:rPr>
          <w:rFonts w:cstheme="minorHAnsi"/>
          <w:iCs/>
        </w:rPr>
        <w:t xml:space="preserve"> with the above effective dates noted.</w:t>
      </w:r>
    </w:p>
    <w:p w:rsidR="00E445C0" w:rsidRDefault="00E445C0" w:rsidP="00E445C0">
      <w:pPr>
        <w:pStyle w:val="NoSpacing"/>
        <w:rPr>
          <w:rFonts w:cstheme="minorHAnsi"/>
          <w:iCs/>
        </w:rPr>
      </w:pPr>
    </w:p>
    <w:p w:rsidR="00E445C0" w:rsidRDefault="00E445C0" w:rsidP="00E445C0">
      <w:pPr>
        <w:pStyle w:val="NoSpacing"/>
        <w:rPr>
          <w:rFonts w:cstheme="minorHAnsi"/>
          <w:b/>
          <w:iCs/>
          <w:u w:val="single"/>
        </w:rPr>
      </w:pPr>
      <w:r w:rsidRPr="00E445C0">
        <w:rPr>
          <w:rFonts w:cstheme="minorHAnsi"/>
          <w:b/>
          <w:iCs/>
          <w:u w:val="single"/>
        </w:rPr>
        <w:t xml:space="preserve">MT Enhancements </w:t>
      </w:r>
      <w:r>
        <w:rPr>
          <w:rFonts w:cstheme="minorHAnsi"/>
          <w:b/>
          <w:iCs/>
          <w:u w:val="single"/>
        </w:rPr>
        <w:t>–</w:t>
      </w:r>
      <w:r w:rsidRPr="00E445C0">
        <w:rPr>
          <w:rFonts w:cstheme="minorHAnsi"/>
          <w:b/>
          <w:iCs/>
          <w:u w:val="single"/>
        </w:rPr>
        <w:t xml:space="preserve"> Validations</w:t>
      </w:r>
    </w:p>
    <w:p w:rsidR="00E445C0" w:rsidRDefault="00E9774C" w:rsidP="00E445C0">
      <w:pPr>
        <w:pStyle w:val="NoSpacing"/>
        <w:rPr>
          <w:rFonts w:cstheme="minorHAnsi"/>
          <w:iCs/>
        </w:rPr>
      </w:pPr>
      <w:r>
        <w:rPr>
          <w:rFonts w:cstheme="minorHAnsi"/>
          <w:iCs/>
        </w:rPr>
        <w:t>T</w:t>
      </w:r>
      <w:r w:rsidR="007C0887">
        <w:rPr>
          <w:rFonts w:cstheme="minorHAnsi"/>
          <w:iCs/>
        </w:rPr>
        <w:t xml:space="preserve">he below timeline was discussed in planning </w:t>
      </w:r>
      <w:r w:rsidR="008A2659">
        <w:rPr>
          <w:rFonts w:cstheme="minorHAnsi"/>
          <w:iCs/>
        </w:rPr>
        <w:t xml:space="preserve">the submission of the DRAFT SCR for the </w:t>
      </w:r>
      <w:r w:rsidR="002956E8">
        <w:rPr>
          <w:rFonts w:cstheme="minorHAnsi"/>
          <w:iCs/>
        </w:rPr>
        <w:t xml:space="preserve">MarkeTrak Validation Enhancements.  </w:t>
      </w:r>
      <w:r w:rsidR="001E6B2D">
        <w:rPr>
          <w:rFonts w:cstheme="minorHAnsi"/>
          <w:iCs/>
        </w:rPr>
        <w:t>T</w:t>
      </w:r>
      <w:r w:rsidR="004E7003">
        <w:rPr>
          <w:rFonts w:cstheme="minorHAnsi"/>
          <w:iCs/>
        </w:rPr>
        <w:t xml:space="preserve">he goal is to complete review of all proposed suggestions during the July meeting.  At the August meeting, Sheri will present a DRAFT SCR for final review prior to submission to </w:t>
      </w:r>
      <w:r w:rsidR="001E6B2D">
        <w:rPr>
          <w:rFonts w:cstheme="minorHAnsi"/>
          <w:iCs/>
        </w:rPr>
        <w:t xml:space="preserve">September </w:t>
      </w:r>
      <w:r w:rsidR="004E7003">
        <w:rPr>
          <w:rFonts w:cstheme="minorHAnsi"/>
          <w:iCs/>
        </w:rPr>
        <w:t>RMS</w:t>
      </w:r>
      <w:r w:rsidR="001E6B2D">
        <w:rPr>
          <w:rFonts w:cstheme="minorHAnsi"/>
          <w:iCs/>
        </w:rPr>
        <w:t xml:space="preserve"> as noted below.</w:t>
      </w:r>
      <w:r w:rsidR="004E7003">
        <w:rPr>
          <w:rFonts w:cstheme="minorHAnsi"/>
          <w:iCs/>
        </w:rPr>
        <w:t xml:space="preserve">  </w:t>
      </w:r>
    </w:p>
    <w:p w:rsidR="00CB5E0C" w:rsidRDefault="00CB5E0C" w:rsidP="00E445C0">
      <w:pPr>
        <w:pStyle w:val="NoSpacing"/>
        <w:rPr>
          <w:rFonts w:cstheme="minorHAnsi"/>
          <w:iCs/>
        </w:rPr>
      </w:pPr>
    </w:p>
    <w:tbl>
      <w:tblPr>
        <w:tblW w:w="5000" w:type="pct"/>
        <w:tblCellMar>
          <w:left w:w="0" w:type="dxa"/>
          <w:right w:w="0" w:type="dxa"/>
        </w:tblCellMar>
        <w:tblLook w:val="04A0" w:firstRow="1" w:lastRow="0" w:firstColumn="1" w:lastColumn="0" w:noHBand="0" w:noVBand="1"/>
      </w:tblPr>
      <w:tblGrid>
        <w:gridCol w:w="1026"/>
        <w:gridCol w:w="1705"/>
        <w:gridCol w:w="905"/>
        <w:gridCol w:w="972"/>
        <w:gridCol w:w="1390"/>
        <w:gridCol w:w="972"/>
        <w:gridCol w:w="999"/>
        <w:gridCol w:w="1393"/>
        <w:gridCol w:w="1428"/>
      </w:tblGrid>
      <w:tr w:rsidR="00522605" w:rsidTr="00522605">
        <w:trPr>
          <w:trHeight w:val="300"/>
        </w:trPr>
        <w:tc>
          <w:tcPr>
            <w:tcW w:w="610" w:type="pct"/>
            <w:noWrap/>
            <w:tcMar>
              <w:top w:w="0" w:type="dxa"/>
              <w:left w:w="108" w:type="dxa"/>
              <w:bottom w:w="0" w:type="dxa"/>
              <w:right w:w="108" w:type="dxa"/>
            </w:tcMar>
            <w:vAlign w:val="bottom"/>
            <w:hideMark/>
          </w:tcPr>
          <w:p w:rsidR="001E6B2D" w:rsidRDefault="001E6B2D"/>
        </w:tc>
        <w:tc>
          <w:tcPr>
            <w:tcW w:w="719" w:type="pct"/>
            <w:tcBorders>
              <w:top w:val="single" w:sz="8" w:space="0" w:color="auto"/>
              <w:left w:val="single" w:sz="8" w:space="0" w:color="auto"/>
              <w:bottom w:val="nil"/>
              <w:right w:val="single" w:sz="8" w:space="0" w:color="auto"/>
            </w:tcBorders>
            <w:shd w:val="clear" w:color="auto" w:fill="70AD47"/>
            <w:noWrap/>
            <w:tcMar>
              <w:top w:w="0" w:type="dxa"/>
              <w:left w:w="108" w:type="dxa"/>
              <w:bottom w:w="0" w:type="dxa"/>
              <w:right w:w="108" w:type="dxa"/>
            </w:tcMar>
            <w:vAlign w:val="bottom"/>
            <w:hideMark/>
          </w:tcPr>
          <w:p w:rsidR="001E6B2D" w:rsidRDefault="001E6B2D">
            <w:pPr>
              <w:spacing w:line="256" w:lineRule="auto"/>
              <w:jc w:val="center"/>
              <w:rPr>
                <w:rFonts w:ascii="Calibri" w:hAnsi="Calibri" w:cs="Calibri"/>
                <w:color w:val="000000"/>
              </w:rPr>
            </w:pPr>
            <w:r>
              <w:rPr>
                <w:color w:val="000000"/>
              </w:rPr>
              <w:t>September</w:t>
            </w:r>
          </w:p>
        </w:tc>
        <w:tc>
          <w:tcPr>
            <w:tcW w:w="377" w:type="pct"/>
            <w:tcBorders>
              <w:top w:val="single" w:sz="8" w:space="0" w:color="auto"/>
              <w:left w:val="nil"/>
              <w:bottom w:val="nil"/>
              <w:right w:val="single" w:sz="8" w:space="0" w:color="auto"/>
            </w:tcBorders>
            <w:shd w:val="clear" w:color="auto" w:fill="7B7B7B"/>
            <w:hideMark/>
          </w:tcPr>
          <w:p w:rsidR="001E6B2D" w:rsidRDefault="001E6B2D">
            <w:pPr>
              <w:spacing w:line="256" w:lineRule="auto"/>
              <w:jc w:val="center"/>
              <w:rPr>
                <w:color w:val="000000"/>
              </w:rPr>
            </w:pPr>
            <w:r>
              <w:rPr>
                <w:color w:val="000000"/>
              </w:rPr>
              <w:t>Posting Deadline</w:t>
            </w:r>
          </w:p>
        </w:tc>
        <w:tc>
          <w:tcPr>
            <w:tcW w:w="1192" w:type="pct"/>
            <w:gridSpan w:val="2"/>
            <w:tcBorders>
              <w:top w:val="single" w:sz="8" w:space="0" w:color="auto"/>
              <w:left w:val="nil"/>
              <w:bottom w:val="nil"/>
              <w:right w:val="single" w:sz="8" w:space="0" w:color="auto"/>
            </w:tcBorders>
            <w:shd w:val="clear" w:color="auto" w:fill="ED7D31"/>
            <w:noWrap/>
            <w:tcMar>
              <w:top w:w="0" w:type="dxa"/>
              <w:left w:w="108" w:type="dxa"/>
              <w:bottom w:w="0" w:type="dxa"/>
              <w:right w:w="108" w:type="dxa"/>
            </w:tcMar>
            <w:vAlign w:val="bottom"/>
            <w:hideMark/>
          </w:tcPr>
          <w:p w:rsidR="001E6B2D" w:rsidRDefault="001E6B2D">
            <w:pPr>
              <w:spacing w:line="256" w:lineRule="auto"/>
              <w:jc w:val="center"/>
              <w:rPr>
                <w:color w:val="000000"/>
              </w:rPr>
            </w:pPr>
            <w:r>
              <w:rPr>
                <w:color w:val="000000"/>
              </w:rPr>
              <w:t>October</w:t>
            </w:r>
          </w:p>
        </w:tc>
        <w:tc>
          <w:tcPr>
            <w:tcW w:w="1478" w:type="pct"/>
            <w:gridSpan w:val="3"/>
            <w:tcBorders>
              <w:top w:val="single" w:sz="8" w:space="0" w:color="auto"/>
              <w:left w:val="nil"/>
              <w:bottom w:val="nil"/>
              <w:right w:val="single" w:sz="8" w:space="0" w:color="auto"/>
            </w:tcBorders>
            <w:shd w:val="clear" w:color="auto" w:fill="FFC000"/>
            <w:noWrap/>
            <w:tcMar>
              <w:top w:w="0" w:type="dxa"/>
              <w:left w:w="108" w:type="dxa"/>
              <w:bottom w:w="0" w:type="dxa"/>
              <w:right w:w="108" w:type="dxa"/>
            </w:tcMar>
            <w:vAlign w:val="bottom"/>
            <w:hideMark/>
          </w:tcPr>
          <w:p w:rsidR="001E6B2D" w:rsidRDefault="001E6B2D">
            <w:pPr>
              <w:spacing w:line="256" w:lineRule="auto"/>
              <w:jc w:val="center"/>
              <w:rPr>
                <w:color w:val="000000"/>
              </w:rPr>
            </w:pPr>
            <w:r>
              <w:rPr>
                <w:color w:val="000000"/>
              </w:rPr>
              <w:t>November</w:t>
            </w:r>
          </w:p>
        </w:tc>
        <w:tc>
          <w:tcPr>
            <w:tcW w:w="623" w:type="pct"/>
            <w:tcBorders>
              <w:top w:val="single" w:sz="8" w:space="0" w:color="auto"/>
              <w:left w:val="nil"/>
              <w:bottom w:val="nil"/>
              <w:right w:val="single" w:sz="8" w:space="0" w:color="auto"/>
            </w:tcBorders>
            <w:shd w:val="clear" w:color="auto" w:fill="5B9BD5"/>
            <w:noWrap/>
            <w:tcMar>
              <w:top w:w="0" w:type="dxa"/>
              <w:left w:w="108" w:type="dxa"/>
              <w:bottom w:w="0" w:type="dxa"/>
              <w:right w:w="108" w:type="dxa"/>
            </w:tcMar>
            <w:vAlign w:val="center"/>
            <w:hideMark/>
          </w:tcPr>
          <w:p w:rsidR="001E6B2D" w:rsidRDefault="001E6B2D">
            <w:pPr>
              <w:spacing w:line="256" w:lineRule="auto"/>
              <w:jc w:val="center"/>
              <w:rPr>
                <w:color w:val="000000"/>
              </w:rPr>
            </w:pPr>
            <w:r>
              <w:rPr>
                <w:color w:val="000000"/>
              </w:rPr>
              <w:t>December</w:t>
            </w:r>
          </w:p>
        </w:tc>
      </w:tr>
      <w:tr w:rsidR="001E6B2D" w:rsidTr="00522605">
        <w:trPr>
          <w:trHeight w:val="315"/>
        </w:trPr>
        <w:tc>
          <w:tcPr>
            <w:tcW w:w="610" w:type="pct"/>
            <w:tcBorders>
              <w:top w:val="single" w:sz="8" w:space="0" w:color="auto"/>
              <w:left w:val="single" w:sz="8" w:space="0" w:color="auto"/>
              <w:bottom w:val="double" w:sz="6" w:space="0" w:color="auto"/>
              <w:right w:val="single" w:sz="8" w:space="0" w:color="auto"/>
            </w:tcBorders>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 </w:t>
            </w:r>
          </w:p>
        </w:tc>
        <w:tc>
          <w:tcPr>
            <w:tcW w:w="719" w:type="pct"/>
            <w:tcBorders>
              <w:top w:val="single" w:sz="8" w:space="0" w:color="auto"/>
              <w:left w:val="nil"/>
              <w:bottom w:val="double" w:sz="6" w:space="0" w:color="auto"/>
              <w:right w:val="single" w:sz="8" w:space="0" w:color="auto"/>
            </w:tcBorders>
            <w:shd w:val="clear" w:color="auto" w:fill="E2EFDA"/>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RMS (9/14)</w:t>
            </w:r>
          </w:p>
        </w:tc>
        <w:tc>
          <w:tcPr>
            <w:tcW w:w="377" w:type="pct"/>
            <w:tcBorders>
              <w:top w:val="single" w:sz="8" w:space="0" w:color="auto"/>
              <w:left w:val="nil"/>
              <w:bottom w:val="double" w:sz="6" w:space="0" w:color="auto"/>
              <w:right w:val="single" w:sz="8" w:space="0" w:color="auto"/>
            </w:tcBorders>
            <w:shd w:val="clear" w:color="auto" w:fill="DBDBDB"/>
          </w:tcPr>
          <w:p w:rsidR="001E6B2D" w:rsidRDefault="001E6B2D">
            <w:pPr>
              <w:spacing w:line="256" w:lineRule="auto"/>
              <w:rPr>
                <w:color w:val="000000"/>
              </w:rPr>
            </w:pPr>
          </w:p>
        </w:tc>
        <w:tc>
          <w:tcPr>
            <w:tcW w:w="604" w:type="pct"/>
            <w:tcBorders>
              <w:top w:val="single" w:sz="8" w:space="0" w:color="auto"/>
              <w:left w:val="nil"/>
              <w:bottom w:val="double" w:sz="6" w:space="0" w:color="auto"/>
              <w:right w:val="single" w:sz="8" w:space="0" w:color="auto"/>
            </w:tcBorders>
            <w:shd w:val="clear" w:color="auto" w:fill="FCE4D6"/>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RMS (10/5)</w:t>
            </w:r>
          </w:p>
        </w:tc>
        <w:tc>
          <w:tcPr>
            <w:tcW w:w="588" w:type="pct"/>
            <w:tcBorders>
              <w:top w:val="single" w:sz="8" w:space="0" w:color="auto"/>
              <w:left w:val="nil"/>
              <w:bottom w:val="double" w:sz="6" w:space="0" w:color="auto"/>
              <w:right w:val="single" w:sz="8" w:space="0" w:color="auto"/>
            </w:tcBorders>
            <w:shd w:val="clear" w:color="auto" w:fill="FCE4D6"/>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PRS (10/14)</w:t>
            </w:r>
          </w:p>
        </w:tc>
        <w:tc>
          <w:tcPr>
            <w:tcW w:w="424" w:type="pct"/>
            <w:tcBorders>
              <w:top w:val="single" w:sz="8" w:space="0" w:color="auto"/>
              <w:left w:val="nil"/>
              <w:bottom w:val="double" w:sz="6" w:space="0" w:color="auto"/>
              <w:right w:val="single" w:sz="8" w:space="0" w:color="auto"/>
            </w:tcBorders>
            <w:shd w:val="clear" w:color="auto" w:fill="FFF2CC"/>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RMS (11/2)</w:t>
            </w:r>
          </w:p>
        </w:tc>
        <w:tc>
          <w:tcPr>
            <w:tcW w:w="425" w:type="pct"/>
            <w:tcBorders>
              <w:top w:val="single" w:sz="8" w:space="0" w:color="auto"/>
              <w:left w:val="nil"/>
              <w:bottom w:val="double" w:sz="6" w:space="0" w:color="auto"/>
              <w:right w:val="single" w:sz="8" w:space="0" w:color="auto"/>
            </w:tcBorders>
            <w:shd w:val="clear" w:color="auto" w:fill="FFF2CC"/>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PRS (11/10)</w:t>
            </w:r>
          </w:p>
        </w:tc>
        <w:tc>
          <w:tcPr>
            <w:tcW w:w="629" w:type="pct"/>
            <w:tcBorders>
              <w:top w:val="single" w:sz="8" w:space="0" w:color="auto"/>
              <w:left w:val="nil"/>
              <w:bottom w:val="double" w:sz="6" w:space="0" w:color="auto"/>
              <w:right w:val="single" w:sz="8" w:space="0" w:color="auto"/>
            </w:tcBorders>
            <w:shd w:val="clear" w:color="auto" w:fill="FFF2CC"/>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TAC (11/17)</w:t>
            </w:r>
          </w:p>
        </w:tc>
        <w:tc>
          <w:tcPr>
            <w:tcW w:w="623" w:type="pct"/>
            <w:tcBorders>
              <w:top w:val="single" w:sz="8" w:space="0" w:color="auto"/>
              <w:left w:val="nil"/>
              <w:bottom w:val="double" w:sz="6" w:space="0" w:color="auto"/>
              <w:right w:val="single" w:sz="8" w:space="0" w:color="auto"/>
            </w:tcBorders>
            <w:shd w:val="clear" w:color="auto" w:fill="DDEBF7"/>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Board (12/14)</w:t>
            </w:r>
          </w:p>
        </w:tc>
      </w:tr>
      <w:tr w:rsidR="001E6B2D" w:rsidTr="00522605">
        <w:trPr>
          <w:trHeight w:val="315"/>
        </w:trPr>
        <w:tc>
          <w:tcPr>
            <w:tcW w:w="61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E6B2D" w:rsidRDefault="001E6B2D">
            <w:pPr>
              <w:spacing w:line="256" w:lineRule="auto"/>
              <w:rPr>
                <w:color w:val="000000"/>
              </w:rPr>
            </w:pPr>
            <w:proofErr w:type="gramStart"/>
            <w:r>
              <w:rPr>
                <w:color w:val="000000"/>
              </w:rPr>
              <w:t>SCR  </w:t>
            </w:r>
            <w:r>
              <w:rPr>
                <w:color w:val="0070C0"/>
              </w:rPr>
              <w:t>-</w:t>
            </w:r>
            <w:proofErr w:type="gramEnd"/>
            <w:r>
              <w:rPr>
                <w:i/>
                <w:iCs/>
                <w:color w:val="0070C0"/>
                <w:sz w:val="20"/>
                <w:szCs w:val="20"/>
              </w:rPr>
              <w:t>TDTMS</w:t>
            </w:r>
          </w:p>
        </w:tc>
        <w:tc>
          <w:tcPr>
            <w:tcW w:w="719" w:type="pct"/>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Vote to Approve Filing</w:t>
            </w:r>
          </w:p>
        </w:tc>
        <w:tc>
          <w:tcPr>
            <w:tcW w:w="377" w:type="pct"/>
            <w:tcBorders>
              <w:top w:val="nil"/>
              <w:left w:val="nil"/>
              <w:bottom w:val="single" w:sz="8" w:space="0" w:color="auto"/>
              <w:right w:val="single" w:sz="8" w:space="0" w:color="auto"/>
            </w:tcBorders>
            <w:shd w:val="clear" w:color="auto" w:fill="DBDBDB"/>
            <w:vAlign w:val="center"/>
            <w:hideMark/>
          </w:tcPr>
          <w:p w:rsidR="001E6B2D" w:rsidRDefault="001E6B2D">
            <w:pPr>
              <w:spacing w:line="256" w:lineRule="auto"/>
              <w:jc w:val="center"/>
              <w:rPr>
                <w:color w:val="000000"/>
              </w:rPr>
            </w:pPr>
            <w:r>
              <w:rPr>
                <w:color w:val="000000"/>
              </w:rPr>
              <w:t>9/29 (Wednesday)</w:t>
            </w:r>
          </w:p>
        </w:tc>
        <w:tc>
          <w:tcPr>
            <w:tcW w:w="604" w:type="pct"/>
            <w:tcBorders>
              <w:top w:val="nil"/>
              <w:left w:val="nil"/>
              <w:bottom w:val="single" w:sz="8" w:space="0" w:color="auto"/>
              <w:right w:val="single" w:sz="8" w:space="0" w:color="auto"/>
            </w:tcBorders>
            <w:shd w:val="clear" w:color="auto" w:fill="FCE4D6"/>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 </w:t>
            </w:r>
          </w:p>
        </w:tc>
        <w:tc>
          <w:tcPr>
            <w:tcW w:w="588" w:type="pct"/>
            <w:tcBorders>
              <w:top w:val="nil"/>
              <w:left w:val="nil"/>
              <w:bottom w:val="single" w:sz="8" w:space="0" w:color="auto"/>
              <w:right w:val="single" w:sz="8" w:space="0" w:color="auto"/>
            </w:tcBorders>
            <w:shd w:val="clear" w:color="auto" w:fill="FCE4D6"/>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 xml:space="preserve"> Vote to Approve  </w:t>
            </w:r>
            <w:r>
              <w:rPr>
                <w:color w:val="000000"/>
              </w:rPr>
              <w:br/>
              <w:t> Language</w:t>
            </w:r>
          </w:p>
        </w:tc>
        <w:tc>
          <w:tcPr>
            <w:tcW w:w="424"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 </w:t>
            </w:r>
          </w:p>
        </w:tc>
        <w:tc>
          <w:tcPr>
            <w:tcW w:w="425"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 xml:space="preserve"> Vote to </w:t>
            </w:r>
            <w:r>
              <w:rPr>
                <w:color w:val="000000"/>
              </w:rPr>
              <w:br/>
              <w:t> Approve IA</w:t>
            </w:r>
          </w:p>
        </w:tc>
        <w:tc>
          <w:tcPr>
            <w:tcW w:w="629"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 xml:space="preserve"> Vote to Endorse </w:t>
            </w:r>
            <w:r>
              <w:rPr>
                <w:color w:val="000000"/>
              </w:rPr>
              <w:br/>
              <w:t> Revision Request</w:t>
            </w:r>
          </w:p>
        </w:tc>
        <w:tc>
          <w:tcPr>
            <w:tcW w:w="623" w:type="pct"/>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rsidR="001E6B2D" w:rsidRDefault="001E6B2D">
            <w:pPr>
              <w:spacing w:line="256" w:lineRule="auto"/>
              <w:rPr>
                <w:color w:val="000000"/>
              </w:rPr>
            </w:pPr>
            <w:r>
              <w:rPr>
                <w:color w:val="000000"/>
              </w:rPr>
              <w:t> Vote to Approve  </w:t>
            </w:r>
            <w:r>
              <w:rPr>
                <w:color w:val="000000"/>
              </w:rPr>
              <w:br/>
              <w:t> Revision Request</w:t>
            </w:r>
          </w:p>
        </w:tc>
      </w:tr>
    </w:tbl>
    <w:p w:rsidR="001E6B2D" w:rsidRDefault="001E6B2D" w:rsidP="00E445C0">
      <w:pPr>
        <w:pStyle w:val="NoSpacing"/>
        <w:rPr>
          <w:rFonts w:cstheme="minorHAnsi"/>
          <w:iCs/>
        </w:rPr>
      </w:pPr>
    </w:p>
    <w:p w:rsidR="006A18CD" w:rsidRDefault="006A18CD" w:rsidP="00E445C0">
      <w:pPr>
        <w:pStyle w:val="NoSpacing"/>
        <w:rPr>
          <w:rFonts w:cstheme="minorHAnsi"/>
          <w:iCs/>
        </w:rPr>
      </w:pPr>
    </w:p>
    <w:p w:rsidR="00522605" w:rsidRDefault="006A18CD" w:rsidP="00E445C0">
      <w:pPr>
        <w:pStyle w:val="NoSpacing"/>
        <w:rPr>
          <w:rFonts w:cstheme="minorHAnsi"/>
          <w:iCs/>
        </w:rPr>
      </w:pPr>
      <w:r>
        <w:rPr>
          <w:rFonts w:cstheme="minorHAnsi"/>
          <w:iCs/>
        </w:rPr>
        <w:t xml:space="preserve">The attached spreadsheet was modified as the WG </w:t>
      </w:r>
      <w:r w:rsidR="001E6B2D">
        <w:rPr>
          <w:rFonts w:cstheme="minorHAnsi"/>
          <w:iCs/>
        </w:rPr>
        <w:t xml:space="preserve">quickly reviewed the June revisions (General and IAG) and completed review of Missing Enrollment Transactions, Switch Holds, Usage &amp; Billing, and Additional Subtypes.  </w:t>
      </w:r>
      <w:r>
        <w:rPr>
          <w:rFonts w:cstheme="minorHAnsi"/>
          <w:iCs/>
        </w:rPr>
        <w:t xml:space="preserve"> </w:t>
      </w:r>
    </w:p>
    <w:p w:rsidR="00522605" w:rsidRDefault="00522605" w:rsidP="00E445C0">
      <w:pPr>
        <w:pStyle w:val="NoSpacing"/>
        <w:rPr>
          <w:rFonts w:cstheme="minorHAnsi"/>
          <w:iCs/>
        </w:rPr>
      </w:pPr>
      <w:r>
        <w:rPr>
          <w:rFonts w:cstheme="minorHAnsi"/>
          <w:iCs/>
        </w:rPr>
        <w:object w:dxaOrig="1479"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1pt;height:48.6pt" o:ole="">
            <v:imagedata r:id="rId6" o:title=""/>
          </v:shape>
          <o:OLEObject Type="Embed" ProgID="Excel.Sheet.8" ShapeID="_x0000_i1027" DrawAspect="Icon" ObjectID="_1688826566" r:id="rId7"/>
        </w:object>
      </w:r>
    </w:p>
    <w:p w:rsidR="00522605" w:rsidRDefault="00522605" w:rsidP="00E445C0">
      <w:pPr>
        <w:pStyle w:val="NoSpacing"/>
        <w:rPr>
          <w:rFonts w:cstheme="minorHAnsi"/>
          <w:iCs/>
        </w:rPr>
      </w:pPr>
    </w:p>
    <w:p w:rsidR="00B5220F" w:rsidRDefault="00FF3C68" w:rsidP="00E445C0">
      <w:pPr>
        <w:pStyle w:val="NoSpacing"/>
        <w:rPr>
          <w:rFonts w:cstheme="minorHAnsi"/>
          <w:iCs/>
        </w:rPr>
      </w:pPr>
      <w:r>
        <w:rPr>
          <w:rFonts w:cstheme="minorHAnsi"/>
          <w:iCs/>
        </w:rPr>
        <w:t>At a high level, the following are the proposed validation enhancements:</w:t>
      </w:r>
    </w:p>
    <w:p w:rsidR="00FF3C68" w:rsidRDefault="00ED192F" w:rsidP="00FF3C68">
      <w:pPr>
        <w:pStyle w:val="NoSpacing"/>
        <w:numPr>
          <w:ilvl w:val="0"/>
          <w:numId w:val="31"/>
        </w:numPr>
        <w:rPr>
          <w:rFonts w:cstheme="minorHAnsi"/>
          <w:iCs/>
        </w:rPr>
      </w:pPr>
      <w:r>
        <w:rPr>
          <w:rFonts w:cstheme="minorHAnsi"/>
          <w:iCs/>
        </w:rPr>
        <w:t>Requiring mandatory comments for any ‘negative’ (</w:t>
      </w:r>
      <w:proofErr w:type="spellStart"/>
      <w:r>
        <w:rPr>
          <w:rFonts w:cstheme="minorHAnsi"/>
          <w:iCs/>
        </w:rPr>
        <w:t>unexecutable</w:t>
      </w:r>
      <w:proofErr w:type="spellEnd"/>
      <w:r>
        <w:rPr>
          <w:rFonts w:cstheme="minorHAnsi"/>
          <w:iCs/>
        </w:rPr>
        <w:t>) transition</w:t>
      </w:r>
    </w:p>
    <w:p w:rsidR="00ED192F" w:rsidRDefault="00ED192F" w:rsidP="00FF3C68">
      <w:pPr>
        <w:pStyle w:val="NoSpacing"/>
        <w:numPr>
          <w:ilvl w:val="0"/>
          <w:numId w:val="31"/>
        </w:numPr>
        <w:rPr>
          <w:rFonts w:cstheme="minorHAnsi"/>
          <w:iCs/>
        </w:rPr>
      </w:pPr>
      <w:r>
        <w:rPr>
          <w:rFonts w:cstheme="minorHAnsi"/>
          <w:iCs/>
        </w:rPr>
        <w:t>Pop Up on IAG/IAL if regain date is &gt; 150 days (regain date vs current date)</w:t>
      </w:r>
    </w:p>
    <w:p w:rsidR="00ED192F" w:rsidRDefault="00ED192F" w:rsidP="00FF3C68">
      <w:pPr>
        <w:pStyle w:val="NoSpacing"/>
        <w:numPr>
          <w:ilvl w:val="0"/>
          <w:numId w:val="31"/>
        </w:numPr>
        <w:rPr>
          <w:rFonts w:cstheme="minorHAnsi"/>
          <w:iCs/>
        </w:rPr>
      </w:pPr>
      <w:r>
        <w:rPr>
          <w:rFonts w:cstheme="minorHAnsi"/>
          <w:iCs/>
        </w:rPr>
        <w:t>Adjustment of Rescission window from 25 days to 15 days from date of OTRAN</w:t>
      </w:r>
    </w:p>
    <w:p w:rsidR="00ED192F" w:rsidRDefault="00ED192F" w:rsidP="00FF3C68">
      <w:pPr>
        <w:pStyle w:val="NoSpacing"/>
        <w:numPr>
          <w:ilvl w:val="0"/>
          <w:numId w:val="31"/>
        </w:numPr>
        <w:rPr>
          <w:rFonts w:cstheme="minorHAnsi"/>
          <w:iCs/>
        </w:rPr>
      </w:pPr>
      <w:r>
        <w:rPr>
          <w:rFonts w:cstheme="minorHAnsi"/>
          <w:iCs/>
        </w:rPr>
        <w:t>Creation of new Meter Cycle Change Request subtype</w:t>
      </w:r>
    </w:p>
    <w:p w:rsidR="00ED192F" w:rsidRDefault="00ED192F" w:rsidP="00FF3C68">
      <w:pPr>
        <w:pStyle w:val="NoSpacing"/>
        <w:numPr>
          <w:ilvl w:val="0"/>
          <w:numId w:val="31"/>
        </w:numPr>
        <w:rPr>
          <w:rFonts w:cstheme="minorHAnsi"/>
          <w:iCs/>
        </w:rPr>
      </w:pPr>
      <w:r>
        <w:rPr>
          <w:rFonts w:cstheme="minorHAnsi"/>
          <w:iCs/>
        </w:rPr>
        <w:t>Creation of new “867 vs Sum of LSE Intervals – Dispute subtype</w:t>
      </w:r>
    </w:p>
    <w:p w:rsidR="00ED192F" w:rsidRDefault="00ED192F" w:rsidP="00FF3C68">
      <w:pPr>
        <w:pStyle w:val="NoSpacing"/>
        <w:numPr>
          <w:ilvl w:val="0"/>
          <w:numId w:val="31"/>
        </w:numPr>
        <w:rPr>
          <w:rFonts w:cstheme="minorHAnsi"/>
          <w:iCs/>
        </w:rPr>
      </w:pPr>
      <w:r>
        <w:rPr>
          <w:rFonts w:cstheme="minorHAnsi"/>
          <w:iCs/>
        </w:rPr>
        <w:t xml:space="preserve">Further clarification on AMS LSE – Dispute subtype – i.e. disputing peak interval, estimation methodology, allocation of estimated consumption, </w:t>
      </w:r>
      <w:proofErr w:type="spellStart"/>
      <w:r>
        <w:rPr>
          <w:rFonts w:cstheme="minorHAnsi"/>
          <w:iCs/>
        </w:rPr>
        <w:t>etc</w:t>
      </w:r>
      <w:proofErr w:type="spellEnd"/>
    </w:p>
    <w:p w:rsidR="00ED192F" w:rsidRDefault="00ED192F" w:rsidP="00FF3C68">
      <w:pPr>
        <w:pStyle w:val="NoSpacing"/>
        <w:numPr>
          <w:ilvl w:val="0"/>
          <w:numId w:val="31"/>
        </w:numPr>
        <w:rPr>
          <w:rFonts w:cstheme="minorHAnsi"/>
          <w:iCs/>
        </w:rPr>
      </w:pPr>
      <w:r>
        <w:rPr>
          <w:rFonts w:cstheme="minorHAnsi"/>
          <w:iCs/>
        </w:rPr>
        <w:t>Usage &amp; Billing – Dispute – addition of radio button if cancel/rebills are expected</w:t>
      </w:r>
    </w:p>
    <w:p w:rsidR="00ED192F" w:rsidRDefault="00ED192F" w:rsidP="00FF3C68">
      <w:pPr>
        <w:pStyle w:val="NoSpacing"/>
        <w:numPr>
          <w:ilvl w:val="0"/>
          <w:numId w:val="31"/>
        </w:numPr>
        <w:rPr>
          <w:rFonts w:cstheme="minorHAnsi"/>
          <w:iCs/>
        </w:rPr>
      </w:pPr>
      <w:r>
        <w:rPr>
          <w:rFonts w:cstheme="minorHAnsi"/>
          <w:iCs/>
        </w:rPr>
        <w:t xml:space="preserve">Missing Enrollment Transaction – two additional validations: 1.  Confirm if 867_04 has been </w:t>
      </w:r>
      <w:proofErr w:type="gramStart"/>
      <w:r>
        <w:rPr>
          <w:rFonts w:cstheme="minorHAnsi"/>
          <w:iCs/>
        </w:rPr>
        <w:t>sent  2</w:t>
      </w:r>
      <w:proofErr w:type="gramEnd"/>
      <w:r>
        <w:rPr>
          <w:rFonts w:cstheme="minorHAnsi"/>
          <w:iCs/>
        </w:rPr>
        <w:t xml:space="preserve">.  If 5 days have passed from 814_04/05 and/or if any changes have occurred </w:t>
      </w:r>
    </w:p>
    <w:p w:rsidR="00A94F0C" w:rsidRDefault="00A94F0C" w:rsidP="00FF3C68">
      <w:pPr>
        <w:pStyle w:val="NoSpacing"/>
        <w:numPr>
          <w:ilvl w:val="0"/>
          <w:numId w:val="31"/>
        </w:numPr>
        <w:rPr>
          <w:rFonts w:cstheme="minorHAnsi"/>
          <w:iCs/>
        </w:rPr>
      </w:pPr>
      <w:r>
        <w:rPr>
          <w:rFonts w:cstheme="minorHAnsi"/>
          <w:iCs/>
        </w:rPr>
        <w:t>Ability of TDSPs to transition Switch Hold Removal MT when Holding CR’s time limit has been exceeded</w:t>
      </w:r>
    </w:p>
    <w:p w:rsidR="00A94F0C" w:rsidRDefault="00A94F0C" w:rsidP="00FF3C68">
      <w:pPr>
        <w:pStyle w:val="NoSpacing"/>
        <w:numPr>
          <w:ilvl w:val="0"/>
          <w:numId w:val="31"/>
        </w:numPr>
        <w:rPr>
          <w:rFonts w:cstheme="minorHAnsi"/>
          <w:iCs/>
        </w:rPr>
      </w:pPr>
      <w:r>
        <w:rPr>
          <w:rFonts w:cstheme="minorHAnsi"/>
          <w:iCs/>
        </w:rPr>
        <w:t xml:space="preserve">Upon submission of Switch Hold Removal MT, the following validations to occur:  1. “No Switch Hold Pending on ESI </w:t>
      </w:r>
      <w:proofErr w:type="gramStart"/>
      <w:r>
        <w:rPr>
          <w:rFonts w:cstheme="minorHAnsi"/>
          <w:iCs/>
        </w:rPr>
        <w:t>ID”  2</w:t>
      </w:r>
      <w:proofErr w:type="gramEnd"/>
      <w:r>
        <w:rPr>
          <w:rFonts w:cstheme="minorHAnsi"/>
          <w:iCs/>
        </w:rPr>
        <w:t>.  Issue Should Not be Submitted by ROR”</w:t>
      </w:r>
    </w:p>
    <w:p w:rsidR="00A94F0C" w:rsidRPr="00E445C0" w:rsidRDefault="00A94F0C" w:rsidP="00FF3C68">
      <w:pPr>
        <w:pStyle w:val="NoSpacing"/>
        <w:numPr>
          <w:ilvl w:val="0"/>
          <w:numId w:val="31"/>
        </w:numPr>
        <w:rPr>
          <w:rFonts w:cstheme="minorHAnsi"/>
          <w:iCs/>
        </w:rPr>
      </w:pPr>
      <w:r>
        <w:rPr>
          <w:rFonts w:cstheme="minorHAnsi"/>
          <w:iCs/>
        </w:rPr>
        <w:lastRenderedPageBreak/>
        <w:t>ERCOT to pre-populate the current ROR for a Switch Hold Removal, then forward to the TDSP for validation</w:t>
      </w:r>
      <w:bookmarkStart w:id="0" w:name="_GoBack"/>
      <w:bookmarkEnd w:id="0"/>
    </w:p>
    <w:p w:rsidR="00625565" w:rsidRDefault="00625565" w:rsidP="00625565">
      <w:pPr>
        <w:pStyle w:val="NoSpacing"/>
        <w:rPr>
          <w:rFonts w:cstheme="minorHAnsi"/>
          <w:iCs/>
        </w:rPr>
      </w:pPr>
    </w:p>
    <w:p w:rsidR="007660CA" w:rsidRPr="007660CA" w:rsidRDefault="007660CA" w:rsidP="00F145EE">
      <w:pPr>
        <w:pStyle w:val="NoSpacing"/>
        <w:rPr>
          <w:b/>
          <w:u w:val="single"/>
        </w:rPr>
      </w:pPr>
      <w:r w:rsidRPr="007660CA">
        <w:rPr>
          <w:b/>
          <w:u w:val="single"/>
        </w:rPr>
        <w:t xml:space="preserve">AGENDA for </w:t>
      </w:r>
      <w:r w:rsidR="00522605">
        <w:rPr>
          <w:b/>
          <w:u w:val="single"/>
        </w:rPr>
        <w:t>8</w:t>
      </w:r>
      <w:r w:rsidR="005719FD">
        <w:rPr>
          <w:b/>
          <w:u w:val="single"/>
        </w:rPr>
        <w:t>/</w:t>
      </w:r>
      <w:r w:rsidR="00FF3C68">
        <w:rPr>
          <w:b/>
          <w:u w:val="single"/>
        </w:rPr>
        <w:t>19</w:t>
      </w:r>
      <w:r w:rsidR="005719FD">
        <w:rPr>
          <w:b/>
          <w:u w:val="single"/>
        </w:rPr>
        <w:t>/2</w:t>
      </w:r>
      <w:r w:rsidR="00323CE5">
        <w:rPr>
          <w:b/>
          <w:u w:val="single"/>
        </w:rPr>
        <w:t>1</w:t>
      </w:r>
      <w:r w:rsidRPr="007660CA">
        <w:rPr>
          <w:b/>
          <w:u w:val="single"/>
        </w:rPr>
        <w:t xml:space="preserve"> Meeting</w:t>
      </w:r>
    </w:p>
    <w:p w:rsidR="00257783" w:rsidRPr="00257783" w:rsidRDefault="00257783" w:rsidP="00245452">
      <w:pPr>
        <w:pStyle w:val="NoSpacing"/>
        <w:numPr>
          <w:ilvl w:val="0"/>
          <w:numId w:val="5"/>
        </w:numPr>
        <w:rPr>
          <w:b/>
          <w:u w:val="single"/>
        </w:rPr>
      </w:pPr>
      <w:r>
        <w:t>ERCOT Update</w:t>
      </w:r>
    </w:p>
    <w:p w:rsidR="00257783" w:rsidRPr="00304812" w:rsidRDefault="00257783" w:rsidP="00245452">
      <w:pPr>
        <w:pStyle w:val="NoSpacing"/>
        <w:numPr>
          <w:ilvl w:val="1"/>
          <w:numId w:val="5"/>
        </w:numPr>
        <w:rPr>
          <w:b/>
          <w:u w:val="single"/>
        </w:rPr>
      </w:pPr>
      <w:r>
        <w:t>System Instances and MarkeTrak Monthly Performance Review</w:t>
      </w:r>
    </w:p>
    <w:p w:rsidR="00304812" w:rsidRPr="00304812" w:rsidRDefault="00304812" w:rsidP="00245452">
      <w:pPr>
        <w:pStyle w:val="NoSpacing"/>
        <w:numPr>
          <w:ilvl w:val="1"/>
          <w:numId w:val="5"/>
        </w:numPr>
        <w:rPr>
          <w:b/>
          <w:u w:val="single"/>
        </w:rPr>
      </w:pPr>
      <w:r>
        <w:t>Market Data Transparency SLOs</w:t>
      </w:r>
    </w:p>
    <w:p w:rsidR="00304812" w:rsidRPr="006A18CD" w:rsidRDefault="00304812" w:rsidP="00245452">
      <w:pPr>
        <w:pStyle w:val="NoSpacing"/>
        <w:numPr>
          <w:ilvl w:val="1"/>
          <w:numId w:val="5"/>
        </w:numPr>
        <w:rPr>
          <w:b/>
          <w:u w:val="single"/>
        </w:rPr>
      </w:pPr>
      <w:r>
        <w:t xml:space="preserve">ERCOT </w:t>
      </w:r>
      <w:proofErr w:type="spellStart"/>
      <w:r w:rsidR="008D135C">
        <w:t>ListServ</w:t>
      </w:r>
      <w:proofErr w:type="spellEnd"/>
      <w:r>
        <w:t xml:space="preserve"> </w:t>
      </w:r>
      <w:r w:rsidR="006A18CD">
        <w:t>Performance</w:t>
      </w:r>
    </w:p>
    <w:p w:rsidR="006A18CD" w:rsidRPr="00304812" w:rsidRDefault="006A18CD" w:rsidP="006A18CD">
      <w:pPr>
        <w:pStyle w:val="NoSpacing"/>
        <w:numPr>
          <w:ilvl w:val="2"/>
          <w:numId w:val="5"/>
        </w:numPr>
        <w:rPr>
          <w:b/>
          <w:u w:val="single"/>
        </w:rPr>
      </w:pPr>
      <w:r>
        <w:t xml:space="preserve">Memorializing Back-Up Plan </w:t>
      </w:r>
    </w:p>
    <w:p w:rsidR="00304812" w:rsidRPr="008D135C" w:rsidRDefault="00304812" w:rsidP="00245452">
      <w:pPr>
        <w:pStyle w:val="NoSpacing"/>
        <w:numPr>
          <w:ilvl w:val="1"/>
          <w:numId w:val="5"/>
        </w:numPr>
        <w:rPr>
          <w:b/>
          <w:u w:val="single"/>
        </w:rPr>
      </w:pPr>
      <w:r>
        <w:t xml:space="preserve">ERCOT MIS API Workshop </w:t>
      </w:r>
    </w:p>
    <w:p w:rsidR="008D135C" w:rsidRPr="00304812" w:rsidRDefault="008D135C" w:rsidP="00245452">
      <w:pPr>
        <w:pStyle w:val="NoSpacing"/>
        <w:numPr>
          <w:ilvl w:val="1"/>
          <w:numId w:val="5"/>
        </w:numPr>
        <w:rPr>
          <w:b/>
          <w:u w:val="single"/>
        </w:rPr>
      </w:pPr>
      <w:r>
        <w:t>MarkeTrak Upgrade</w:t>
      </w:r>
    </w:p>
    <w:p w:rsidR="008D135C" w:rsidRPr="008D135C" w:rsidRDefault="008D135C" w:rsidP="00304812">
      <w:pPr>
        <w:pStyle w:val="NoSpacing"/>
        <w:numPr>
          <w:ilvl w:val="0"/>
          <w:numId w:val="5"/>
        </w:numPr>
        <w:rPr>
          <w:b/>
          <w:u w:val="single"/>
        </w:rPr>
      </w:pPr>
      <w:r>
        <w:t xml:space="preserve">Follow up </w:t>
      </w:r>
      <w:r w:rsidR="006A18CD">
        <w:t>on status:</w:t>
      </w:r>
    </w:p>
    <w:p w:rsidR="00304812" w:rsidRPr="008D135C" w:rsidRDefault="00304812" w:rsidP="008D135C">
      <w:pPr>
        <w:pStyle w:val="NoSpacing"/>
        <w:numPr>
          <w:ilvl w:val="1"/>
          <w:numId w:val="5"/>
        </w:numPr>
        <w:rPr>
          <w:b/>
          <w:u w:val="single"/>
        </w:rPr>
      </w:pPr>
      <w:r>
        <w:t xml:space="preserve">RMGRR Switch Hold Removal Documentation </w:t>
      </w:r>
      <w:r w:rsidR="008D135C">
        <w:t>Clarification</w:t>
      </w:r>
    </w:p>
    <w:p w:rsidR="008D135C" w:rsidRPr="008D135C" w:rsidRDefault="008D135C" w:rsidP="008D135C">
      <w:pPr>
        <w:pStyle w:val="NoSpacing"/>
        <w:numPr>
          <w:ilvl w:val="1"/>
          <w:numId w:val="5"/>
        </w:numPr>
        <w:rPr>
          <w:b/>
          <w:u w:val="single"/>
        </w:rPr>
      </w:pPr>
      <w:r>
        <w:t>RMGRR Create Switch Hold Repository</w:t>
      </w:r>
    </w:p>
    <w:p w:rsidR="008D135C" w:rsidRPr="00FF3C68" w:rsidRDefault="008D135C" w:rsidP="008D135C">
      <w:pPr>
        <w:pStyle w:val="NoSpacing"/>
        <w:numPr>
          <w:ilvl w:val="1"/>
          <w:numId w:val="5"/>
        </w:numPr>
        <w:rPr>
          <w:b/>
          <w:u w:val="single"/>
        </w:rPr>
      </w:pPr>
      <w:r>
        <w:t>SCR MarkeTrak Administrative Enhancements</w:t>
      </w:r>
    </w:p>
    <w:p w:rsidR="00FF3C68" w:rsidRPr="00FF3C68" w:rsidRDefault="00FF3C68" w:rsidP="00081BBF">
      <w:pPr>
        <w:pStyle w:val="NoSpacing"/>
        <w:numPr>
          <w:ilvl w:val="0"/>
          <w:numId w:val="5"/>
        </w:numPr>
        <w:rPr>
          <w:b/>
          <w:u w:val="single"/>
        </w:rPr>
      </w:pPr>
      <w:r>
        <w:t>Semi-annual review of overall MT subtype volumes – January 2021 through July 2021</w:t>
      </w:r>
    </w:p>
    <w:p w:rsidR="008D135C" w:rsidRPr="00304812" w:rsidRDefault="00FF3C68" w:rsidP="008D135C">
      <w:pPr>
        <w:pStyle w:val="NoSpacing"/>
        <w:numPr>
          <w:ilvl w:val="0"/>
          <w:numId w:val="5"/>
        </w:numPr>
        <w:rPr>
          <w:b/>
          <w:u w:val="single"/>
        </w:rPr>
      </w:pPr>
      <w:r>
        <w:t>Finalize</w:t>
      </w:r>
      <w:r w:rsidR="008D135C">
        <w:t xml:space="preserve"> SCR – MarkeTrak Validation Enhancements – TXSET 5.0</w:t>
      </w:r>
    </w:p>
    <w:sectPr w:rsidR="008D135C" w:rsidRPr="00304812" w:rsidSect="008C1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83E"/>
    <w:multiLevelType w:val="hybridMultilevel"/>
    <w:tmpl w:val="090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6F6A"/>
    <w:multiLevelType w:val="hybridMultilevel"/>
    <w:tmpl w:val="F97A49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10681D05"/>
    <w:multiLevelType w:val="hybridMultilevel"/>
    <w:tmpl w:val="F1D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921B9"/>
    <w:multiLevelType w:val="hybridMultilevel"/>
    <w:tmpl w:val="D87E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34D3F"/>
    <w:multiLevelType w:val="hybridMultilevel"/>
    <w:tmpl w:val="8690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7502"/>
    <w:multiLevelType w:val="hybridMultilevel"/>
    <w:tmpl w:val="7258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F09B5"/>
    <w:multiLevelType w:val="hybridMultilevel"/>
    <w:tmpl w:val="3DB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B6E25"/>
    <w:multiLevelType w:val="hybridMultilevel"/>
    <w:tmpl w:val="BEE2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F70DC"/>
    <w:multiLevelType w:val="hybridMultilevel"/>
    <w:tmpl w:val="FB269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21146"/>
    <w:multiLevelType w:val="hybridMultilevel"/>
    <w:tmpl w:val="D08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B546F"/>
    <w:multiLevelType w:val="hybridMultilevel"/>
    <w:tmpl w:val="B768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7480E"/>
    <w:multiLevelType w:val="hybridMultilevel"/>
    <w:tmpl w:val="2AF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B5990"/>
    <w:multiLevelType w:val="hybridMultilevel"/>
    <w:tmpl w:val="57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A3F14"/>
    <w:multiLevelType w:val="hybridMultilevel"/>
    <w:tmpl w:val="66C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378D8"/>
    <w:multiLevelType w:val="hybridMultilevel"/>
    <w:tmpl w:val="7FA8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942925"/>
    <w:multiLevelType w:val="hybridMultilevel"/>
    <w:tmpl w:val="6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C57F7"/>
    <w:multiLevelType w:val="hybridMultilevel"/>
    <w:tmpl w:val="C1A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8"/>
  </w:num>
  <w:num w:numId="4">
    <w:abstractNumId w:val="12"/>
  </w:num>
  <w:num w:numId="5">
    <w:abstractNumId w:val="22"/>
  </w:num>
  <w:num w:numId="6">
    <w:abstractNumId w:val="26"/>
  </w:num>
  <w:num w:numId="7">
    <w:abstractNumId w:val="11"/>
  </w:num>
  <w:num w:numId="8">
    <w:abstractNumId w:val="18"/>
  </w:num>
  <w:num w:numId="9">
    <w:abstractNumId w:val="16"/>
  </w:num>
  <w:num w:numId="10">
    <w:abstractNumId w:val="1"/>
  </w:num>
  <w:num w:numId="11">
    <w:abstractNumId w:val="10"/>
  </w:num>
  <w:num w:numId="12">
    <w:abstractNumId w:val="6"/>
  </w:num>
  <w:num w:numId="13">
    <w:abstractNumId w:val="17"/>
  </w:num>
  <w:num w:numId="14">
    <w:abstractNumId w:val="29"/>
  </w:num>
  <w:num w:numId="15">
    <w:abstractNumId w:val="25"/>
  </w:num>
  <w:num w:numId="16">
    <w:abstractNumId w:val="9"/>
  </w:num>
  <w:num w:numId="17">
    <w:abstractNumId w:val="21"/>
  </w:num>
  <w:num w:numId="18">
    <w:abstractNumId w:val="7"/>
  </w:num>
  <w:num w:numId="19">
    <w:abstractNumId w:val="4"/>
  </w:num>
  <w:num w:numId="20">
    <w:abstractNumId w:val="24"/>
  </w:num>
  <w:num w:numId="21">
    <w:abstractNumId w:val="15"/>
  </w:num>
  <w:num w:numId="22">
    <w:abstractNumId w:val="2"/>
  </w:num>
  <w:num w:numId="23">
    <w:abstractNumId w:val="19"/>
  </w:num>
  <w:num w:numId="24">
    <w:abstractNumId w:val="27"/>
  </w:num>
  <w:num w:numId="25">
    <w:abstractNumId w:val="0"/>
  </w:num>
  <w:num w:numId="26">
    <w:abstractNumId w:val="14"/>
  </w:num>
  <w:num w:numId="27">
    <w:abstractNumId w:val="3"/>
  </w:num>
  <w:num w:numId="28">
    <w:abstractNumId w:val="20"/>
  </w:num>
  <w:num w:numId="29">
    <w:abstractNumId w:val="30"/>
  </w:num>
  <w:num w:numId="30">
    <w:abstractNumId w:val="23"/>
  </w:num>
  <w:num w:numId="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15B0C"/>
    <w:rsid w:val="00020312"/>
    <w:rsid w:val="00020E68"/>
    <w:rsid w:val="00021FA8"/>
    <w:rsid w:val="00022185"/>
    <w:rsid w:val="00023998"/>
    <w:rsid w:val="00025B49"/>
    <w:rsid w:val="0004131D"/>
    <w:rsid w:val="000A1F65"/>
    <w:rsid w:val="000C0AF2"/>
    <w:rsid w:val="000C20CF"/>
    <w:rsid w:val="000C319D"/>
    <w:rsid w:val="000C5FAB"/>
    <w:rsid w:val="000D3187"/>
    <w:rsid w:val="000E13F8"/>
    <w:rsid w:val="000F415E"/>
    <w:rsid w:val="00110EA2"/>
    <w:rsid w:val="00123FEE"/>
    <w:rsid w:val="001303F8"/>
    <w:rsid w:val="001313EA"/>
    <w:rsid w:val="00131DDA"/>
    <w:rsid w:val="00136DF5"/>
    <w:rsid w:val="001416DA"/>
    <w:rsid w:val="00153056"/>
    <w:rsid w:val="00171E07"/>
    <w:rsid w:val="00194107"/>
    <w:rsid w:val="001B1170"/>
    <w:rsid w:val="001C225E"/>
    <w:rsid w:val="001C3FE4"/>
    <w:rsid w:val="001C4664"/>
    <w:rsid w:val="001D16C1"/>
    <w:rsid w:val="001E1FBF"/>
    <w:rsid w:val="001E2F5F"/>
    <w:rsid w:val="001E6B2D"/>
    <w:rsid w:val="001E6DA0"/>
    <w:rsid w:val="00210956"/>
    <w:rsid w:val="0022539C"/>
    <w:rsid w:val="00227F00"/>
    <w:rsid w:val="002417F6"/>
    <w:rsid w:val="00245452"/>
    <w:rsid w:val="00257783"/>
    <w:rsid w:val="00266626"/>
    <w:rsid w:val="00275BB9"/>
    <w:rsid w:val="002956E8"/>
    <w:rsid w:val="002A0074"/>
    <w:rsid w:val="002A4D17"/>
    <w:rsid w:val="002B73B5"/>
    <w:rsid w:val="002C5F35"/>
    <w:rsid w:val="002E188E"/>
    <w:rsid w:val="002E4A02"/>
    <w:rsid w:val="002E4AA8"/>
    <w:rsid w:val="002E52F7"/>
    <w:rsid w:val="002E6D10"/>
    <w:rsid w:val="002F12FE"/>
    <w:rsid w:val="002F5B65"/>
    <w:rsid w:val="002F6A98"/>
    <w:rsid w:val="00304812"/>
    <w:rsid w:val="00307922"/>
    <w:rsid w:val="00310E34"/>
    <w:rsid w:val="003147A9"/>
    <w:rsid w:val="0031702C"/>
    <w:rsid w:val="0032177A"/>
    <w:rsid w:val="003224FF"/>
    <w:rsid w:val="00323CE5"/>
    <w:rsid w:val="00326666"/>
    <w:rsid w:val="0032714F"/>
    <w:rsid w:val="00327A45"/>
    <w:rsid w:val="00331770"/>
    <w:rsid w:val="00331FF3"/>
    <w:rsid w:val="0033302E"/>
    <w:rsid w:val="00345EA2"/>
    <w:rsid w:val="0035068E"/>
    <w:rsid w:val="00351211"/>
    <w:rsid w:val="00356955"/>
    <w:rsid w:val="00370FAA"/>
    <w:rsid w:val="00384273"/>
    <w:rsid w:val="0038504B"/>
    <w:rsid w:val="00386AB4"/>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22C3"/>
    <w:rsid w:val="00423A26"/>
    <w:rsid w:val="00437F12"/>
    <w:rsid w:val="00446742"/>
    <w:rsid w:val="004510BA"/>
    <w:rsid w:val="00453CB9"/>
    <w:rsid w:val="0046383E"/>
    <w:rsid w:val="00463A02"/>
    <w:rsid w:val="00473E06"/>
    <w:rsid w:val="00474281"/>
    <w:rsid w:val="004852C1"/>
    <w:rsid w:val="00487203"/>
    <w:rsid w:val="00496BC3"/>
    <w:rsid w:val="004A02A5"/>
    <w:rsid w:val="004B0BD3"/>
    <w:rsid w:val="004C5528"/>
    <w:rsid w:val="004C672D"/>
    <w:rsid w:val="004D5B2D"/>
    <w:rsid w:val="004E7003"/>
    <w:rsid w:val="004F3A5D"/>
    <w:rsid w:val="004F3B6C"/>
    <w:rsid w:val="004F5F8C"/>
    <w:rsid w:val="005048DF"/>
    <w:rsid w:val="005101FF"/>
    <w:rsid w:val="0051096F"/>
    <w:rsid w:val="00517D7C"/>
    <w:rsid w:val="00522605"/>
    <w:rsid w:val="00527ADA"/>
    <w:rsid w:val="00540840"/>
    <w:rsid w:val="0054333F"/>
    <w:rsid w:val="00543BB4"/>
    <w:rsid w:val="00544D4C"/>
    <w:rsid w:val="00546D6E"/>
    <w:rsid w:val="00547B3B"/>
    <w:rsid w:val="00553D72"/>
    <w:rsid w:val="005572E8"/>
    <w:rsid w:val="00562FBA"/>
    <w:rsid w:val="005645B7"/>
    <w:rsid w:val="00565315"/>
    <w:rsid w:val="005719FD"/>
    <w:rsid w:val="005A25C3"/>
    <w:rsid w:val="005B05BD"/>
    <w:rsid w:val="005D1EE7"/>
    <w:rsid w:val="005D1F24"/>
    <w:rsid w:val="005D5510"/>
    <w:rsid w:val="006149AB"/>
    <w:rsid w:val="00625565"/>
    <w:rsid w:val="0062681D"/>
    <w:rsid w:val="00637F5C"/>
    <w:rsid w:val="00643E89"/>
    <w:rsid w:val="00653F95"/>
    <w:rsid w:val="006758D3"/>
    <w:rsid w:val="006816F8"/>
    <w:rsid w:val="00683CC7"/>
    <w:rsid w:val="00690321"/>
    <w:rsid w:val="006A18CD"/>
    <w:rsid w:val="006B7779"/>
    <w:rsid w:val="006F0C42"/>
    <w:rsid w:val="00702CF5"/>
    <w:rsid w:val="00707132"/>
    <w:rsid w:val="00720A5D"/>
    <w:rsid w:val="00733038"/>
    <w:rsid w:val="00733B41"/>
    <w:rsid w:val="007361FA"/>
    <w:rsid w:val="007533E9"/>
    <w:rsid w:val="0076159C"/>
    <w:rsid w:val="0076567B"/>
    <w:rsid w:val="007660CA"/>
    <w:rsid w:val="00766AED"/>
    <w:rsid w:val="00766E5D"/>
    <w:rsid w:val="00770025"/>
    <w:rsid w:val="00774226"/>
    <w:rsid w:val="00780949"/>
    <w:rsid w:val="0079359B"/>
    <w:rsid w:val="007945C0"/>
    <w:rsid w:val="007966CC"/>
    <w:rsid w:val="007A37AE"/>
    <w:rsid w:val="007C0887"/>
    <w:rsid w:val="007C090E"/>
    <w:rsid w:val="007C5998"/>
    <w:rsid w:val="007D1BE9"/>
    <w:rsid w:val="007E4B3E"/>
    <w:rsid w:val="007E52DF"/>
    <w:rsid w:val="007F0580"/>
    <w:rsid w:val="007F145E"/>
    <w:rsid w:val="007F3FC1"/>
    <w:rsid w:val="00806140"/>
    <w:rsid w:val="00807049"/>
    <w:rsid w:val="00815480"/>
    <w:rsid w:val="00820B4A"/>
    <w:rsid w:val="008217FD"/>
    <w:rsid w:val="008451D6"/>
    <w:rsid w:val="00860321"/>
    <w:rsid w:val="00862522"/>
    <w:rsid w:val="008636F7"/>
    <w:rsid w:val="00875092"/>
    <w:rsid w:val="00887CAB"/>
    <w:rsid w:val="00891A72"/>
    <w:rsid w:val="008953BF"/>
    <w:rsid w:val="008A2659"/>
    <w:rsid w:val="008A3554"/>
    <w:rsid w:val="008B5C93"/>
    <w:rsid w:val="008C13D1"/>
    <w:rsid w:val="008D135C"/>
    <w:rsid w:val="008D78D2"/>
    <w:rsid w:val="008E4C59"/>
    <w:rsid w:val="008E6934"/>
    <w:rsid w:val="008F2439"/>
    <w:rsid w:val="008F4DC4"/>
    <w:rsid w:val="008F6D8F"/>
    <w:rsid w:val="0090152E"/>
    <w:rsid w:val="00932C1B"/>
    <w:rsid w:val="009361FE"/>
    <w:rsid w:val="00945CCB"/>
    <w:rsid w:val="0095114C"/>
    <w:rsid w:val="00963F70"/>
    <w:rsid w:val="0096742E"/>
    <w:rsid w:val="009805C2"/>
    <w:rsid w:val="00990903"/>
    <w:rsid w:val="009921EF"/>
    <w:rsid w:val="009A0B03"/>
    <w:rsid w:val="009A6188"/>
    <w:rsid w:val="009B2EE9"/>
    <w:rsid w:val="009C4583"/>
    <w:rsid w:val="009D07DF"/>
    <w:rsid w:val="009D5ECB"/>
    <w:rsid w:val="009D7657"/>
    <w:rsid w:val="009D7D5C"/>
    <w:rsid w:val="009F63FD"/>
    <w:rsid w:val="009F7D81"/>
    <w:rsid w:val="00A00502"/>
    <w:rsid w:val="00A01863"/>
    <w:rsid w:val="00A14B4A"/>
    <w:rsid w:val="00A150C2"/>
    <w:rsid w:val="00A17B5F"/>
    <w:rsid w:val="00A241ED"/>
    <w:rsid w:val="00A24868"/>
    <w:rsid w:val="00A274B3"/>
    <w:rsid w:val="00A27E45"/>
    <w:rsid w:val="00A367C4"/>
    <w:rsid w:val="00A42563"/>
    <w:rsid w:val="00A43FBD"/>
    <w:rsid w:val="00A47BA1"/>
    <w:rsid w:val="00A5566F"/>
    <w:rsid w:val="00A5593F"/>
    <w:rsid w:val="00A60FAD"/>
    <w:rsid w:val="00A67EE2"/>
    <w:rsid w:val="00A72D14"/>
    <w:rsid w:val="00A86140"/>
    <w:rsid w:val="00A86544"/>
    <w:rsid w:val="00A94F0C"/>
    <w:rsid w:val="00A95E96"/>
    <w:rsid w:val="00AA104F"/>
    <w:rsid w:val="00AA3CAF"/>
    <w:rsid w:val="00AA7CB2"/>
    <w:rsid w:val="00AB4932"/>
    <w:rsid w:val="00AB5B26"/>
    <w:rsid w:val="00AC7F6D"/>
    <w:rsid w:val="00AE38A9"/>
    <w:rsid w:val="00AE3E48"/>
    <w:rsid w:val="00AF56A0"/>
    <w:rsid w:val="00AF71B5"/>
    <w:rsid w:val="00B02EFA"/>
    <w:rsid w:val="00B05A4F"/>
    <w:rsid w:val="00B22277"/>
    <w:rsid w:val="00B22D19"/>
    <w:rsid w:val="00B303A3"/>
    <w:rsid w:val="00B31199"/>
    <w:rsid w:val="00B33AC5"/>
    <w:rsid w:val="00B5220F"/>
    <w:rsid w:val="00B57B56"/>
    <w:rsid w:val="00B64B2E"/>
    <w:rsid w:val="00B66384"/>
    <w:rsid w:val="00B749BF"/>
    <w:rsid w:val="00B877FC"/>
    <w:rsid w:val="00B90882"/>
    <w:rsid w:val="00BB0367"/>
    <w:rsid w:val="00BB094F"/>
    <w:rsid w:val="00BB571E"/>
    <w:rsid w:val="00BC33B9"/>
    <w:rsid w:val="00C06E4C"/>
    <w:rsid w:val="00C1359E"/>
    <w:rsid w:val="00C21A42"/>
    <w:rsid w:val="00C27CC0"/>
    <w:rsid w:val="00C32B22"/>
    <w:rsid w:val="00C33E4E"/>
    <w:rsid w:val="00C41BC0"/>
    <w:rsid w:val="00C44212"/>
    <w:rsid w:val="00C5225F"/>
    <w:rsid w:val="00C66CDF"/>
    <w:rsid w:val="00C70FD8"/>
    <w:rsid w:val="00C7529A"/>
    <w:rsid w:val="00C9361E"/>
    <w:rsid w:val="00CA0ED7"/>
    <w:rsid w:val="00CA1A12"/>
    <w:rsid w:val="00CA1C81"/>
    <w:rsid w:val="00CA2667"/>
    <w:rsid w:val="00CB2304"/>
    <w:rsid w:val="00CB5E0C"/>
    <w:rsid w:val="00CB68ED"/>
    <w:rsid w:val="00CD26E3"/>
    <w:rsid w:val="00CD7EFB"/>
    <w:rsid w:val="00CE3D30"/>
    <w:rsid w:val="00CE6D45"/>
    <w:rsid w:val="00D00FE4"/>
    <w:rsid w:val="00D021DD"/>
    <w:rsid w:val="00D05935"/>
    <w:rsid w:val="00D059C5"/>
    <w:rsid w:val="00D15CA5"/>
    <w:rsid w:val="00D17997"/>
    <w:rsid w:val="00D17CF3"/>
    <w:rsid w:val="00D21886"/>
    <w:rsid w:val="00D24CFB"/>
    <w:rsid w:val="00D30343"/>
    <w:rsid w:val="00D30503"/>
    <w:rsid w:val="00D40728"/>
    <w:rsid w:val="00D66857"/>
    <w:rsid w:val="00D70538"/>
    <w:rsid w:val="00D734CD"/>
    <w:rsid w:val="00D77953"/>
    <w:rsid w:val="00D848CA"/>
    <w:rsid w:val="00D8669C"/>
    <w:rsid w:val="00D86915"/>
    <w:rsid w:val="00D9194D"/>
    <w:rsid w:val="00DA1B12"/>
    <w:rsid w:val="00DC64DC"/>
    <w:rsid w:val="00DD1441"/>
    <w:rsid w:val="00DE49C2"/>
    <w:rsid w:val="00DF0E46"/>
    <w:rsid w:val="00DF4C02"/>
    <w:rsid w:val="00E03B9B"/>
    <w:rsid w:val="00E12C6D"/>
    <w:rsid w:val="00E26300"/>
    <w:rsid w:val="00E445C0"/>
    <w:rsid w:val="00E44630"/>
    <w:rsid w:val="00E522FE"/>
    <w:rsid w:val="00E65CE9"/>
    <w:rsid w:val="00E7036C"/>
    <w:rsid w:val="00E72A60"/>
    <w:rsid w:val="00E761AD"/>
    <w:rsid w:val="00E822B6"/>
    <w:rsid w:val="00E871A3"/>
    <w:rsid w:val="00E9774C"/>
    <w:rsid w:val="00EA1F8B"/>
    <w:rsid w:val="00EA742D"/>
    <w:rsid w:val="00EB2B86"/>
    <w:rsid w:val="00EB3273"/>
    <w:rsid w:val="00EB6375"/>
    <w:rsid w:val="00EC285D"/>
    <w:rsid w:val="00EC4002"/>
    <w:rsid w:val="00EC7CD0"/>
    <w:rsid w:val="00ED1739"/>
    <w:rsid w:val="00ED192F"/>
    <w:rsid w:val="00ED6B55"/>
    <w:rsid w:val="00ED7D16"/>
    <w:rsid w:val="00EE0F52"/>
    <w:rsid w:val="00EE6D3E"/>
    <w:rsid w:val="00EE7981"/>
    <w:rsid w:val="00EF31E0"/>
    <w:rsid w:val="00EF48D4"/>
    <w:rsid w:val="00F021C5"/>
    <w:rsid w:val="00F02BDF"/>
    <w:rsid w:val="00F145EE"/>
    <w:rsid w:val="00F14D1F"/>
    <w:rsid w:val="00F2039B"/>
    <w:rsid w:val="00F44DF8"/>
    <w:rsid w:val="00F51CAB"/>
    <w:rsid w:val="00F56237"/>
    <w:rsid w:val="00F5709C"/>
    <w:rsid w:val="00F621D1"/>
    <w:rsid w:val="00F81867"/>
    <w:rsid w:val="00F83FF7"/>
    <w:rsid w:val="00F8406C"/>
    <w:rsid w:val="00F8712A"/>
    <w:rsid w:val="00F873FF"/>
    <w:rsid w:val="00F93EB7"/>
    <w:rsid w:val="00FA3D41"/>
    <w:rsid w:val="00FA647E"/>
    <w:rsid w:val="00FB04C0"/>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C352"/>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Excel_97-2003_Workshee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273465-D718-44E9-BBF4-1DDE07E2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2</cp:revision>
  <dcterms:created xsi:type="dcterms:W3CDTF">2021-07-26T22:43:00Z</dcterms:created>
  <dcterms:modified xsi:type="dcterms:W3CDTF">2021-07-26T22:43:00Z</dcterms:modified>
</cp:coreProperties>
</file>