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626477" w:rsidRPr="00626477" w14:paraId="017205D1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231720" w14:textId="77777777" w:rsidR="00152993" w:rsidRPr="00626477" w:rsidRDefault="00EE6681">
            <w:pPr>
              <w:pStyle w:val="Header"/>
              <w:rPr>
                <w:rFonts w:ascii="Verdana" w:hAnsi="Verdana"/>
                <w:color w:val="000000" w:themeColor="text1"/>
                <w:sz w:val="22"/>
              </w:rPr>
            </w:pPr>
            <w:r w:rsidRPr="00626477">
              <w:rPr>
                <w:color w:val="000000" w:themeColor="text1"/>
              </w:rPr>
              <w:t>N</w:t>
            </w:r>
            <w:r w:rsidR="00152993" w:rsidRPr="00626477">
              <w:rPr>
                <w:color w:val="000000" w:themeColor="text1"/>
              </w:rPr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3AEEC7" w14:textId="202FC952" w:rsidR="00152993" w:rsidRPr="00626477" w:rsidRDefault="00FC6B17">
            <w:pPr>
              <w:pStyle w:val="Header"/>
              <w:rPr>
                <w:color w:val="000000" w:themeColor="text1"/>
              </w:rPr>
            </w:pPr>
            <w:hyperlink r:id="rId8" w:history="1">
              <w:r w:rsidRPr="00FC6B17">
                <w:rPr>
                  <w:rStyle w:val="Hyperlink"/>
                </w:rPr>
                <w:t>1087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E7456C" w14:textId="77777777" w:rsidR="00152993" w:rsidRPr="00626477" w:rsidRDefault="00EE6681">
            <w:pPr>
              <w:pStyle w:val="Header"/>
              <w:rPr>
                <w:color w:val="000000" w:themeColor="text1"/>
              </w:rPr>
            </w:pPr>
            <w:r w:rsidRPr="00626477">
              <w:rPr>
                <w:color w:val="000000" w:themeColor="text1"/>
              </w:rPr>
              <w:t>N</w:t>
            </w:r>
            <w:r w:rsidR="00152993" w:rsidRPr="00626477">
              <w:rPr>
                <w:color w:val="000000" w:themeColor="text1"/>
              </w:rPr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745F2742" w14:textId="77777777" w:rsidR="00152993" w:rsidRPr="00626477" w:rsidRDefault="00B4246F">
            <w:pPr>
              <w:pStyle w:val="Header"/>
              <w:rPr>
                <w:color w:val="000000" w:themeColor="text1"/>
              </w:rPr>
            </w:pPr>
            <w:r w:rsidRPr="00626477">
              <w:rPr>
                <w:color w:val="000000" w:themeColor="text1"/>
              </w:rPr>
              <w:t>Prohibit Participation of Critical Loads and Generation Resource Support Loads as Load Resources or ERS Resources</w:t>
            </w:r>
          </w:p>
        </w:tc>
      </w:tr>
      <w:tr w:rsidR="00626477" w:rsidRPr="00626477" w14:paraId="64772D6F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55D9B4" w14:textId="77777777" w:rsidR="00152993" w:rsidRPr="00626477" w:rsidRDefault="00152993">
            <w:pPr>
              <w:pStyle w:val="NormalArial"/>
              <w:rPr>
                <w:color w:val="000000" w:themeColor="text1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8D7967" w14:textId="77777777" w:rsidR="00152993" w:rsidRPr="00626477" w:rsidRDefault="00152993">
            <w:pPr>
              <w:pStyle w:val="NormalArial"/>
              <w:rPr>
                <w:color w:val="000000" w:themeColor="text1"/>
              </w:rPr>
            </w:pPr>
          </w:p>
        </w:tc>
      </w:tr>
      <w:tr w:rsidR="00626477" w:rsidRPr="00626477" w14:paraId="391D3D6F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E8AF" w14:textId="77777777" w:rsidR="00152993" w:rsidRPr="00626477" w:rsidRDefault="00152993">
            <w:pPr>
              <w:pStyle w:val="Header"/>
              <w:rPr>
                <w:color w:val="000000" w:themeColor="text1"/>
              </w:rPr>
            </w:pPr>
            <w:r w:rsidRPr="00626477">
              <w:rPr>
                <w:color w:val="000000" w:themeColor="text1"/>
              </w:rP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4C34" w14:textId="7CD35383" w:rsidR="00152993" w:rsidRPr="00626477" w:rsidRDefault="007E6AF9">
            <w:pPr>
              <w:pStyle w:val="NormalArial"/>
              <w:rPr>
                <w:color w:val="000000" w:themeColor="text1"/>
              </w:rPr>
            </w:pPr>
            <w:r w:rsidRPr="00626477">
              <w:rPr>
                <w:color w:val="000000" w:themeColor="text1"/>
              </w:rPr>
              <w:t>August 10</w:t>
            </w:r>
            <w:r w:rsidR="00AE7C26" w:rsidRPr="00626477">
              <w:rPr>
                <w:color w:val="000000" w:themeColor="text1"/>
              </w:rPr>
              <w:t>, 2021</w:t>
            </w:r>
          </w:p>
        </w:tc>
      </w:tr>
      <w:tr w:rsidR="00626477" w:rsidRPr="00626477" w14:paraId="5B54CE54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CA9D4C" w14:textId="77777777" w:rsidR="00152993" w:rsidRPr="00626477" w:rsidRDefault="00152993">
            <w:pPr>
              <w:pStyle w:val="NormalArial"/>
              <w:rPr>
                <w:color w:val="000000" w:themeColor="text1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13B82" w14:textId="77777777" w:rsidR="00152993" w:rsidRPr="00626477" w:rsidRDefault="00152993">
            <w:pPr>
              <w:pStyle w:val="NormalArial"/>
              <w:rPr>
                <w:color w:val="000000" w:themeColor="text1"/>
              </w:rPr>
            </w:pPr>
          </w:p>
        </w:tc>
      </w:tr>
      <w:tr w:rsidR="00626477" w:rsidRPr="00626477" w14:paraId="4180B63E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7C6021" w14:textId="77777777" w:rsidR="00152993" w:rsidRPr="00626477" w:rsidRDefault="00152993">
            <w:pPr>
              <w:pStyle w:val="Header"/>
              <w:jc w:val="center"/>
              <w:rPr>
                <w:color w:val="000000" w:themeColor="text1"/>
              </w:rPr>
            </w:pPr>
            <w:r w:rsidRPr="00626477">
              <w:rPr>
                <w:color w:val="000000" w:themeColor="text1"/>
              </w:rPr>
              <w:t>Submitter’s Information</w:t>
            </w:r>
          </w:p>
        </w:tc>
      </w:tr>
      <w:tr w:rsidR="00626477" w:rsidRPr="00626477" w14:paraId="7E19C2E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1DC43B7" w14:textId="77777777" w:rsidR="00152993" w:rsidRPr="00626477" w:rsidRDefault="00152993" w:rsidP="00EC55B3">
            <w:pPr>
              <w:pStyle w:val="Header"/>
              <w:rPr>
                <w:color w:val="000000" w:themeColor="text1"/>
              </w:rPr>
            </w:pPr>
            <w:r w:rsidRPr="00626477">
              <w:rPr>
                <w:color w:val="000000" w:themeColor="text1"/>
              </w:rPr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7A1E7920" w14:textId="269DA7AF" w:rsidR="00152993" w:rsidRPr="00626477" w:rsidRDefault="00023246">
            <w:pPr>
              <w:pStyle w:val="NormalArial"/>
              <w:rPr>
                <w:color w:val="000000" w:themeColor="text1"/>
              </w:rPr>
            </w:pPr>
            <w:r w:rsidRPr="00626477">
              <w:rPr>
                <w:color w:val="000000" w:themeColor="text1"/>
              </w:rPr>
              <w:t>Caitlin Marquis</w:t>
            </w:r>
          </w:p>
        </w:tc>
      </w:tr>
      <w:tr w:rsidR="00626477" w:rsidRPr="00626477" w14:paraId="64DC41B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D57EA12" w14:textId="77777777" w:rsidR="00152993" w:rsidRPr="00626477" w:rsidRDefault="00152993" w:rsidP="00EC55B3">
            <w:pPr>
              <w:pStyle w:val="Header"/>
              <w:rPr>
                <w:color w:val="000000" w:themeColor="text1"/>
              </w:rPr>
            </w:pPr>
            <w:r w:rsidRPr="00626477">
              <w:rPr>
                <w:color w:val="000000" w:themeColor="text1"/>
              </w:rPr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70BB84A2" w14:textId="606D7527" w:rsidR="00152993" w:rsidRPr="00626477" w:rsidRDefault="00FC6B17">
            <w:pPr>
              <w:pStyle w:val="NormalArial"/>
              <w:rPr>
                <w:color w:val="000000" w:themeColor="text1"/>
              </w:rPr>
            </w:pPr>
            <w:hyperlink r:id="rId9" w:history="1">
              <w:r w:rsidRPr="004A2DB9">
                <w:rPr>
                  <w:rStyle w:val="Hyperlink"/>
                </w:rPr>
                <w:t>caitlin.marquis@texasadvancedenergy.org</w:t>
              </w:r>
            </w:hyperlink>
          </w:p>
        </w:tc>
      </w:tr>
      <w:tr w:rsidR="00626477" w:rsidRPr="00626477" w14:paraId="56AF3512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D22E3F" w14:textId="77777777" w:rsidR="00152993" w:rsidRPr="00626477" w:rsidRDefault="00152993" w:rsidP="00EC55B3">
            <w:pPr>
              <w:pStyle w:val="Header"/>
              <w:rPr>
                <w:color w:val="000000" w:themeColor="text1"/>
              </w:rPr>
            </w:pPr>
            <w:r w:rsidRPr="00626477">
              <w:rPr>
                <w:color w:val="000000" w:themeColor="text1"/>
              </w:rP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4A451122" w14:textId="26EE5102" w:rsidR="00152993" w:rsidRPr="00626477" w:rsidRDefault="007147EA">
            <w:pPr>
              <w:pStyle w:val="NormalArial"/>
              <w:rPr>
                <w:color w:val="000000" w:themeColor="text1"/>
              </w:rPr>
            </w:pPr>
            <w:r w:rsidRPr="00626477">
              <w:rPr>
                <w:color w:val="000000" w:themeColor="text1"/>
              </w:rPr>
              <w:t>Texas Advanced Energy Business Alliance</w:t>
            </w:r>
            <w:r w:rsidR="00873F75">
              <w:rPr>
                <w:color w:val="000000" w:themeColor="text1"/>
              </w:rPr>
              <w:t xml:space="preserve"> (TAEBA)</w:t>
            </w:r>
          </w:p>
        </w:tc>
      </w:tr>
      <w:tr w:rsidR="00626477" w:rsidRPr="00626477" w14:paraId="1C659AC4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93C6B6" w14:textId="77777777" w:rsidR="00152993" w:rsidRPr="00626477" w:rsidRDefault="00152993" w:rsidP="00EC55B3">
            <w:pPr>
              <w:pStyle w:val="Header"/>
              <w:rPr>
                <w:color w:val="000000" w:themeColor="text1"/>
              </w:rPr>
            </w:pPr>
            <w:r w:rsidRPr="00626477">
              <w:rPr>
                <w:color w:val="000000" w:themeColor="text1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23AFF6C" w14:textId="14E32F1D" w:rsidR="00152993" w:rsidRPr="00626477" w:rsidRDefault="00023246" w:rsidP="007E6AF9">
            <w:pPr>
              <w:rPr>
                <w:color w:val="000000" w:themeColor="text1"/>
              </w:rPr>
            </w:pPr>
            <w:r w:rsidRPr="00626477">
              <w:rPr>
                <w:rFonts w:ascii="Arial" w:hAnsi="Arial" w:cs="Arial"/>
                <w:color w:val="000000" w:themeColor="text1"/>
                <w:shd w:val="clear" w:color="auto" w:fill="FFFFFF"/>
              </w:rPr>
              <w:t>781</w:t>
            </w:r>
            <w:r w:rsidR="00873F75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  <w:r w:rsidRPr="00626477">
              <w:rPr>
                <w:rFonts w:ascii="Arial" w:hAnsi="Arial" w:cs="Arial"/>
                <w:color w:val="000000" w:themeColor="text1"/>
                <w:shd w:val="clear" w:color="auto" w:fill="FFFFFF"/>
              </w:rPr>
              <w:t>261</w:t>
            </w:r>
            <w:r w:rsidR="00873F75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  <w:r w:rsidRPr="00626477">
              <w:rPr>
                <w:rFonts w:ascii="Arial" w:hAnsi="Arial" w:cs="Arial"/>
                <w:color w:val="000000" w:themeColor="text1"/>
                <w:shd w:val="clear" w:color="auto" w:fill="FFFFFF"/>
              </w:rPr>
              <w:t>6047</w:t>
            </w:r>
          </w:p>
        </w:tc>
      </w:tr>
      <w:tr w:rsidR="00626477" w:rsidRPr="00626477" w14:paraId="1065112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0EF2474" w14:textId="77777777" w:rsidR="00B4246F" w:rsidRPr="00626477" w:rsidRDefault="00B4246F" w:rsidP="00B4246F">
            <w:pPr>
              <w:pStyle w:val="Header"/>
              <w:rPr>
                <w:color w:val="000000" w:themeColor="text1"/>
              </w:rPr>
            </w:pPr>
            <w:r w:rsidRPr="00626477">
              <w:rPr>
                <w:color w:val="000000" w:themeColor="text1"/>
              </w:rPr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7156220C" w14:textId="3C2FEF0B" w:rsidR="00B4246F" w:rsidRPr="00626477" w:rsidRDefault="00B4246F" w:rsidP="00B4246F">
            <w:pPr>
              <w:pStyle w:val="NormalArial"/>
              <w:rPr>
                <w:color w:val="000000" w:themeColor="text1"/>
              </w:rPr>
            </w:pPr>
          </w:p>
        </w:tc>
      </w:tr>
      <w:tr w:rsidR="00626477" w:rsidRPr="00626477" w14:paraId="4C57FF79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4F2497" w14:textId="77777777" w:rsidR="00B4246F" w:rsidRPr="00626477" w:rsidDel="00075A94" w:rsidRDefault="00B4246F" w:rsidP="00B4246F">
            <w:pPr>
              <w:pStyle w:val="Header"/>
              <w:rPr>
                <w:color w:val="000000" w:themeColor="text1"/>
              </w:rPr>
            </w:pPr>
            <w:r w:rsidRPr="00626477">
              <w:rPr>
                <w:color w:val="000000" w:themeColor="text1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73B6329" w14:textId="43EBC847" w:rsidR="00B4246F" w:rsidRPr="00626477" w:rsidRDefault="007147EA" w:rsidP="00B4246F">
            <w:pPr>
              <w:pStyle w:val="NormalArial"/>
              <w:rPr>
                <w:color w:val="000000" w:themeColor="text1"/>
              </w:rPr>
            </w:pPr>
            <w:r w:rsidRPr="00626477">
              <w:rPr>
                <w:color w:val="000000" w:themeColor="text1"/>
              </w:rPr>
              <w:t>No</w:t>
            </w:r>
            <w:r w:rsidR="00FC6B17">
              <w:rPr>
                <w:color w:val="000000" w:themeColor="text1"/>
              </w:rPr>
              <w:t>t applicable</w:t>
            </w:r>
          </w:p>
        </w:tc>
      </w:tr>
    </w:tbl>
    <w:p w14:paraId="3A560F45" w14:textId="77777777" w:rsidR="00075A94" w:rsidRPr="00626477" w:rsidRDefault="00075A94">
      <w:pPr>
        <w:pStyle w:val="NormalArial"/>
        <w:rPr>
          <w:color w:val="000000" w:themeColor="text1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626477" w:rsidRPr="00626477" w14:paraId="6B2FEF26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1294A2A2" w14:textId="77777777" w:rsidR="00075A94" w:rsidRPr="00626477" w:rsidRDefault="00075A94" w:rsidP="00B5080A">
            <w:pPr>
              <w:pStyle w:val="Header"/>
              <w:jc w:val="center"/>
              <w:rPr>
                <w:color w:val="000000" w:themeColor="text1"/>
              </w:rPr>
            </w:pPr>
            <w:r w:rsidRPr="00626477">
              <w:rPr>
                <w:color w:val="000000" w:themeColor="text1"/>
              </w:rPr>
              <w:t>Comments</w:t>
            </w:r>
          </w:p>
        </w:tc>
      </w:tr>
    </w:tbl>
    <w:p w14:paraId="399D9145" w14:textId="0E3F4492" w:rsidR="007147EA" w:rsidRPr="00626477" w:rsidRDefault="007147EA" w:rsidP="00AE7C26">
      <w:pPr>
        <w:pStyle w:val="NormalArial"/>
        <w:spacing w:before="120" w:after="120"/>
        <w:rPr>
          <w:color w:val="000000" w:themeColor="text1"/>
        </w:rPr>
      </w:pPr>
      <w:r w:rsidRPr="00626477">
        <w:rPr>
          <w:color w:val="000000" w:themeColor="text1"/>
        </w:rPr>
        <w:t xml:space="preserve">The Texas Advanced Energy Business Alliance </w:t>
      </w:r>
      <w:r w:rsidR="00C02624" w:rsidRPr="00626477">
        <w:rPr>
          <w:color w:val="000000" w:themeColor="text1"/>
        </w:rPr>
        <w:t xml:space="preserve">(TAEBA) </w:t>
      </w:r>
      <w:r w:rsidRPr="00626477">
        <w:rPr>
          <w:color w:val="000000" w:themeColor="text1"/>
        </w:rPr>
        <w:t xml:space="preserve">appreciates the opportunity to provide feedback on </w:t>
      </w:r>
      <w:r w:rsidR="00FC6B17">
        <w:rPr>
          <w:color w:val="000000" w:themeColor="text1"/>
        </w:rPr>
        <w:t>Nodal Protocol Revision Request (</w:t>
      </w:r>
      <w:r w:rsidRPr="00626477">
        <w:rPr>
          <w:color w:val="000000" w:themeColor="text1"/>
        </w:rPr>
        <w:t>NPRR</w:t>
      </w:r>
      <w:r w:rsidR="00FC6B17">
        <w:rPr>
          <w:color w:val="000000" w:themeColor="text1"/>
        </w:rPr>
        <w:t>)</w:t>
      </w:r>
      <w:r w:rsidRPr="00626477">
        <w:rPr>
          <w:color w:val="000000" w:themeColor="text1"/>
        </w:rPr>
        <w:t xml:space="preserve"> 1087, and supports the points raised by the Texas Industrial Energy Consumers (TIEC), </w:t>
      </w:r>
      <w:r w:rsidR="00076155" w:rsidRPr="00626477">
        <w:rPr>
          <w:color w:val="000000" w:themeColor="text1"/>
        </w:rPr>
        <w:t>Enchanted Rock</w:t>
      </w:r>
      <w:r w:rsidRPr="00626477">
        <w:rPr>
          <w:color w:val="000000" w:themeColor="text1"/>
        </w:rPr>
        <w:t xml:space="preserve">, and Enel X </w:t>
      </w:r>
      <w:r w:rsidRPr="00626477">
        <w:rPr>
          <w:rFonts w:cs="Arial"/>
          <w:color w:val="000000" w:themeColor="text1"/>
        </w:rPr>
        <w:t xml:space="preserve">North America (Enel X). </w:t>
      </w:r>
      <w:r w:rsidR="00FC6B17">
        <w:rPr>
          <w:rFonts w:cs="Arial"/>
          <w:color w:val="000000" w:themeColor="text1"/>
        </w:rPr>
        <w:t xml:space="preserve"> </w:t>
      </w:r>
      <w:r w:rsidR="00F025C8" w:rsidRPr="00626477">
        <w:rPr>
          <w:rFonts w:cs="Arial"/>
          <w:color w:val="000000" w:themeColor="text1"/>
        </w:rPr>
        <w:t xml:space="preserve">TAEBA shares ERCOT’s goal of </w:t>
      </w:r>
      <w:r w:rsidR="00BE3067" w:rsidRPr="00626477">
        <w:rPr>
          <w:rFonts w:cs="Arial"/>
          <w:color w:val="000000" w:themeColor="text1"/>
          <w:shd w:val="clear" w:color="auto" w:fill="FFFFFF"/>
        </w:rPr>
        <w:t>ensur</w:t>
      </w:r>
      <w:r w:rsidR="00F025C8" w:rsidRPr="00626477">
        <w:rPr>
          <w:rFonts w:cs="Arial"/>
          <w:color w:val="000000" w:themeColor="text1"/>
          <w:shd w:val="clear" w:color="auto" w:fill="FFFFFF"/>
        </w:rPr>
        <w:t>ing</w:t>
      </w:r>
      <w:r w:rsidR="00BE3067" w:rsidRPr="00626477">
        <w:rPr>
          <w:rFonts w:cs="Arial"/>
          <w:color w:val="000000" w:themeColor="text1"/>
          <w:shd w:val="clear" w:color="auto" w:fill="FFFFFF"/>
        </w:rPr>
        <w:t xml:space="preserve"> that critical </w:t>
      </w:r>
      <w:r w:rsidR="00FC6B17">
        <w:rPr>
          <w:rFonts w:cs="Arial"/>
          <w:color w:val="000000" w:themeColor="text1"/>
          <w:shd w:val="clear" w:color="auto" w:fill="FFFFFF"/>
        </w:rPr>
        <w:t>L</w:t>
      </w:r>
      <w:r w:rsidR="00BE3067" w:rsidRPr="00626477">
        <w:rPr>
          <w:rFonts w:cs="Arial"/>
          <w:color w:val="000000" w:themeColor="text1"/>
          <w:shd w:val="clear" w:color="auto" w:fill="FFFFFF"/>
        </w:rPr>
        <w:t>oads are not voluntarily curtailed, thereby exacerbating supply problems. </w:t>
      </w:r>
      <w:r w:rsidR="00FC6B17">
        <w:rPr>
          <w:rFonts w:cs="Arial"/>
          <w:color w:val="000000" w:themeColor="text1"/>
          <w:shd w:val="clear" w:color="auto" w:fill="FFFFFF"/>
        </w:rPr>
        <w:t xml:space="preserve"> </w:t>
      </w:r>
      <w:r w:rsidR="00BE3067" w:rsidRPr="00626477">
        <w:rPr>
          <w:rFonts w:cs="Arial"/>
          <w:color w:val="000000" w:themeColor="text1"/>
          <w:shd w:val="clear" w:color="auto" w:fill="FFFFFF"/>
        </w:rPr>
        <w:t xml:space="preserve">The proposals of Enel X and Enchanted Rock address this without unnecessarily excluding valuable, curtailable </w:t>
      </w:r>
      <w:r w:rsidR="00FC6B17">
        <w:rPr>
          <w:rFonts w:cs="Arial"/>
          <w:color w:val="000000" w:themeColor="text1"/>
          <w:shd w:val="clear" w:color="auto" w:fill="FFFFFF"/>
        </w:rPr>
        <w:t>L</w:t>
      </w:r>
      <w:r w:rsidR="00BE3067" w:rsidRPr="00626477">
        <w:rPr>
          <w:rFonts w:cs="Arial"/>
          <w:color w:val="000000" w:themeColor="text1"/>
          <w:shd w:val="clear" w:color="auto" w:fill="FFFFFF"/>
        </w:rPr>
        <w:t>oads</w:t>
      </w:r>
      <w:r w:rsidR="00A66A26" w:rsidRPr="00626477">
        <w:rPr>
          <w:rFonts w:cs="Arial"/>
          <w:color w:val="000000" w:themeColor="text1"/>
          <w:shd w:val="clear" w:color="auto" w:fill="FFFFFF"/>
        </w:rPr>
        <w:t>.</w:t>
      </w:r>
      <w:r w:rsidR="00BE3067" w:rsidRPr="00626477">
        <w:rPr>
          <w:rFonts w:cs="Arial"/>
          <w:color w:val="000000" w:themeColor="text1"/>
          <w:shd w:val="clear" w:color="auto" w:fill="FFFFFF"/>
        </w:rPr>
        <w:t xml:space="preserve"> </w:t>
      </w:r>
      <w:r w:rsidR="00FC6B17">
        <w:rPr>
          <w:rFonts w:cs="Arial"/>
          <w:color w:val="000000" w:themeColor="text1"/>
          <w:shd w:val="clear" w:color="auto" w:fill="FFFFFF"/>
        </w:rPr>
        <w:t xml:space="preserve"> </w:t>
      </w:r>
      <w:r w:rsidR="00BE3067" w:rsidRPr="00626477">
        <w:rPr>
          <w:rFonts w:cs="Arial"/>
          <w:color w:val="000000" w:themeColor="text1"/>
          <w:shd w:val="clear" w:color="auto" w:fill="FFFFFF"/>
        </w:rPr>
        <w:t xml:space="preserve">Specifically, </w:t>
      </w:r>
      <w:r w:rsidR="00BE3067" w:rsidRPr="00626477">
        <w:rPr>
          <w:rFonts w:cs="Arial"/>
          <w:color w:val="000000" w:themeColor="text1"/>
        </w:rPr>
        <w:t xml:space="preserve">as </w:t>
      </w:r>
      <w:r w:rsidRPr="00626477">
        <w:rPr>
          <w:rFonts w:cs="Arial"/>
          <w:color w:val="000000" w:themeColor="text1"/>
        </w:rPr>
        <w:t>these</w:t>
      </w:r>
      <w:r w:rsidRPr="00626477">
        <w:rPr>
          <w:color w:val="000000" w:themeColor="text1"/>
        </w:rPr>
        <w:t xml:space="preserve"> commenters have pointed out, the NPRR as drafted would unnecessarily cut off from participation</w:t>
      </w:r>
      <w:r w:rsidR="007E6AF9" w:rsidRPr="00626477">
        <w:rPr>
          <w:color w:val="000000" w:themeColor="text1"/>
        </w:rPr>
        <w:t xml:space="preserve"> as Load Resources or as</w:t>
      </w:r>
      <w:r w:rsidRPr="00626477">
        <w:rPr>
          <w:color w:val="000000" w:themeColor="text1"/>
        </w:rPr>
        <w:t xml:space="preserve"> Emergency Response Service (ERS) </w:t>
      </w:r>
      <w:r w:rsidR="007E6AF9" w:rsidRPr="00626477">
        <w:rPr>
          <w:color w:val="000000" w:themeColor="text1"/>
        </w:rPr>
        <w:t xml:space="preserve">Resources </w:t>
      </w:r>
      <w:r w:rsidRPr="00626477">
        <w:rPr>
          <w:color w:val="000000" w:themeColor="text1"/>
        </w:rPr>
        <w:t xml:space="preserve">some </w:t>
      </w:r>
      <w:r w:rsidR="007E6AF9" w:rsidRPr="00626477">
        <w:rPr>
          <w:color w:val="000000" w:themeColor="text1"/>
        </w:rPr>
        <w:t>facilities</w:t>
      </w:r>
      <w:r w:rsidRPr="00626477">
        <w:rPr>
          <w:color w:val="000000" w:themeColor="text1"/>
        </w:rPr>
        <w:t xml:space="preserve"> whose participation does not threaten loss of critical </w:t>
      </w:r>
      <w:r w:rsidR="00FC6B17">
        <w:rPr>
          <w:color w:val="000000" w:themeColor="text1"/>
        </w:rPr>
        <w:t>L</w:t>
      </w:r>
      <w:r w:rsidRPr="00626477">
        <w:rPr>
          <w:color w:val="000000" w:themeColor="text1"/>
        </w:rPr>
        <w:t xml:space="preserve">oads. </w:t>
      </w:r>
      <w:r w:rsidR="00FC6B17">
        <w:rPr>
          <w:color w:val="000000" w:themeColor="text1"/>
        </w:rPr>
        <w:t xml:space="preserve"> </w:t>
      </w:r>
      <w:r w:rsidRPr="00626477">
        <w:rPr>
          <w:color w:val="000000" w:themeColor="text1"/>
        </w:rPr>
        <w:t xml:space="preserve">Given that ERS is the first line of defense against involuntary </w:t>
      </w:r>
      <w:r w:rsidR="00FC6B17">
        <w:rPr>
          <w:color w:val="000000" w:themeColor="text1"/>
        </w:rPr>
        <w:t>L</w:t>
      </w:r>
      <w:r w:rsidRPr="00626477">
        <w:rPr>
          <w:color w:val="000000" w:themeColor="text1"/>
        </w:rPr>
        <w:t xml:space="preserve">oad shed events, such a blunt approach to protecting critical </w:t>
      </w:r>
      <w:r w:rsidR="007E6AF9" w:rsidRPr="00626477">
        <w:rPr>
          <w:color w:val="000000" w:themeColor="text1"/>
        </w:rPr>
        <w:t>L</w:t>
      </w:r>
      <w:r w:rsidRPr="00626477">
        <w:rPr>
          <w:color w:val="000000" w:themeColor="text1"/>
        </w:rPr>
        <w:t xml:space="preserve">oads risks creating adverse impacts. </w:t>
      </w:r>
      <w:r w:rsidR="00FC6B17">
        <w:rPr>
          <w:color w:val="000000" w:themeColor="text1"/>
        </w:rPr>
        <w:t xml:space="preserve"> </w:t>
      </w:r>
      <w:r w:rsidRPr="00626477">
        <w:rPr>
          <w:color w:val="000000" w:themeColor="text1"/>
        </w:rPr>
        <w:t xml:space="preserve">The revisions recommended by Enel X, incorporating comments from TIEC and Enchanted Rock, appropriately balance the need to avoid disrupting </w:t>
      </w:r>
      <w:r w:rsidR="007E6AF9" w:rsidRPr="00626477">
        <w:rPr>
          <w:color w:val="000000" w:themeColor="text1"/>
        </w:rPr>
        <w:t>critical infrastructure</w:t>
      </w:r>
      <w:r w:rsidRPr="00626477">
        <w:rPr>
          <w:color w:val="000000" w:themeColor="text1"/>
        </w:rPr>
        <w:t xml:space="preserve"> while maximizing participation by Load Resources </w:t>
      </w:r>
      <w:r w:rsidR="007E6AF9" w:rsidRPr="00626477">
        <w:rPr>
          <w:color w:val="000000" w:themeColor="text1"/>
        </w:rPr>
        <w:t xml:space="preserve">and </w:t>
      </w:r>
      <w:r w:rsidRPr="00626477">
        <w:rPr>
          <w:color w:val="000000" w:themeColor="text1"/>
        </w:rPr>
        <w:t>ERS</w:t>
      </w:r>
      <w:r w:rsidR="007E6AF9" w:rsidRPr="00626477">
        <w:rPr>
          <w:color w:val="000000" w:themeColor="text1"/>
        </w:rPr>
        <w:t xml:space="preserve"> Resources</w:t>
      </w:r>
      <w:r w:rsidRPr="00626477">
        <w:rPr>
          <w:color w:val="000000" w:themeColor="text1"/>
        </w:rPr>
        <w:t xml:space="preserve">, thereby reducing the potential for involuntary </w:t>
      </w:r>
      <w:r w:rsidR="00FC6B17">
        <w:rPr>
          <w:color w:val="000000" w:themeColor="text1"/>
        </w:rPr>
        <w:t>L</w:t>
      </w:r>
      <w:r w:rsidRPr="00626477">
        <w:rPr>
          <w:color w:val="000000" w:themeColor="text1"/>
        </w:rPr>
        <w:t>oad shed events.</w:t>
      </w:r>
    </w:p>
    <w:p w14:paraId="18070272" w14:textId="0C09059D" w:rsidR="00ED49AA" w:rsidRPr="00626477" w:rsidRDefault="007147EA" w:rsidP="00AE7C26">
      <w:pPr>
        <w:pStyle w:val="NormalArial"/>
        <w:spacing w:before="120" w:after="120"/>
        <w:rPr>
          <w:rFonts w:cs="Arial"/>
          <w:color w:val="000000" w:themeColor="text1"/>
          <w:shd w:val="clear" w:color="auto" w:fill="FFFFFF"/>
        </w:rPr>
      </w:pPr>
      <w:r w:rsidRPr="00626477">
        <w:rPr>
          <w:rFonts w:cs="Arial"/>
          <w:color w:val="000000" w:themeColor="text1"/>
          <w:shd w:val="clear" w:color="auto" w:fill="FFFFFF"/>
        </w:rPr>
        <w:t>Demand response is critical and ERS is a well-established emergency D</w:t>
      </w:r>
      <w:r w:rsidR="00FC6B17">
        <w:rPr>
          <w:rFonts w:cs="Arial"/>
          <w:color w:val="000000" w:themeColor="text1"/>
          <w:shd w:val="clear" w:color="auto" w:fill="FFFFFF"/>
        </w:rPr>
        <w:t>emand response</w:t>
      </w:r>
      <w:r w:rsidRPr="00626477">
        <w:rPr>
          <w:rFonts w:cs="Arial"/>
          <w:color w:val="000000" w:themeColor="text1"/>
          <w:shd w:val="clear" w:color="auto" w:fill="FFFFFF"/>
        </w:rPr>
        <w:t xml:space="preserve"> program that has helped ensure grid reliability for years. </w:t>
      </w:r>
      <w:r w:rsidR="00FC6B17">
        <w:rPr>
          <w:rFonts w:cs="Arial"/>
          <w:color w:val="000000" w:themeColor="text1"/>
          <w:shd w:val="clear" w:color="auto" w:fill="FFFFFF"/>
        </w:rPr>
        <w:t xml:space="preserve"> </w:t>
      </w:r>
      <w:r w:rsidRPr="00626477">
        <w:rPr>
          <w:rFonts w:cs="Arial"/>
          <w:color w:val="000000" w:themeColor="text1"/>
          <w:shd w:val="clear" w:color="auto" w:fill="FFFFFF"/>
        </w:rPr>
        <w:t xml:space="preserve">In the recent winter event, ERS was deployed by ERCOT as one of its first lines of defense as generation units were tripping off. </w:t>
      </w:r>
      <w:r w:rsidR="00FC6B17">
        <w:rPr>
          <w:rFonts w:cs="Arial"/>
          <w:color w:val="000000" w:themeColor="text1"/>
          <w:shd w:val="clear" w:color="auto" w:fill="FFFFFF"/>
        </w:rPr>
        <w:t xml:space="preserve"> </w:t>
      </w:r>
      <w:r w:rsidRPr="00626477">
        <w:rPr>
          <w:rFonts w:cs="Arial"/>
          <w:color w:val="000000" w:themeColor="text1"/>
          <w:shd w:val="clear" w:color="auto" w:fill="FFFFFF"/>
        </w:rPr>
        <w:t xml:space="preserve">In Summer 2019, ERS deployment enabled ERCOT to avoid going beyond Energy Emergency Alert </w:t>
      </w:r>
      <w:r w:rsidR="00FC6B17" w:rsidRPr="00626477">
        <w:rPr>
          <w:rFonts w:cs="Arial"/>
          <w:color w:val="000000" w:themeColor="text1"/>
          <w:shd w:val="clear" w:color="auto" w:fill="FFFFFF"/>
        </w:rPr>
        <w:t>(EEA)</w:t>
      </w:r>
      <w:r w:rsidR="00FC6B17">
        <w:rPr>
          <w:rFonts w:cs="Arial"/>
          <w:color w:val="000000" w:themeColor="text1"/>
          <w:shd w:val="clear" w:color="auto" w:fill="FFFFFF"/>
        </w:rPr>
        <w:t xml:space="preserve"> </w:t>
      </w:r>
      <w:r w:rsidRPr="00626477">
        <w:rPr>
          <w:rFonts w:cs="Arial"/>
          <w:color w:val="000000" w:themeColor="text1"/>
          <w:shd w:val="clear" w:color="auto" w:fill="FFFFFF"/>
        </w:rPr>
        <w:t xml:space="preserve">Level 1. </w:t>
      </w:r>
      <w:r w:rsidR="00FC6B17">
        <w:rPr>
          <w:rFonts w:cs="Arial"/>
          <w:color w:val="000000" w:themeColor="text1"/>
          <w:shd w:val="clear" w:color="auto" w:fill="FFFFFF"/>
        </w:rPr>
        <w:t xml:space="preserve"> </w:t>
      </w:r>
      <w:r w:rsidRPr="00626477">
        <w:rPr>
          <w:rFonts w:cs="Arial"/>
          <w:color w:val="000000" w:themeColor="text1"/>
          <w:shd w:val="clear" w:color="auto" w:fill="FFFFFF"/>
        </w:rPr>
        <w:t xml:space="preserve">ERS also kept the lights on during the Polar Vortex event in 2014. </w:t>
      </w:r>
      <w:r w:rsidR="00FC6B17">
        <w:rPr>
          <w:rFonts w:cs="Arial"/>
          <w:color w:val="000000" w:themeColor="text1"/>
          <w:shd w:val="clear" w:color="auto" w:fill="FFFFFF"/>
        </w:rPr>
        <w:t xml:space="preserve"> </w:t>
      </w:r>
      <w:r w:rsidRPr="00626477">
        <w:rPr>
          <w:rFonts w:cs="Arial"/>
          <w:color w:val="000000" w:themeColor="text1"/>
          <w:shd w:val="clear" w:color="auto" w:fill="FFFFFF"/>
        </w:rPr>
        <w:t xml:space="preserve">While ERS is not a “silver bullet” and by itself would not have kept the system from reaching EEA Level 3 during </w:t>
      </w:r>
      <w:r w:rsidR="00FC6B17">
        <w:rPr>
          <w:rFonts w:cs="Arial"/>
          <w:color w:val="000000" w:themeColor="text1"/>
          <w:shd w:val="clear" w:color="auto" w:fill="FFFFFF"/>
        </w:rPr>
        <w:t>W</w:t>
      </w:r>
      <w:r w:rsidRPr="00626477">
        <w:rPr>
          <w:rFonts w:cs="Arial"/>
          <w:color w:val="000000" w:themeColor="text1"/>
          <w:shd w:val="clear" w:color="auto" w:fill="FFFFFF"/>
        </w:rPr>
        <w:t xml:space="preserve">inter </w:t>
      </w:r>
      <w:r w:rsidR="00FC6B17">
        <w:rPr>
          <w:rFonts w:cs="Arial"/>
          <w:color w:val="000000" w:themeColor="text1"/>
          <w:shd w:val="clear" w:color="auto" w:fill="FFFFFF"/>
        </w:rPr>
        <w:t>S</w:t>
      </w:r>
      <w:r w:rsidRPr="00626477">
        <w:rPr>
          <w:rFonts w:cs="Arial"/>
          <w:color w:val="000000" w:themeColor="text1"/>
          <w:shd w:val="clear" w:color="auto" w:fill="FFFFFF"/>
        </w:rPr>
        <w:t>torm Uri given the severity of the event, D</w:t>
      </w:r>
      <w:r w:rsidR="00FC6B17">
        <w:rPr>
          <w:rFonts w:cs="Arial"/>
          <w:color w:val="000000" w:themeColor="text1"/>
          <w:shd w:val="clear" w:color="auto" w:fill="FFFFFF"/>
        </w:rPr>
        <w:t>emand response</w:t>
      </w:r>
      <w:r w:rsidRPr="00626477">
        <w:rPr>
          <w:rFonts w:cs="Arial"/>
          <w:color w:val="000000" w:themeColor="text1"/>
          <w:shd w:val="clear" w:color="auto" w:fill="FFFFFF"/>
        </w:rPr>
        <w:t xml:space="preserve"> is an integral part of the reliability toolbox that grid operators can use when stabilizing the system.</w:t>
      </w:r>
      <w:r w:rsidR="00ED49AA" w:rsidRPr="00626477">
        <w:rPr>
          <w:rFonts w:cs="Arial"/>
          <w:color w:val="000000" w:themeColor="text1"/>
          <w:shd w:val="clear" w:color="auto" w:fill="FFFFFF"/>
        </w:rPr>
        <w:t xml:space="preserve"> </w:t>
      </w:r>
      <w:r w:rsidR="00FC6B17">
        <w:rPr>
          <w:rFonts w:cs="Arial"/>
          <w:color w:val="000000" w:themeColor="text1"/>
          <w:shd w:val="clear" w:color="auto" w:fill="FFFFFF"/>
        </w:rPr>
        <w:t xml:space="preserve"> </w:t>
      </w:r>
      <w:r w:rsidR="00ED49AA" w:rsidRPr="00626477">
        <w:rPr>
          <w:rFonts w:cs="Arial"/>
          <w:color w:val="000000" w:themeColor="text1"/>
          <w:shd w:val="clear" w:color="auto" w:fill="FFFFFF"/>
        </w:rPr>
        <w:t xml:space="preserve">In fact, </w:t>
      </w:r>
      <w:r w:rsidR="00ED49AA" w:rsidRPr="00626477">
        <w:rPr>
          <w:rFonts w:cs="Arial"/>
          <w:color w:val="000000" w:themeColor="text1"/>
        </w:rPr>
        <w:t xml:space="preserve">Winter Storm Uri pointed out the need for </w:t>
      </w:r>
      <w:r w:rsidR="00ED49AA" w:rsidRPr="00626477">
        <w:rPr>
          <w:rFonts w:cs="Arial"/>
          <w:i/>
          <w:iCs/>
          <w:color w:val="000000" w:themeColor="text1"/>
        </w:rPr>
        <w:t>more</w:t>
      </w:r>
      <w:r w:rsidR="00ED49AA" w:rsidRPr="00626477">
        <w:rPr>
          <w:rFonts w:cs="Arial"/>
          <w:color w:val="000000" w:themeColor="text1"/>
        </w:rPr>
        <w:t xml:space="preserve"> interruptible circuits to enable </w:t>
      </w:r>
      <w:r w:rsidR="00FC6B17">
        <w:rPr>
          <w:rFonts w:cs="Arial"/>
          <w:color w:val="000000" w:themeColor="text1"/>
        </w:rPr>
        <w:t>d</w:t>
      </w:r>
      <w:r w:rsidR="00ED49AA" w:rsidRPr="00626477">
        <w:rPr>
          <w:rFonts w:cs="Arial"/>
          <w:color w:val="000000" w:themeColor="text1"/>
        </w:rPr>
        <w:t xml:space="preserve">istribution </w:t>
      </w:r>
      <w:r w:rsidR="00FC6B17">
        <w:rPr>
          <w:rFonts w:cs="Arial"/>
          <w:color w:val="000000" w:themeColor="text1"/>
        </w:rPr>
        <w:t>f</w:t>
      </w:r>
      <w:r w:rsidR="00ED49AA" w:rsidRPr="00626477">
        <w:rPr>
          <w:rFonts w:cs="Arial"/>
          <w:color w:val="000000" w:themeColor="text1"/>
        </w:rPr>
        <w:t xml:space="preserve">eeder </w:t>
      </w:r>
      <w:r w:rsidR="00ED49AA" w:rsidRPr="00626477">
        <w:rPr>
          <w:rFonts w:cs="Arial"/>
          <w:color w:val="000000" w:themeColor="text1"/>
        </w:rPr>
        <w:lastRenderedPageBreak/>
        <w:t xml:space="preserve">outage rolling. </w:t>
      </w:r>
      <w:r w:rsidR="00FC6B17">
        <w:rPr>
          <w:rFonts w:cs="Arial"/>
          <w:color w:val="000000" w:themeColor="text1"/>
        </w:rPr>
        <w:t xml:space="preserve"> </w:t>
      </w:r>
      <w:r w:rsidR="00ED49AA" w:rsidRPr="00626477">
        <w:rPr>
          <w:rFonts w:cs="Arial"/>
          <w:color w:val="000000" w:themeColor="text1"/>
        </w:rPr>
        <w:t xml:space="preserve">With the significant increase in the number of registered Critical Load </w:t>
      </w:r>
      <w:r w:rsidR="00FC6B17">
        <w:rPr>
          <w:rFonts w:cs="Arial"/>
          <w:color w:val="000000" w:themeColor="text1"/>
        </w:rPr>
        <w:t>C</w:t>
      </w:r>
      <w:r w:rsidR="00ED49AA" w:rsidRPr="00626477">
        <w:rPr>
          <w:rFonts w:cs="Arial"/>
          <w:color w:val="000000" w:themeColor="text1"/>
        </w:rPr>
        <w:t xml:space="preserve">ustomers, the number of interruptible circuits will decrease, moving in the opposite direction of what is needed to avoid adverse impacts. </w:t>
      </w:r>
      <w:r w:rsidR="00FC6B17">
        <w:rPr>
          <w:rFonts w:cs="Arial"/>
          <w:color w:val="000000" w:themeColor="text1"/>
        </w:rPr>
        <w:t xml:space="preserve"> </w:t>
      </w:r>
      <w:r w:rsidR="00ED49AA" w:rsidRPr="00626477">
        <w:rPr>
          <w:rFonts w:cs="Arial"/>
          <w:color w:val="000000" w:themeColor="text1"/>
        </w:rPr>
        <w:t xml:space="preserve">We need more interruptible circuits or more interruptible </w:t>
      </w:r>
      <w:r w:rsidR="00FC6B17">
        <w:rPr>
          <w:rFonts w:cs="Arial"/>
          <w:color w:val="000000" w:themeColor="text1"/>
        </w:rPr>
        <w:t>L</w:t>
      </w:r>
      <w:r w:rsidR="00ED49AA" w:rsidRPr="00626477">
        <w:rPr>
          <w:rFonts w:cs="Arial"/>
          <w:color w:val="000000" w:themeColor="text1"/>
        </w:rPr>
        <w:t xml:space="preserve">oad.  Artificially forcing interruptible </w:t>
      </w:r>
      <w:r w:rsidR="00FC6B17">
        <w:rPr>
          <w:rFonts w:cs="Arial"/>
          <w:color w:val="000000" w:themeColor="text1"/>
        </w:rPr>
        <w:t>L</w:t>
      </w:r>
      <w:r w:rsidR="00ED49AA" w:rsidRPr="00626477">
        <w:rPr>
          <w:rFonts w:cs="Arial"/>
          <w:color w:val="000000" w:themeColor="text1"/>
        </w:rPr>
        <w:t xml:space="preserve">oad stay online (or preventing it from participating as a Load </w:t>
      </w:r>
      <w:r w:rsidR="00FC6B17">
        <w:rPr>
          <w:rFonts w:cs="Arial"/>
          <w:color w:val="000000" w:themeColor="text1"/>
        </w:rPr>
        <w:t xml:space="preserve">Resource </w:t>
      </w:r>
      <w:r w:rsidR="00ED49AA" w:rsidRPr="00626477">
        <w:rPr>
          <w:rFonts w:cs="Arial"/>
          <w:color w:val="000000" w:themeColor="text1"/>
        </w:rPr>
        <w:t xml:space="preserve">or ERS Resource) because is it behind the same </w:t>
      </w:r>
      <w:r w:rsidR="00FC6B17">
        <w:rPr>
          <w:rFonts w:cs="Arial"/>
          <w:color w:val="000000" w:themeColor="text1"/>
        </w:rPr>
        <w:t>P</w:t>
      </w:r>
      <w:r w:rsidR="00ED49AA" w:rsidRPr="00626477">
        <w:rPr>
          <w:rFonts w:cs="Arial"/>
          <w:color w:val="000000" w:themeColor="text1"/>
        </w:rPr>
        <w:t xml:space="preserve">oint of </w:t>
      </w:r>
      <w:r w:rsidR="00FC6B17">
        <w:rPr>
          <w:rFonts w:cs="Arial"/>
          <w:color w:val="000000" w:themeColor="text1"/>
        </w:rPr>
        <w:t>I</w:t>
      </w:r>
      <w:r w:rsidR="00ED49AA" w:rsidRPr="00626477">
        <w:rPr>
          <w:rFonts w:cs="Arial"/>
          <w:color w:val="000000" w:themeColor="text1"/>
        </w:rPr>
        <w:t>nterconnection</w:t>
      </w:r>
      <w:r w:rsidR="00FC6B17">
        <w:rPr>
          <w:rFonts w:cs="Arial"/>
          <w:color w:val="000000" w:themeColor="text1"/>
        </w:rPr>
        <w:t xml:space="preserve"> (POI)</w:t>
      </w:r>
      <w:r w:rsidR="00ED49AA" w:rsidRPr="00626477">
        <w:rPr>
          <w:rFonts w:cs="Arial"/>
          <w:color w:val="000000" w:themeColor="text1"/>
        </w:rPr>
        <w:t xml:space="preserve"> as a critical </w:t>
      </w:r>
      <w:r w:rsidR="00FC6B17">
        <w:rPr>
          <w:rFonts w:cs="Arial"/>
          <w:color w:val="000000" w:themeColor="text1"/>
        </w:rPr>
        <w:t>L</w:t>
      </w:r>
      <w:r w:rsidR="00ED49AA" w:rsidRPr="00626477">
        <w:rPr>
          <w:rFonts w:cs="Arial"/>
          <w:color w:val="000000" w:themeColor="text1"/>
        </w:rPr>
        <w:t>oad exacerbates the problem and could lead to even larger problems.</w:t>
      </w:r>
    </w:p>
    <w:p w14:paraId="08525D02" w14:textId="3286B445" w:rsidR="002D3FDD" w:rsidRPr="00626477" w:rsidRDefault="007147EA" w:rsidP="00AE7C26">
      <w:pPr>
        <w:pStyle w:val="NormalArial"/>
        <w:spacing w:before="120" w:after="120"/>
        <w:rPr>
          <w:color w:val="000000" w:themeColor="text1"/>
        </w:rPr>
      </w:pPr>
      <w:r w:rsidRPr="00626477">
        <w:rPr>
          <w:color w:val="000000" w:themeColor="text1"/>
        </w:rPr>
        <w:t xml:space="preserve">As TIEC, Enchanted Rock, and Enel X have pointed out, restricting participation by </w:t>
      </w:r>
      <w:r w:rsidR="00FC6B17">
        <w:rPr>
          <w:color w:val="000000" w:themeColor="text1"/>
        </w:rPr>
        <w:t>L</w:t>
      </w:r>
      <w:r w:rsidRPr="00626477">
        <w:rPr>
          <w:color w:val="000000" w:themeColor="text1"/>
        </w:rPr>
        <w:t>oad identified as “Critical” is a blunt and overly broad prohibition</w:t>
      </w:r>
      <w:r w:rsidR="002D3FDD" w:rsidRPr="00626477">
        <w:rPr>
          <w:color w:val="000000" w:themeColor="text1"/>
        </w:rPr>
        <w:t xml:space="preserve"> that will limit, rather than enhance, </w:t>
      </w:r>
      <w:r w:rsidR="00ED49AA" w:rsidRPr="00626477">
        <w:rPr>
          <w:color w:val="000000" w:themeColor="text1"/>
        </w:rPr>
        <w:t xml:space="preserve">participation by Load and </w:t>
      </w:r>
      <w:r w:rsidR="002D3FDD" w:rsidRPr="00626477">
        <w:rPr>
          <w:color w:val="000000" w:themeColor="text1"/>
        </w:rPr>
        <w:t xml:space="preserve">ERS </w:t>
      </w:r>
      <w:r w:rsidR="00ED49AA" w:rsidRPr="00626477">
        <w:rPr>
          <w:color w:val="000000" w:themeColor="text1"/>
        </w:rPr>
        <w:t>Resources</w:t>
      </w:r>
      <w:r w:rsidRPr="00626477">
        <w:rPr>
          <w:color w:val="000000" w:themeColor="text1"/>
        </w:rPr>
        <w:t xml:space="preserve">. This is because non-critical </w:t>
      </w:r>
      <w:r w:rsidR="00FC6B17">
        <w:rPr>
          <w:color w:val="000000" w:themeColor="text1"/>
        </w:rPr>
        <w:t>L</w:t>
      </w:r>
      <w:r w:rsidRPr="00626477">
        <w:rPr>
          <w:color w:val="000000" w:themeColor="text1"/>
        </w:rPr>
        <w:t>oads can be located behind the same E</w:t>
      </w:r>
      <w:r w:rsidR="00FC6B17">
        <w:rPr>
          <w:color w:val="000000" w:themeColor="text1"/>
        </w:rPr>
        <w:t>lectric</w:t>
      </w:r>
      <w:r w:rsidRPr="00626477">
        <w:rPr>
          <w:color w:val="000000" w:themeColor="text1"/>
        </w:rPr>
        <w:t xml:space="preserve"> Service Identifier (ESI ID) with critical </w:t>
      </w:r>
      <w:r w:rsidR="00FC6B17">
        <w:rPr>
          <w:color w:val="000000" w:themeColor="text1"/>
        </w:rPr>
        <w:t>L</w:t>
      </w:r>
      <w:r w:rsidRPr="00626477">
        <w:rPr>
          <w:color w:val="000000" w:themeColor="text1"/>
        </w:rPr>
        <w:t xml:space="preserve">oads; </w:t>
      </w:r>
      <w:r w:rsidR="00FC6B17">
        <w:rPr>
          <w:color w:val="000000" w:themeColor="text1"/>
        </w:rPr>
        <w:t>C</w:t>
      </w:r>
      <w:r w:rsidR="002D3FDD" w:rsidRPr="00626477">
        <w:rPr>
          <w:color w:val="000000" w:themeColor="text1"/>
        </w:rPr>
        <w:t xml:space="preserve">ustomers can and do put in place plans to ensure that only non-critical </w:t>
      </w:r>
      <w:r w:rsidR="00FC6B17">
        <w:rPr>
          <w:color w:val="000000" w:themeColor="text1"/>
        </w:rPr>
        <w:t>L</w:t>
      </w:r>
      <w:r w:rsidR="002D3FDD" w:rsidRPr="00626477">
        <w:rPr>
          <w:color w:val="000000" w:themeColor="text1"/>
        </w:rPr>
        <w:t xml:space="preserve">oad is </w:t>
      </w:r>
      <w:r w:rsidR="007E6AF9" w:rsidRPr="00626477">
        <w:rPr>
          <w:color w:val="000000" w:themeColor="text1"/>
        </w:rPr>
        <w:t>curtailed</w:t>
      </w:r>
      <w:r w:rsidR="002D3FDD" w:rsidRPr="00626477">
        <w:rPr>
          <w:color w:val="000000" w:themeColor="text1"/>
        </w:rPr>
        <w:t xml:space="preserve">. </w:t>
      </w:r>
      <w:r w:rsidR="00FC6B17">
        <w:rPr>
          <w:color w:val="000000" w:themeColor="text1"/>
        </w:rPr>
        <w:t xml:space="preserve"> </w:t>
      </w:r>
      <w:r w:rsidR="002D3FDD" w:rsidRPr="00626477">
        <w:rPr>
          <w:color w:val="000000" w:themeColor="text1"/>
        </w:rPr>
        <w:t>F</w:t>
      </w:r>
      <w:r w:rsidRPr="00626477">
        <w:rPr>
          <w:color w:val="000000" w:themeColor="text1"/>
        </w:rPr>
        <w:t xml:space="preserve">urthermore, </w:t>
      </w:r>
      <w:r w:rsidR="00FC6B17">
        <w:rPr>
          <w:color w:val="000000" w:themeColor="text1"/>
        </w:rPr>
        <w:t>C</w:t>
      </w:r>
      <w:r w:rsidR="002D3FDD" w:rsidRPr="00626477">
        <w:rPr>
          <w:color w:val="000000" w:themeColor="text1"/>
        </w:rPr>
        <w:t>ustomers with critical</w:t>
      </w:r>
      <w:r w:rsidRPr="00626477">
        <w:rPr>
          <w:color w:val="000000" w:themeColor="text1"/>
        </w:rPr>
        <w:t xml:space="preserve"> </w:t>
      </w:r>
      <w:r w:rsidR="00FC6B17">
        <w:rPr>
          <w:color w:val="000000" w:themeColor="text1"/>
        </w:rPr>
        <w:t>L</w:t>
      </w:r>
      <w:r w:rsidRPr="00626477">
        <w:rPr>
          <w:color w:val="000000" w:themeColor="text1"/>
        </w:rPr>
        <w:t xml:space="preserve">oads </w:t>
      </w:r>
      <w:r w:rsidR="002D3FDD" w:rsidRPr="00626477">
        <w:rPr>
          <w:color w:val="000000" w:themeColor="text1"/>
        </w:rPr>
        <w:t xml:space="preserve">often install backup generators to ensure continued operation during grid disruptions. </w:t>
      </w:r>
      <w:r w:rsidR="00FC6B17">
        <w:rPr>
          <w:color w:val="000000" w:themeColor="text1"/>
        </w:rPr>
        <w:t xml:space="preserve"> </w:t>
      </w:r>
      <w:r w:rsidR="002D3FDD" w:rsidRPr="00626477">
        <w:rPr>
          <w:color w:val="000000" w:themeColor="text1"/>
        </w:rPr>
        <w:t>Again, such facilities have plans in place to ensure that their ERS</w:t>
      </w:r>
      <w:r w:rsidR="007E6AF9" w:rsidRPr="00626477">
        <w:rPr>
          <w:color w:val="000000" w:themeColor="text1"/>
        </w:rPr>
        <w:t xml:space="preserve"> or Load Resource </w:t>
      </w:r>
      <w:r w:rsidR="002D3FDD" w:rsidRPr="00626477">
        <w:rPr>
          <w:color w:val="000000" w:themeColor="text1"/>
        </w:rPr>
        <w:t xml:space="preserve">participation does not come at the expense of maintaining reliable operations for their critical </w:t>
      </w:r>
      <w:r w:rsidR="00FC6B17">
        <w:rPr>
          <w:color w:val="000000" w:themeColor="text1"/>
        </w:rPr>
        <w:t>L</w:t>
      </w:r>
      <w:r w:rsidR="002D3FDD" w:rsidRPr="00626477">
        <w:rPr>
          <w:color w:val="000000" w:themeColor="text1"/>
        </w:rPr>
        <w:t xml:space="preserve">oad. </w:t>
      </w:r>
      <w:r w:rsidR="00FC6B17">
        <w:rPr>
          <w:color w:val="000000" w:themeColor="text1"/>
        </w:rPr>
        <w:t xml:space="preserve"> </w:t>
      </w:r>
      <w:r w:rsidR="007E6AF9" w:rsidRPr="00626477">
        <w:rPr>
          <w:color w:val="000000" w:themeColor="text1"/>
        </w:rPr>
        <w:t>These market participation options provide</w:t>
      </w:r>
      <w:r w:rsidR="002D3FDD" w:rsidRPr="00626477">
        <w:rPr>
          <w:color w:val="000000" w:themeColor="text1"/>
        </w:rPr>
        <w:t xml:space="preserve"> an important incentive for </w:t>
      </w:r>
      <w:r w:rsidR="00FC6B17">
        <w:rPr>
          <w:color w:val="000000" w:themeColor="text1"/>
        </w:rPr>
        <w:t>C</w:t>
      </w:r>
      <w:r w:rsidR="002D3FDD" w:rsidRPr="00626477">
        <w:rPr>
          <w:color w:val="000000" w:themeColor="text1"/>
        </w:rPr>
        <w:t>ustomers to install backup generation, which supports the overall resilience of the ERCOT grid.</w:t>
      </w:r>
    </w:p>
    <w:p w14:paraId="0D313087" w14:textId="19D09642" w:rsidR="002D3FDD" w:rsidRPr="00626477" w:rsidRDefault="002D3FDD" w:rsidP="00F025C8">
      <w:pPr>
        <w:spacing w:before="120" w:after="120"/>
        <w:rPr>
          <w:rFonts w:ascii="Arial" w:hAnsi="Arial" w:cs="Arial"/>
          <w:color w:val="000000" w:themeColor="text1"/>
        </w:rPr>
      </w:pPr>
      <w:r w:rsidRPr="00626477">
        <w:rPr>
          <w:rFonts w:ascii="Arial" w:hAnsi="Arial" w:cs="Arial"/>
          <w:color w:val="000000" w:themeColor="text1"/>
        </w:rPr>
        <w:t xml:space="preserve">TAEBA appreciates ERCOT’s instinct to ensure that </w:t>
      </w:r>
      <w:r w:rsidR="007E6AF9" w:rsidRPr="00626477">
        <w:rPr>
          <w:rFonts w:ascii="Arial" w:hAnsi="Arial" w:cs="Arial"/>
          <w:color w:val="000000" w:themeColor="text1"/>
        </w:rPr>
        <w:t>cr</w:t>
      </w:r>
      <w:r w:rsidRPr="00626477">
        <w:rPr>
          <w:rFonts w:ascii="Arial" w:hAnsi="Arial" w:cs="Arial"/>
          <w:color w:val="000000" w:themeColor="text1"/>
        </w:rPr>
        <w:t xml:space="preserve">itical </w:t>
      </w:r>
      <w:r w:rsidR="00FC6B17">
        <w:rPr>
          <w:rFonts w:ascii="Arial" w:hAnsi="Arial" w:cs="Arial"/>
          <w:color w:val="000000" w:themeColor="text1"/>
        </w:rPr>
        <w:t>L</w:t>
      </w:r>
      <w:r w:rsidR="00F025C8" w:rsidRPr="00626477">
        <w:rPr>
          <w:rFonts w:ascii="Arial" w:hAnsi="Arial" w:cs="Arial"/>
          <w:color w:val="000000" w:themeColor="text1"/>
        </w:rPr>
        <w:t xml:space="preserve">oads </w:t>
      </w:r>
      <w:r w:rsidRPr="00626477">
        <w:rPr>
          <w:rFonts w:ascii="Arial" w:hAnsi="Arial" w:cs="Arial"/>
          <w:color w:val="000000" w:themeColor="text1"/>
        </w:rPr>
        <w:t xml:space="preserve">are protected during emergency events. </w:t>
      </w:r>
      <w:r w:rsidR="00FC6B17">
        <w:rPr>
          <w:rFonts w:ascii="Arial" w:hAnsi="Arial" w:cs="Arial"/>
          <w:color w:val="000000" w:themeColor="text1"/>
        </w:rPr>
        <w:t xml:space="preserve"> </w:t>
      </w:r>
      <w:r w:rsidRPr="00626477">
        <w:rPr>
          <w:rFonts w:ascii="Arial" w:hAnsi="Arial" w:cs="Arial"/>
          <w:color w:val="000000" w:themeColor="text1"/>
        </w:rPr>
        <w:t xml:space="preserve">However, the best line of defense against loss of both </w:t>
      </w:r>
      <w:r w:rsidR="00F025C8" w:rsidRPr="00626477">
        <w:rPr>
          <w:rFonts w:ascii="Arial" w:hAnsi="Arial" w:cs="Arial"/>
          <w:color w:val="000000" w:themeColor="text1"/>
        </w:rPr>
        <w:t>c</w:t>
      </w:r>
      <w:r w:rsidRPr="00626477">
        <w:rPr>
          <w:rFonts w:ascii="Arial" w:hAnsi="Arial" w:cs="Arial"/>
          <w:color w:val="000000" w:themeColor="text1"/>
        </w:rPr>
        <w:t>ritical and non-</w:t>
      </w:r>
      <w:r w:rsidR="00F025C8" w:rsidRPr="00626477">
        <w:rPr>
          <w:rFonts w:ascii="Arial" w:hAnsi="Arial" w:cs="Arial"/>
          <w:color w:val="000000" w:themeColor="text1"/>
        </w:rPr>
        <w:t>c</w:t>
      </w:r>
      <w:r w:rsidRPr="00626477">
        <w:rPr>
          <w:rFonts w:ascii="Arial" w:hAnsi="Arial" w:cs="Arial"/>
          <w:color w:val="000000" w:themeColor="text1"/>
        </w:rPr>
        <w:t xml:space="preserve">ritical </w:t>
      </w:r>
      <w:r w:rsidR="00FC6B17">
        <w:rPr>
          <w:rFonts w:ascii="Arial" w:hAnsi="Arial" w:cs="Arial"/>
          <w:color w:val="000000" w:themeColor="text1"/>
        </w:rPr>
        <w:t>L</w:t>
      </w:r>
      <w:r w:rsidRPr="00626477">
        <w:rPr>
          <w:rFonts w:ascii="Arial" w:hAnsi="Arial" w:cs="Arial"/>
          <w:color w:val="000000" w:themeColor="text1"/>
        </w:rPr>
        <w:t xml:space="preserve">oads is to enable robust participation </w:t>
      </w:r>
      <w:r w:rsidR="007E6AF9" w:rsidRPr="00626477">
        <w:rPr>
          <w:rFonts w:ascii="Arial" w:hAnsi="Arial" w:cs="Arial"/>
          <w:color w:val="000000" w:themeColor="text1"/>
        </w:rPr>
        <w:t>by Load Resources and</w:t>
      </w:r>
      <w:r w:rsidRPr="00626477">
        <w:rPr>
          <w:rFonts w:ascii="Arial" w:hAnsi="Arial" w:cs="Arial"/>
          <w:color w:val="000000" w:themeColor="text1"/>
        </w:rPr>
        <w:t xml:space="preserve"> ERS</w:t>
      </w:r>
      <w:r w:rsidR="007E6AF9" w:rsidRPr="00626477">
        <w:rPr>
          <w:rFonts w:ascii="Arial" w:hAnsi="Arial" w:cs="Arial"/>
          <w:color w:val="000000" w:themeColor="text1"/>
        </w:rPr>
        <w:t xml:space="preserve"> Resources</w:t>
      </w:r>
      <w:r w:rsidRPr="00626477">
        <w:rPr>
          <w:rFonts w:ascii="Arial" w:hAnsi="Arial" w:cs="Arial"/>
          <w:color w:val="000000" w:themeColor="text1"/>
        </w:rPr>
        <w:t xml:space="preserve">. </w:t>
      </w:r>
      <w:r w:rsidR="00FC6B17">
        <w:rPr>
          <w:rFonts w:ascii="Arial" w:hAnsi="Arial" w:cs="Arial"/>
          <w:color w:val="000000" w:themeColor="text1"/>
        </w:rPr>
        <w:t xml:space="preserve"> </w:t>
      </w:r>
      <w:r w:rsidRPr="00626477">
        <w:rPr>
          <w:rFonts w:ascii="Arial" w:hAnsi="Arial" w:cs="Arial"/>
          <w:color w:val="000000" w:themeColor="text1"/>
        </w:rPr>
        <w:t xml:space="preserve">The revisions recommended by Enel X, incorporating feedback from TIEC and Enchanted Rock, would </w:t>
      </w:r>
      <w:r w:rsidR="007E6AF9" w:rsidRPr="00626477">
        <w:rPr>
          <w:rFonts w:ascii="Arial" w:hAnsi="Arial" w:cs="Arial"/>
          <w:color w:val="000000" w:themeColor="text1"/>
        </w:rPr>
        <w:t xml:space="preserve">provide ERCOT with visibility into curtailment plans to ensure that critical Loads are not put at risk by the participation of an ESI ID that includes some critical </w:t>
      </w:r>
      <w:r w:rsidR="00FC6B17">
        <w:rPr>
          <w:rFonts w:ascii="Arial" w:hAnsi="Arial" w:cs="Arial"/>
          <w:color w:val="000000" w:themeColor="text1"/>
        </w:rPr>
        <w:t>L</w:t>
      </w:r>
      <w:r w:rsidR="007E6AF9" w:rsidRPr="00626477">
        <w:rPr>
          <w:rFonts w:ascii="Arial" w:hAnsi="Arial" w:cs="Arial"/>
          <w:color w:val="000000" w:themeColor="text1"/>
        </w:rPr>
        <w:t>oad in ERS or as a Load Resource.</w:t>
      </w:r>
      <w:r w:rsidR="00BE3067" w:rsidRPr="00626477">
        <w:rPr>
          <w:rFonts w:ascii="Arial" w:hAnsi="Arial" w:cs="Arial"/>
          <w:color w:val="000000" w:themeColor="text1"/>
        </w:rPr>
        <w:t xml:space="preserve"> </w:t>
      </w:r>
    </w:p>
    <w:p w14:paraId="1842B9FF" w14:textId="56C29252" w:rsidR="00152993" w:rsidRDefault="007E6AF9" w:rsidP="007E6AF9">
      <w:pPr>
        <w:pStyle w:val="NormalArial"/>
        <w:spacing w:before="120" w:after="120"/>
        <w:rPr>
          <w:color w:val="000000" w:themeColor="text1"/>
        </w:rPr>
      </w:pPr>
      <w:r w:rsidRPr="00626477">
        <w:rPr>
          <w:color w:val="000000" w:themeColor="text1"/>
        </w:rPr>
        <w:t>TAEBA appreciates ERCOT’s consideration of our input on NPRR1087.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30824" w:rsidRPr="005B2D77" w14:paraId="6F5EC8DB" w14:textId="77777777" w:rsidTr="0038196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F2A989" w14:textId="77777777" w:rsidR="00730824" w:rsidRPr="005B2D77" w:rsidRDefault="00730824" w:rsidP="00381960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5B2D77">
              <w:rPr>
                <w:rFonts w:ascii="Arial" w:hAnsi="Arial"/>
                <w:b/>
                <w:bCs/>
              </w:rPr>
              <w:t>Revised Cover Page Language</w:t>
            </w:r>
          </w:p>
        </w:tc>
      </w:tr>
    </w:tbl>
    <w:p w14:paraId="224C67EE" w14:textId="77777777" w:rsidR="00730824" w:rsidRDefault="00730824" w:rsidP="00730824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None.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30824" w14:paraId="5BCE8BDF" w14:textId="77777777" w:rsidTr="0038196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3BDE5D" w14:textId="77777777" w:rsidR="00730824" w:rsidRDefault="00730824" w:rsidP="00381960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174411D" w14:textId="0C5B2351" w:rsidR="00730824" w:rsidRPr="00730824" w:rsidRDefault="00730824" w:rsidP="00730824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None.</w:t>
      </w:r>
    </w:p>
    <w:sectPr w:rsidR="00730824" w:rsidRPr="00730824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B45ED" w14:textId="77777777" w:rsidR="0001697D" w:rsidRDefault="0001697D">
      <w:r>
        <w:separator/>
      </w:r>
    </w:p>
  </w:endnote>
  <w:endnote w:type="continuationSeparator" w:id="0">
    <w:p w14:paraId="146E0028" w14:textId="77777777" w:rsidR="0001697D" w:rsidRDefault="0001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0C82B" w14:textId="39DA82D2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E62A88">
      <w:rPr>
        <w:rFonts w:ascii="Arial" w:hAnsi="Arial"/>
        <w:noProof/>
        <w:sz w:val="18"/>
      </w:rPr>
      <w:t>1087NPRR-09 TAEBA Comments 081021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16ABEF6B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54E5B" w14:textId="77777777" w:rsidR="0001697D" w:rsidRDefault="0001697D">
      <w:r>
        <w:separator/>
      </w:r>
    </w:p>
  </w:footnote>
  <w:footnote w:type="continuationSeparator" w:id="0">
    <w:p w14:paraId="5B5A931D" w14:textId="77777777" w:rsidR="0001697D" w:rsidRDefault="0001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5FA19" w14:textId="259A3EA0" w:rsidR="00EE6681" w:rsidRPr="00AE7C26" w:rsidRDefault="00EE6681" w:rsidP="00AE7C26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4B1F"/>
    <w:rsid w:val="00011611"/>
    <w:rsid w:val="0001697D"/>
    <w:rsid w:val="00023246"/>
    <w:rsid w:val="00025049"/>
    <w:rsid w:val="00037668"/>
    <w:rsid w:val="00075A94"/>
    <w:rsid w:val="00076155"/>
    <w:rsid w:val="00082C72"/>
    <w:rsid w:val="00132855"/>
    <w:rsid w:val="00147264"/>
    <w:rsid w:val="00152993"/>
    <w:rsid w:val="00170297"/>
    <w:rsid w:val="001A227D"/>
    <w:rsid w:val="001E2032"/>
    <w:rsid w:val="0027654C"/>
    <w:rsid w:val="002D3FDD"/>
    <w:rsid w:val="002E14FF"/>
    <w:rsid w:val="003010C0"/>
    <w:rsid w:val="00332A97"/>
    <w:rsid w:val="00350C00"/>
    <w:rsid w:val="00366113"/>
    <w:rsid w:val="003C270C"/>
    <w:rsid w:val="003D0994"/>
    <w:rsid w:val="00423824"/>
    <w:rsid w:val="0043567D"/>
    <w:rsid w:val="004A5569"/>
    <w:rsid w:val="004B7B90"/>
    <w:rsid w:val="004E2C19"/>
    <w:rsid w:val="00525BCA"/>
    <w:rsid w:val="005D284C"/>
    <w:rsid w:val="005F6C4C"/>
    <w:rsid w:val="00602D2A"/>
    <w:rsid w:val="00604512"/>
    <w:rsid w:val="00626477"/>
    <w:rsid w:val="00633E23"/>
    <w:rsid w:val="00673B94"/>
    <w:rsid w:val="00680AC6"/>
    <w:rsid w:val="006835D8"/>
    <w:rsid w:val="006C316E"/>
    <w:rsid w:val="006D0F7C"/>
    <w:rsid w:val="007147EA"/>
    <w:rsid w:val="007269C4"/>
    <w:rsid w:val="00730824"/>
    <w:rsid w:val="0074209E"/>
    <w:rsid w:val="007E6AF9"/>
    <w:rsid w:val="007F2CA8"/>
    <w:rsid w:val="007F7161"/>
    <w:rsid w:val="0085559E"/>
    <w:rsid w:val="00860F68"/>
    <w:rsid w:val="00873F75"/>
    <w:rsid w:val="00896B1B"/>
    <w:rsid w:val="008D1A4C"/>
    <w:rsid w:val="008E559E"/>
    <w:rsid w:val="00916080"/>
    <w:rsid w:val="00921A68"/>
    <w:rsid w:val="00925917"/>
    <w:rsid w:val="009C2A24"/>
    <w:rsid w:val="00A015C4"/>
    <w:rsid w:val="00A15172"/>
    <w:rsid w:val="00A504B2"/>
    <w:rsid w:val="00A66A26"/>
    <w:rsid w:val="00A73598"/>
    <w:rsid w:val="00A92A00"/>
    <w:rsid w:val="00AE7C26"/>
    <w:rsid w:val="00B4246F"/>
    <w:rsid w:val="00B5080A"/>
    <w:rsid w:val="00B943AE"/>
    <w:rsid w:val="00BB5A96"/>
    <w:rsid w:val="00BD0FBF"/>
    <w:rsid w:val="00BD7258"/>
    <w:rsid w:val="00BE3067"/>
    <w:rsid w:val="00C02624"/>
    <w:rsid w:val="00C0598D"/>
    <w:rsid w:val="00C11956"/>
    <w:rsid w:val="00C53DAD"/>
    <w:rsid w:val="00C602E5"/>
    <w:rsid w:val="00C748FD"/>
    <w:rsid w:val="00D0761A"/>
    <w:rsid w:val="00D4046E"/>
    <w:rsid w:val="00D4362F"/>
    <w:rsid w:val="00DD4739"/>
    <w:rsid w:val="00DE5F33"/>
    <w:rsid w:val="00E05D61"/>
    <w:rsid w:val="00E07B54"/>
    <w:rsid w:val="00E11F78"/>
    <w:rsid w:val="00E33937"/>
    <w:rsid w:val="00E621E1"/>
    <w:rsid w:val="00E62A88"/>
    <w:rsid w:val="00E66A45"/>
    <w:rsid w:val="00E915A2"/>
    <w:rsid w:val="00EB3D81"/>
    <w:rsid w:val="00EC55B3"/>
    <w:rsid w:val="00ED49AA"/>
    <w:rsid w:val="00EE6681"/>
    <w:rsid w:val="00F025C8"/>
    <w:rsid w:val="00F22E07"/>
    <w:rsid w:val="00F96FB2"/>
    <w:rsid w:val="00FB51D8"/>
    <w:rsid w:val="00FC6B17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7D1E1C"/>
  <w15:chartTrackingRefBased/>
  <w15:docId w15:val="{170385E5-2940-4133-92DA-837B1796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B4246F"/>
    <w:rPr>
      <w:color w:val="605E5C"/>
      <w:shd w:val="clear" w:color="auto" w:fill="E1DFDD"/>
    </w:rPr>
  </w:style>
  <w:style w:type="character" w:styleId="FollowedHyperlink">
    <w:name w:val="FollowedHyperlink"/>
    <w:rsid w:val="00B4246F"/>
    <w:rPr>
      <w:color w:val="954F72"/>
      <w:u w:val="single"/>
    </w:rPr>
  </w:style>
  <w:style w:type="character" w:customStyle="1" w:styleId="NormalArialChar">
    <w:name w:val="Normal+Arial Char"/>
    <w:link w:val="NormalArial"/>
    <w:rsid w:val="0027654C"/>
    <w:rPr>
      <w:rFonts w:ascii="Arial" w:hAnsi="Arial"/>
      <w:sz w:val="24"/>
      <w:szCs w:val="24"/>
    </w:rPr>
  </w:style>
  <w:style w:type="table" w:customStyle="1" w:styleId="BoxedLanguage">
    <w:name w:val="Boxed Language"/>
    <w:basedOn w:val="TableNormal"/>
    <w:rsid w:val="0027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H4">
    <w:name w:val="H4"/>
    <w:basedOn w:val="Heading4"/>
    <w:next w:val="BodyText"/>
    <w:link w:val="H4Char"/>
    <w:rsid w:val="0027654C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character" w:customStyle="1" w:styleId="H4Char">
    <w:name w:val="H4 Char"/>
    <w:link w:val="H4"/>
    <w:rsid w:val="0027654C"/>
    <w:rPr>
      <w:b/>
      <w:bCs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ED4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10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itlin.marquis@texasadvanced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4408D-DC4B-4432-AE0D-2DDEADB7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703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4832</CharactersWithSpaces>
  <SharedDoc>false</SharedDoc>
  <HLinks>
    <vt:vector size="12" baseType="variant">
      <vt:variant>
        <vt:i4>46</vt:i4>
      </vt:variant>
      <vt:variant>
        <vt:i4>3</vt:i4>
      </vt:variant>
      <vt:variant>
        <vt:i4>0</vt:i4>
      </vt:variant>
      <vt:variant>
        <vt:i4>5</vt:i4>
      </vt:variant>
      <vt:variant>
        <vt:lpwstr>mailto:jyu@enchantedrock.com</vt:lpwstr>
      </vt:variant>
      <vt:variant>
        <vt:lpwstr/>
      </vt:variant>
      <vt:variant>
        <vt:i4>1114183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5</cp:revision>
  <cp:lastPrinted>2001-06-20T16:28:00Z</cp:lastPrinted>
  <dcterms:created xsi:type="dcterms:W3CDTF">2021-08-10T13:37:00Z</dcterms:created>
  <dcterms:modified xsi:type="dcterms:W3CDTF">2021-08-10T13:38:00Z</dcterms:modified>
</cp:coreProperties>
</file>