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05D7D72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09C9DB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691AA7A" w14:textId="22B31A02" w:rsidR="00C97625" w:rsidRPr="00595DDC" w:rsidRDefault="007446F1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4E3BF5" w:rsidRPr="004E3BF5">
                <w:rPr>
                  <w:rStyle w:val="Hyperlink"/>
                </w:rPr>
                <w:t>1083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5F4F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0FD2ADAD" w14:textId="46C8D708" w:rsidR="00C97625" w:rsidRPr="009F3D0E" w:rsidRDefault="004E3BF5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Modification of Uplift Allocation Rules to Address Role of Central Counter-Party Clearinghouses</w:t>
            </w:r>
          </w:p>
        </w:tc>
      </w:tr>
      <w:tr w:rsidR="00FC0BDC" w14:paraId="1797AD60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4FB6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D608" w14:textId="6FABDE20" w:rsidR="00FC0BDC" w:rsidRPr="009F3D0E" w:rsidRDefault="00E135A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27, 2021</w:t>
            </w:r>
          </w:p>
        </w:tc>
      </w:tr>
      <w:tr w:rsidR="00F13670" w14:paraId="651B99D8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305C1" w14:textId="2131B99E" w:rsidR="00F13670" w:rsidRDefault="004E3BF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0609AB4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5FD5C88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E4FC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7882" w14:textId="51BE32E4" w:rsidR="00F13670" w:rsidRPr="00511748" w:rsidRDefault="007444AC" w:rsidP="00B0156D">
            <w:pPr>
              <w:pStyle w:val="NormalArial"/>
              <w:rPr>
                <w:sz w:val="22"/>
                <w:szCs w:val="22"/>
              </w:rPr>
            </w:pPr>
            <w:r w:rsidRPr="00931063">
              <w:rPr>
                <w:rFonts w:cs="Arial"/>
              </w:rPr>
              <w:t xml:space="preserve">No project required.  This </w:t>
            </w:r>
            <w:r>
              <w:rPr>
                <w:rFonts w:cs="Arial"/>
              </w:rPr>
              <w:t>Nodal Protocol Revision Request (NPRR)</w:t>
            </w:r>
            <w:r w:rsidRPr="00931063">
              <w:rPr>
                <w:rFonts w:cs="Arial"/>
              </w:rPr>
              <w:t xml:space="preserve"> can take effect upon 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 approval.</w:t>
            </w:r>
          </w:p>
        </w:tc>
      </w:tr>
      <w:tr w:rsidR="00F13670" w14:paraId="3E1A41F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79B5F6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3466195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720E2BD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622483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01F7668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5BB78C21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B438C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0F2551A" w14:textId="0015097A" w:rsidR="004D252E" w:rsidRPr="009266AD" w:rsidRDefault="004E3BF5" w:rsidP="00D54DC7">
            <w:pPr>
              <w:pStyle w:val="NormalArial"/>
              <w:rPr>
                <w:sz w:val="22"/>
                <w:szCs w:val="22"/>
              </w:rPr>
            </w:pPr>
            <w:r w:rsidRPr="004E3BF5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6F71E7C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87A4FB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0DD1069B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71593B08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701C15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73AA6C2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70CE1C9B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8105F4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2E2C64A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25F7158C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81DB008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5FEBAB63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02726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6F1AEA3A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AC35D" w14:textId="77777777" w:rsidR="009255E3" w:rsidRDefault="009255E3">
      <w:r>
        <w:separator/>
      </w:r>
    </w:p>
  </w:endnote>
  <w:endnote w:type="continuationSeparator" w:id="0">
    <w:p w14:paraId="78FEC787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29CF8" w14:textId="01B69FB6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7446F1">
      <w:rPr>
        <w:rFonts w:ascii="Arial" w:hAnsi="Arial"/>
        <w:noProof/>
        <w:sz w:val="18"/>
      </w:rPr>
      <w:t>1083NPRR-07 Revised Impact Analysis 072721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A3CDD1E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8972C" w14:textId="77777777" w:rsidR="009255E3" w:rsidRDefault="009255E3">
      <w:r>
        <w:separator/>
      </w:r>
    </w:p>
  </w:footnote>
  <w:footnote w:type="continuationSeparator" w:id="0">
    <w:p w14:paraId="4628DFE9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CB590" w14:textId="37570B6D" w:rsidR="006B0C5E" w:rsidRDefault="007444AC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AC828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EA7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0A5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6A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47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DC3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80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E5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62B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C51C0"/>
    <w:multiLevelType w:val="multilevel"/>
    <w:tmpl w:val="F902809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20E681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6ED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8A0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CE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68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4C93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AC7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2E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44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35599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3BF5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4400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176BC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44AC"/>
    <w:rsid w:val="007446F1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5A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77D05CD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3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8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Grand Oak Capital</cp:lastModifiedBy>
  <cp:revision>3</cp:revision>
  <cp:lastPrinted>2007-01-12T13:31:00Z</cp:lastPrinted>
  <dcterms:created xsi:type="dcterms:W3CDTF">2021-07-27T15:03:00Z</dcterms:created>
  <dcterms:modified xsi:type="dcterms:W3CDTF">2021-07-27T15:03:00Z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