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B6D13" w14:paraId="5603CCF1" w14:textId="77777777" w:rsidTr="006B6D13">
        <w:tc>
          <w:tcPr>
            <w:tcW w:w="1620" w:type="dxa"/>
            <w:tcBorders>
              <w:bottom w:val="single" w:sz="4" w:space="0" w:color="auto"/>
            </w:tcBorders>
            <w:shd w:val="clear" w:color="auto" w:fill="auto"/>
            <w:vAlign w:val="center"/>
          </w:tcPr>
          <w:p w14:paraId="491723E0" w14:textId="77777777" w:rsidR="006B6D13" w:rsidRPr="006B6D13" w:rsidRDefault="006B6D13">
            <w:pPr>
              <w:pStyle w:val="Header"/>
              <w:rPr>
                <w:rFonts w:ascii="Verdana" w:hAnsi="Verdana"/>
                <w:sz w:val="22"/>
              </w:rPr>
            </w:pPr>
            <w:r>
              <w:t>NPRR Number</w:t>
            </w:r>
          </w:p>
        </w:tc>
        <w:tc>
          <w:tcPr>
            <w:tcW w:w="1260" w:type="dxa"/>
            <w:tcBorders>
              <w:bottom w:val="single" w:sz="4" w:space="0" w:color="auto"/>
            </w:tcBorders>
            <w:shd w:val="clear" w:color="auto" w:fill="auto"/>
            <w:vAlign w:val="center"/>
          </w:tcPr>
          <w:p w14:paraId="17C82776" w14:textId="591489D6" w:rsidR="006B6D13" w:rsidRPr="006B6D13" w:rsidRDefault="00941048">
            <w:pPr>
              <w:pStyle w:val="Header"/>
            </w:pPr>
            <w:hyperlink r:id="rId11" w:history="1">
              <w:r w:rsidR="00D552B3" w:rsidRPr="00BF6CEB">
                <w:rPr>
                  <w:rStyle w:val="Hyperlink"/>
                </w:rPr>
                <w:t>1070</w:t>
              </w:r>
            </w:hyperlink>
          </w:p>
        </w:tc>
        <w:tc>
          <w:tcPr>
            <w:tcW w:w="900" w:type="dxa"/>
            <w:tcBorders>
              <w:bottom w:val="single" w:sz="4" w:space="0" w:color="auto"/>
            </w:tcBorders>
            <w:shd w:val="clear" w:color="auto" w:fill="FFFFFF"/>
            <w:vAlign w:val="center"/>
          </w:tcPr>
          <w:p w14:paraId="749EA099" w14:textId="77777777" w:rsidR="006B6D13" w:rsidRDefault="006B6D13">
            <w:pPr>
              <w:pStyle w:val="Header"/>
            </w:pPr>
            <w:r>
              <w:t>NPRR Title</w:t>
            </w:r>
          </w:p>
        </w:tc>
        <w:tc>
          <w:tcPr>
            <w:tcW w:w="6660" w:type="dxa"/>
            <w:tcBorders>
              <w:bottom w:val="single" w:sz="4" w:space="0" w:color="auto"/>
            </w:tcBorders>
            <w:vAlign w:val="center"/>
          </w:tcPr>
          <w:p w14:paraId="0483F968" w14:textId="77777777" w:rsidR="006B6D13" w:rsidRPr="00BF6CEB" w:rsidRDefault="00D552B3">
            <w:pPr>
              <w:pStyle w:val="Header"/>
              <w:rPr>
                <w:b w:val="0"/>
              </w:rPr>
            </w:pPr>
            <w:r w:rsidRPr="00BF6CEB">
              <w:rPr>
                <w:rStyle w:val="Strong"/>
                <w:rFonts w:cs="Arial"/>
                <w:b/>
                <w:color w:val="000000"/>
                <w:sz w:val="21"/>
                <w:szCs w:val="21"/>
                <w:shd w:val="clear" w:color="auto" w:fill="FFFFFF"/>
              </w:rPr>
              <w:t>Planning Criteria for GTC Exit Solutions</w:t>
            </w:r>
          </w:p>
        </w:tc>
      </w:tr>
      <w:tr w:rsidR="006B6D13" w14:paraId="5FB6EAB4" w14:textId="77777777" w:rsidTr="006B6D13">
        <w:trPr>
          <w:trHeight w:val="413"/>
        </w:trPr>
        <w:tc>
          <w:tcPr>
            <w:tcW w:w="2880" w:type="dxa"/>
            <w:gridSpan w:val="2"/>
            <w:tcBorders>
              <w:top w:val="nil"/>
              <w:left w:val="nil"/>
              <w:bottom w:val="single" w:sz="4" w:space="0" w:color="auto"/>
              <w:right w:val="nil"/>
            </w:tcBorders>
            <w:shd w:val="clear" w:color="auto" w:fill="auto"/>
            <w:vAlign w:val="center"/>
          </w:tcPr>
          <w:p w14:paraId="6ADA224C" w14:textId="77777777" w:rsidR="006B6D13" w:rsidRPr="006B6D13" w:rsidRDefault="006B6D13">
            <w:pPr>
              <w:pStyle w:val="NormalArial"/>
            </w:pPr>
          </w:p>
        </w:tc>
        <w:tc>
          <w:tcPr>
            <w:tcW w:w="7560" w:type="dxa"/>
            <w:gridSpan w:val="2"/>
            <w:tcBorders>
              <w:top w:val="single" w:sz="4" w:space="0" w:color="auto"/>
              <w:left w:val="nil"/>
              <w:bottom w:val="nil"/>
              <w:right w:val="nil"/>
            </w:tcBorders>
            <w:vAlign w:val="center"/>
          </w:tcPr>
          <w:p w14:paraId="4D62BB43" w14:textId="77777777" w:rsidR="006B6D13" w:rsidRDefault="006B6D13">
            <w:pPr>
              <w:pStyle w:val="NormalArial"/>
            </w:pPr>
          </w:p>
        </w:tc>
      </w:tr>
      <w:tr w:rsidR="006B6D13" w14:paraId="4C3FAB2B" w14:textId="77777777" w:rsidTr="006B6D13">
        <w:trPr>
          <w:trHeight w:val="44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56F4C7" w14:textId="77777777" w:rsidR="006B6D13" w:rsidRPr="006B6D13" w:rsidRDefault="006B6D13">
            <w:pPr>
              <w:pStyle w:val="Header"/>
            </w:pPr>
            <w:r>
              <w:t xml:space="preserve">Date </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DF933A9" w14:textId="2BA44980" w:rsidR="006B6D13" w:rsidRDefault="00AA1F89">
            <w:pPr>
              <w:pStyle w:val="NormalArial"/>
            </w:pPr>
            <w:r>
              <w:t>July 2</w:t>
            </w:r>
            <w:r w:rsidR="00941048">
              <w:t>3</w:t>
            </w:r>
            <w:r>
              <w:t>, 2021</w:t>
            </w:r>
          </w:p>
        </w:tc>
      </w:tr>
      <w:tr w:rsidR="006B6D13" w14:paraId="669CB83C" w14:textId="77777777" w:rsidTr="006B6D13">
        <w:trPr>
          <w:trHeight w:val="467"/>
        </w:trPr>
        <w:tc>
          <w:tcPr>
            <w:tcW w:w="2880" w:type="dxa"/>
            <w:gridSpan w:val="2"/>
            <w:tcBorders>
              <w:top w:val="single" w:sz="4" w:space="0" w:color="auto"/>
              <w:left w:val="nil"/>
              <w:bottom w:val="nil"/>
              <w:right w:val="nil"/>
            </w:tcBorders>
            <w:shd w:val="clear" w:color="auto" w:fill="auto"/>
            <w:vAlign w:val="center"/>
          </w:tcPr>
          <w:p w14:paraId="4196631E" w14:textId="77777777" w:rsidR="006B6D13" w:rsidRPr="006B6D13" w:rsidRDefault="006B6D13">
            <w:pPr>
              <w:pStyle w:val="NormalArial"/>
            </w:pPr>
          </w:p>
        </w:tc>
        <w:tc>
          <w:tcPr>
            <w:tcW w:w="7560" w:type="dxa"/>
            <w:gridSpan w:val="2"/>
            <w:tcBorders>
              <w:top w:val="nil"/>
              <w:left w:val="nil"/>
              <w:bottom w:val="nil"/>
              <w:right w:val="nil"/>
            </w:tcBorders>
            <w:vAlign w:val="center"/>
          </w:tcPr>
          <w:p w14:paraId="41654F37" w14:textId="77777777" w:rsidR="006B6D13" w:rsidRDefault="006B6D13">
            <w:pPr>
              <w:pStyle w:val="NormalArial"/>
            </w:pPr>
          </w:p>
        </w:tc>
      </w:tr>
      <w:tr w:rsidR="006B6D13" w14:paraId="412440DF" w14:textId="77777777" w:rsidTr="006B6D13">
        <w:trPr>
          <w:trHeight w:val="440"/>
        </w:trPr>
        <w:tc>
          <w:tcPr>
            <w:tcW w:w="10440" w:type="dxa"/>
            <w:gridSpan w:val="4"/>
            <w:tcBorders>
              <w:top w:val="single" w:sz="4" w:space="0" w:color="auto"/>
            </w:tcBorders>
            <w:shd w:val="clear" w:color="auto" w:fill="auto"/>
            <w:vAlign w:val="center"/>
          </w:tcPr>
          <w:p w14:paraId="2554CC09" w14:textId="77777777" w:rsidR="006B6D13" w:rsidRPr="006B6D13" w:rsidRDefault="006B6D13">
            <w:pPr>
              <w:pStyle w:val="Header"/>
              <w:jc w:val="center"/>
            </w:pPr>
            <w:r>
              <w:t>Submitter’s Information</w:t>
            </w:r>
          </w:p>
        </w:tc>
      </w:tr>
      <w:tr w:rsidR="006B6D13" w14:paraId="0B2120A0" w14:textId="77777777" w:rsidTr="006B6D13">
        <w:trPr>
          <w:trHeight w:val="350"/>
        </w:trPr>
        <w:tc>
          <w:tcPr>
            <w:tcW w:w="2880" w:type="dxa"/>
            <w:gridSpan w:val="2"/>
            <w:shd w:val="clear" w:color="auto" w:fill="auto"/>
            <w:vAlign w:val="center"/>
          </w:tcPr>
          <w:p w14:paraId="26D98F6B" w14:textId="77777777" w:rsidR="006B6D13" w:rsidRPr="006B6D13" w:rsidRDefault="006B6D13" w:rsidP="00EC55B3">
            <w:pPr>
              <w:pStyle w:val="Header"/>
            </w:pPr>
            <w:r>
              <w:t>Name</w:t>
            </w:r>
          </w:p>
        </w:tc>
        <w:tc>
          <w:tcPr>
            <w:tcW w:w="7560" w:type="dxa"/>
            <w:gridSpan w:val="2"/>
            <w:vAlign w:val="center"/>
          </w:tcPr>
          <w:p w14:paraId="035FBEA3" w14:textId="1E0F264C" w:rsidR="006B6D13" w:rsidRDefault="00FD65F6">
            <w:pPr>
              <w:pStyle w:val="NormalArial"/>
            </w:pPr>
            <w:r>
              <w:t>Walter Reid</w:t>
            </w:r>
          </w:p>
        </w:tc>
      </w:tr>
      <w:tr w:rsidR="006B6D13" w14:paraId="18CAE4A3" w14:textId="77777777" w:rsidTr="006B6D13">
        <w:trPr>
          <w:trHeight w:val="350"/>
        </w:trPr>
        <w:tc>
          <w:tcPr>
            <w:tcW w:w="2880" w:type="dxa"/>
            <w:gridSpan w:val="2"/>
            <w:shd w:val="clear" w:color="auto" w:fill="auto"/>
            <w:vAlign w:val="center"/>
          </w:tcPr>
          <w:p w14:paraId="10ED5074" w14:textId="77777777" w:rsidR="006B6D13" w:rsidRPr="006B6D13" w:rsidRDefault="006B6D13" w:rsidP="00EC55B3">
            <w:pPr>
              <w:pStyle w:val="Header"/>
            </w:pPr>
            <w:r>
              <w:t>E-mail Address</w:t>
            </w:r>
          </w:p>
        </w:tc>
        <w:tc>
          <w:tcPr>
            <w:tcW w:w="7560" w:type="dxa"/>
            <w:gridSpan w:val="2"/>
            <w:vAlign w:val="center"/>
          </w:tcPr>
          <w:p w14:paraId="7B3419B3" w14:textId="2E834F50" w:rsidR="006B6D13" w:rsidRDefault="00941048">
            <w:pPr>
              <w:pStyle w:val="NormalArial"/>
            </w:pPr>
            <w:hyperlink r:id="rId12" w:history="1">
              <w:r w:rsidR="00FD65F6">
                <w:rPr>
                  <w:rStyle w:val="Hyperlink"/>
                  <w:color w:val="auto"/>
                  <w:u w:val="none"/>
                </w:rPr>
                <w:t>w.j.reid@ieee.org</w:t>
              </w:r>
            </w:hyperlink>
          </w:p>
        </w:tc>
      </w:tr>
      <w:tr w:rsidR="006B6D13" w14:paraId="542A3CE9" w14:textId="77777777" w:rsidTr="006B6D13">
        <w:trPr>
          <w:trHeight w:val="350"/>
        </w:trPr>
        <w:tc>
          <w:tcPr>
            <w:tcW w:w="2880" w:type="dxa"/>
            <w:gridSpan w:val="2"/>
            <w:shd w:val="clear" w:color="auto" w:fill="auto"/>
            <w:vAlign w:val="center"/>
          </w:tcPr>
          <w:p w14:paraId="3AB1F763" w14:textId="77777777" w:rsidR="006B6D13" w:rsidRPr="006B6D13" w:rsidRDefault="006B6D13" w:rsidP="00EC55B3">
            <w:pPr>
              <w:pStyle w:val="Header"/>
            </w:pPr>
            <w:r>
              <w:t>Company</w:t>
            </w:r>
          </w:p>
        </w:tc>
        <w:tc>
          <w:tcPr>
            <w:tcW w:w="7560" w:type="dxa"/>
            <w:gridSpan w:val="2"/>
            <w:vAlign w:val="center"/>
          </w:tcPr>
          <w:p w14:paraId="586C7751" w14:textId="5667C756" w:rsidR="006B6D13" w:rsidRDefault="00FD65F6">
            <w:pPr>
              <w:pStyle w:val="NormalArial"/>
            </w:pPr>
            <w:r>
              <w:t>Advanced Power Alliance</w:t>
            </w:r>
          </w:p>
        </w:tc>
      </w:tr>
      <w:tr w:rsidR="006B6D13" w14:paraId="537CE193" w14:textId="77777777" w:rsidTr="006B6D13">
        <w:trPr>
          <w:trHeight w:val="350"/>
        </w:trPr>
        <w:tc>
          <w:tcPr>
            <w:tcW w:w="2880" w:type="dxa"/>
            <w:gridSpan w:val="2"/>
            <w:tcBorders>
              <w:bottom w:val="single" w:sz="4" w:space="0" w:color="auto"/>
            </w:tcBorders>
            <w:shd w:val="clear" w:color="auto" w:fill="auto"/>
            <w:vAlign w:val="center"/>
          </w:tcPr>
          <w:p w14:paraId="736F925B" w14:textId="77777777" w:rsidR="006B6D13" w:rsidRPr="006B6D13" w:rsidRDefault="006B6D13" w:rsidP="00EC55B3">
            <w:pPr>
              <w:pStyle w:val="Header"/>
            </w:pPr>
            <w:r>
              <w:t>Phone Number</w:t>
            </w:r>
          </w:p>
        </w:tc>
        <w:tc>
          <w:tcPr>
            <w:tcW w:w="7560" w:type="dxa"/>
            <w:gridSpan w:val="2"/>
            <w:tcBorders>
              <w:bottom w:val="single" w:sz="4" w:space="0" w:color="auto"/>
            </w:tcBorders>
            <w:vAlign w:val="center"/>
          </w:tcPr>
          <w:p w14:paraId="1A4E937D" w14:textId="0738735A" w:rsidR="006B6D13" w:rsidRDefault="006B6D13">
            <w:pPr>
              <w:pStyle w:val="NormalArial"/>
            </w:pPr>
            <w:r>
              <w:t xml:space="preserve">(512) </w:t>
            </w:r>
            <w:r w:rsidR="00FD65F6">
              <w:t>335-0664</w:t>
            </w:r>
          </w:p>
        </w:tc>
      </w:tr>
      <w:tr w:rsidR="006B6D13" w14:paraId="6F50A0BD" w14:textId="77777777" w:rsidTr="006B6D13">
        <w:trPr>
          <w:trHeight w:val="350"/>
        </w:trPr>
        <w:tc>
          <w:tcPr>
            <w:tcW w:w="2880" w:type="dxa"/>
            <w:gridSpan w:val="2"/>
            <w:shd w:val="clear" w:color="auto" w:fill="auto"/>
            <w:vAlign w:val="center"/>
          </w:tcPr>
          <w:p w14:paraId="78E6A2F5" w14:textId="77777777" w:rsidR="006B6D13" w:rsidRPr="006B6D13" w:rsidRDefault="006B6D13" w:rsidP="00EC55B3">
            <w:pPr>
              <w:pStyle w:val="Header"/>
            </w:pPr>
            <w:r>
              <w:t>Cell Number</w:t>
            </w:r>
          </w:p>
        </w:tc>
        <w:tc>
          <w:tcPr>
            <w:tcW w:w="7560" w:type="dxa"/>
            <w:gridSpan w:val="2"/>
            <w:vAlign w:val="center"/>
          </w:tcPr>
          <w:p w14:paraId="43069A0C" w14:textId="77777777" w:rsidR="006B6D13" w:rsidRDefault="006B6D13">
            <w:pPr>
              <w:pStyle w:val="NormalArial"/>
            </w:pPr>
          </w:p>
        </w:tc>
      </w:tr>
      <w:tr w:rsidR="006B6D13" w14:paraId="47ACC3B7" w14:textId="77777777">
        <w:trPr>
          <w:trHeight w:val="350"/>
        </w:trPr>
        <w:tc>
          <w:tcPr>
            <w:tcW w:w="2880" w:type="dxa"/>
            <w:gridSpan w:val="2"/>
            <w:tcBorders>
              <w:bottom w:val="single" w:sz="4" w:space="0" w:color="auto"/>
            </w:tcBorders>
            <w:shd w:val="clear" w:color="auto" w:fill="FFFFFF"/>
            <w:vAlign w:val="center"/>
          </w:tcPr>
          <w:p w14:paraId="03335F76" w14:textId="77777777" w:rsidR="006B6D13" w:rsidRPr="00EC55B3" w:rsidDel="00075A94" w:rsidRDefault="006B6D13" w:rsidP="00EC55B3">
            <w:pPr>
              <w:pStyle w:val="Header"/>
            </w:pPr>
            <w:r>
              <w:t>Market Segment</w:t>
            </w:r>
          </w:p>
        </w:tc>
        <w:tc>
          <w:tcPr>
            <w:tcW w:w="7560" w:type="dxa"/>
            <w:gridSpan w:val="2"/>
            <w:tcBorders>
              <w:bottom w:val="single" w:sz="4" w:space="0" w:color="auto"/>
            </w:tcBorders>
            <w:vAlign w:val="center"/>
          </w:tcPr>
          <w:p w14:paraId="64E1DB73" w14:textId="55ABCDD2" w:rsidR="006B6D13" w:rsidRDefault="00B52761">
            <w:pPr>
              <w:pStyle w:val="NormalArial"/>
            </w:pPr>
            <w:r>
              <w:t>N/A</w:t>
            </w:r>
          </w:p>
        </w:tc>
      </w:tr>
    </w:tbl>
    <w:p w14:paraId="49DD1467" w14:textId="77777777" w:rsidR="006B6D13" w:rsidRDefault="006B6D13">
      <w:pPr>
        <w:pStyle w:val="NormalArial"/>
      </w:pPr>
    </w:p>
    <w:p w14:paraId="416493DA" w14:textId="77777777" w:rsidR="006B6D13" w:rsidRDefault="006B6D13">
      <w:pPr>
        <w:pStyle w:val="NormalArial"/>
      </w:pP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5"/>
      </w:tblGrid>
      <w:tr w:rsidR="006B6D13" w:rsidRPr="00B5080A" w14:paraId="00839614" w14:textId="77777777" w:rsidTr="00913F08">
        <w:trPr>
          <w:trHeight w:val="422"/>
          <w:jc w:val="center"/>
        </w:trPr>
        <w:tc>
          <w:tcPr>
            <w:tcW w:w="10615" w:type="dxa"/>
            <w:vAlign w:val="center"/>
          </w:tcPr>
          <w:p w14:paraId="4A88E344" w14:textId="77777777" w:rsidR="006B6D13" w:rsidRPr="00075A94" w:rsidRDefault="006B6D13" w:rsidP="00B5080A">
            <w:pPr>
              <w:pStyle w:val="Header"/>
              <w:jc w:val="center"/>
            </w:pPr>
            <w:r>
              <w:t>Comments</w:t>
            </w:r>
          </w:p>
        </w:tc>
      </w:tr>
    </w:tbl>
    <w:p w14:paraId="05BAB18C" w14:textId="77777777" w:rsidR="00BF6CEB" w:rsidRDefault="00BF6CEB" w:rsidP="00D552B3">
      <w:pPr>
        <w:jc w:val="both"/>
        <w:rPr>
          <w:rFonts w:ascii="Arial" w:hAnsi="Arial" w:cs="Arial"/>
        </w:rPr>
      </w:pPr>
    </w:p>
    <w:p w14:paraId="53211FBB" w14:textId="66339BD5" w:rsidR="00CB02E9" w:rsidRDefault="00481B9C" w:rsidP="00D552B3">
      <w:pPr>
        <w:jc w:val="both"/>
        <w:rPr>
          <w:rFonts w:ascii="Arial" w:hAnsi="Arial" w:cs="Arial"/>
        </w:rPr>
      </w:pPr>
      <w:r>
        <w:rPr>
          <w:rFonts w:ascii="Arial" w:hAnsi="Arial" w:cs="Arial"/>
        </w:rPr>
        <w:t xml:space="preserve">The Advanced Power Alliance (APA) </w:t>
      </w:r>
      <w:r w:rsidR="006B6D13">
        <w:rPr>
          <w:rFonts w:ascii="Arial" w:hAnsi="Arial" w:cs="Arial"/>
        </w:rPr>
        <w:t xml:space="preserve">appreciates the opportunity to file comments on </w:t>
      </w:r>
      <w:r w:rsidR="005011D4">
        <w:rPr>
          <w:rFonts w:ascii="Arial" w:hAnsi="Arial" w:cs="Arial"/>
        </w:rPr>
        <w:t>Nodal Protocol Revision Request (</w:t>
      </w:r>
      <w:r w:rsidR="001422EC">
        <w:rPr>
          <w:rFonts w:ascii="Arial" w:hAnsi="Arial" w:cs="Arial"/>
        </w:rPr>
        <w:t>NPRR</w:t>
      </w:r>
      <w:r w:rsidR="005011D4">
        <w:rPr>
          <w:rFonts w:ascii="Arial" w:hAnsi="Arial" w:cs="Arial"/>
        </w:rPr>
        <w:t>)</w:t>
      </w:r>
      <w:r w:rsidR="001422EC">
        <w:rPr>
          <w:rFonts w:ascii="Arial" w:hAnsi="Arial" w:cs="Arial"/>
        </w:rPr>
        <w:t xml:space="preserve"> 1070</w:t>
      </w:r>
      <w:r w:rsidR="005011D4">
        <w:rPr>
          <w:rFonts w:ascii="Arial" w:hAnsi="Arial" w:cs="Arial"/>
        </w:rPr>
        <w:t>, Planning Criteria for GTC Exit Solutions</w:t>
      </w:r>
      <w:r w:rsidR="00655207">
        <w:rPr>
          <w:rFonts w:ascii="Arial" w:hAnsi="Arial" w:cs="Arial"/>
        </w:rPr>
        <w:t xml:space="preserve">.  </w:t>
      </w:r>
    </w:p>
    <w:p w14:paraId="38CB380E" w14:textId="77777777" w:rsidR="00CB02E9" w:rsidRDefault="00CB02E9" w:rsidP="00D552B3">
      <w:pPr>
        <w:jc w:val="both"/>
        <w:rPr>
          <w:rFonts w:ascii="Arial" w:hAnsi="Arial" w:cs="Arial"/>
        </w:rPr>
      </w:pPr>
    </w:p>
    <w:p w14:paraId="67323E56" w14:textId="0D66B50E" w:rsidR="00025259" w:rsidRDefault="00481B9C" w:rsidP="00D552B3">
      <w:pPr>
        <w:jc w:val="both"/>
        <w:rPr>
          <w:rFonts w:ascii="Arial" w:hAnsi="Arial" w:cs="Arial"/>
        </w:rPr>
      </w:pPr>
      <w:r>
        <w:rPr>
          <w:rFonts w:ascii="Arial" w:hAnsi="Arial" w:cs="Arial"/>
        </w:rPr>
        <w:t>Below, the APA provides responses to the Calpine comments submitted on May 14, 2021 in which they put forward the following questions and statements (shown in italics):</w:t>
      </w:r>
    </w:p>
    <w:p w14:paraId="0D8E4D80" w14:textId="77777777" w:rsidR="007B70A1" w:rsidRDefault="007B70A1" w:rsidP="00D552B3">
      <w:pPr>
        <w:jc w:val="both"/>
        <w:rPr>
          <w:rFonts w:ascii="Arial" w:hAnsi="Arial" w:cs="Arial"/>
        </w:rPr>
      </w:pPr>
    </w:p>
    <w:p w14:paraId="7F65FAD6" w14:textId="14DC5AE9" w:rsidR="00701A57" w:rsidRDefault="00701A57" w:rsidP="002A5E7C">
      <w:pPr>
        <w:pStyle w:val="ListParagraph"/>
        <w:numPr>
          <w:ilvl w:val="0"/>
          <w:numId w:val="5"/>
        </w:numPr>
        <w:spacing w:before="120" w:after="120"/>
        <w:contextualSpacing w:val="0"/>
        <w:jc w:val="both"/>
        <w:rPr>
          <w:rFonts w:ascii="Arial" w:hAnsi="Arial" w:cs="Arial"/>
          <w:i/>
          <w:iCs/>
        </w:rPr>
      </w:pPr>
      <w:r w:rsidRPr="00432F8B">
        <w:rPr>
          <w:rFonts w:ascii="Arial" w:hAnsi="Arial" w:cs="Arial"/>
          <w:i/>
          <w:iCs/>
        </w:rPr>
        <w:t>Does existing generation experience unforeseeable congestion cost and curtailment</w:t>
      </w:r>
      <w:r w:rsidR="001E425C" w:rsidRPr="00432F8B">
        <w:rPr>
          <w:rFonts w:ascii="Arial" w:hAnsi="Arial" w:cs="Arial"/>
          <w:i/>
          <w:iCs/>
        </w:rPr>
        <w:t xml:space="preserve"> or are</w:t>
      </w:r>
      <w:r w:rsidR="008438C4" w:rsidRPr="00432F8B">
        <w:rPr>
          <w:rFonts w:ascii="Arial" w:hAnsi="Arial" w:cs="Arial"/>
          <w:i/>
          <w:iCs/>
        </w:rPr>
        <w:t xml:space="preserve"> some</w:t>
      </w:r>
      <w:r w:rsidR="001E425C" w:rsidRPr="00432F8B">
        <w:rPr>
          <w:rFonts w:ascii="Arial" w:hAnsi="Arial" w:cs="Arial"/>
          <w:i/>
          <w:iCs/>
        </w:rPr>
        <w:t xml:space="preserve"> developers ignoring </w:t>
      </w:r>
      <w:r w:rsidR="00B43495" w:rsidRPr="00432F8B">
        <w:rPr>
          <w:rFonts w:ascii="Arial" w:hAnsi="Arial" w:cs="Arial"/>
          <w:i/>
          <w:iCs/>
        </w:rPr>
        <w:t xml:space="preserve">market pricing </w:t>
      </w:r>
      <w:r w:rsidR="001E425C" w:rsidRPr="00432F8B">
        <w:rPr>
          <w:rFonts w:ascii="Arial" w:hAnsi="Arial" w:cs="Arial"/>
          <w:i/>
          <w:iCs/>
        </w:rPr>
        <w:t>signals?</w:t>
      </w:r>
      <w:r w:rsidRPr="00432F8B">
        <w:rPr>
          <w:rFonts w:ascii="Arial" w:hAnsi="Arial" w:cs="Arial"/>
          <w:i/>
          <w:iCs/>
        </w:rPr>
        <w:t xml:space="preserve"> </w:t>
      </w:r>
    </w:p>
    <w:p w14:paraId="0944B0D5" w14:textId="3A62A170" w:rsidR="00BC130D" w:rsidRDefault="00432F8B" w:rsidP="00BC130D">
      <w:pPr>
        <w:spacing w:before="120" w:after="120"/>
        <w:ind w:left="1080"/>
        <w:jc w:val="both"/>
        <w:rPr>
          <w:rFonts w:ascii="Arial" w:hAnsi="Arial" w:cs="Arial"/>
        </w:rPr>
      </w:pPr>
      <w:r>
        <w:rPr>
          <w:rFonts w:ascii="Arial" w:hAnsi="Arial" w:cs="Arial"/>
        </w:rPr>
        <w:t xml:space="preserve">Developers consider many factors when deciding on the technology, location, and size of potential new resources. </w:t>
      </w:r>
      <w:r w:rsidR="00DA10E3">
        <w:rPr>
          <w:rFonts w:ascii="Arial" w:hAnsi="Arial" w:cs="Arial"/>
        </w:rPr>
        <w:t xml:space="preserve"> </w:t>
      </w:r>
      <w:r>
        <w:rPr>
          <w:rFonts w:ascii="Arial" w:hAnsi="Arial" w:cs="Arial"/>
        </w:rPr>
        <w:t>The potential for congestion is certainly on the list and there is every desire to avoid und</w:t>
      </w:r>
      <w:r w:rsidR="00FE16F3">
        <w:rPr>
          <w:rFonts w:ascii="Arial" w:hAnsi="Arial" w:cs="Arial"/>
        </w:rPr>
        <w:t>ue</w:t>
      </w:r>
      <w:r>
        <w:rPr>
          <w:rFonts w:ascii="Arial" w:hAnsi="Arial" w:cs="Arial"/>
        </w:rPr>
        <w:t xml:space="preserve"> congestion.  </w:t>
      </w:r>
      <w:r w:rsidR="000A4803">
        <w:rPr>
          <w:rFonts w:ascii="Arial" w:hAnsi="Arial" w:cs="Arial"/>
        </w:rPr>
        <w:t>The geographic dispersion of wind and solar power development clearly shows the response to price signals.  Wind power resources are very geographically limited; in particular, wind in North, Central, and East Texas is clearly extremely less able to support wind power generation.  Wind power development has moved from the best resource in the Panhandle, due to congestion, to lesser resources in Far West Texas, the Rio Grande River Valley, and the G</w:t>
      </w:r>
      <w:r w:rsidR="00BC130D">
        <w:rPr>
          <w:rFonts w:ascii="Arial" w:hAnsi="Arial" w:cs="Arial"/>
        </w:rPr>
        <w:t>u</w:t>
      </w:r>
      <w:r w:rsidR="000A4803">
        <w:rPr>
          <w:rFonts w:ascii="Arial" w:hAnsi="Arial" w:cs="Arial"/>
        </w:rPr>
        <w:t xml:space="preserve">lf coast in response to price signals; these areas </w:t>
      </w:r>
      <w:r w:rsidR="00BC130D">
        <w:rPr>
          <w:rFonts w:ascii="Arial" w:hAnsi="Arial" w:cs="Arial"/>
        </w:rPr>
        <w:t xml:space="preserve">are now also congested.  New solar power development is moving aggressively into regions in East, Central, and South Texas in response to price signals, due to the congestion associated with development in Far West Texas.  This is </w:t>
      </w:r>
      <w:r w:rsidR="00B52D52">
        <w:rPr>
          <w:rFonts w:ascii="Arial" w:hAnsi="Arial" w:cs="Arial"/>
        </w:rPr>
        <w:t>even though</w:t>
      </w:r>
      <w:r w:rsidR="00BC130D">
        <w:rPr>
          <w:rFonts w:ascii="Arial" w:hAnsi="Arial" w:cs="Arial"/>
        </w:rPr>
        <w:t xml:space="preserve"> the solar irradiation in these more Eastern regions is considerably less than in Far West Texas.  </w:t>
      </w:r>
      <w:r w:rsidR="003A42E0">
        <w:rPr>
          <w:rFonts w:ascii="Arial" w:hAnsi="Arial" w:cs="Arial"/>
        </w:rPr>
        <w:t>Thus,</w:t>
      </w:r>
      <w:r w:rsidR="00BC130D">
        <w:rPr>
          <w:rFonts w:ascii="Arial" w:hAnsi="Arial" w:cs="Arial"/>
        </w:rPr>
        <w:t xml:space="preserve"> the newer solar power development needs more land per unit of energy </w:t>
      </w:r>
      <w:r w:rsidR="00BC130D">
        <w:rPr>
          <w:rFonts w:ascii="Arial" w:hAnsi="Arial" w:cs="Arial"/>
        </w:rPr>
        <w:lastRenderedPageBreak/>
        <w:t>produced, land that is more valuable</w:t>
      </w:r>
      <w:r w:rsidR="00F929CA">
        <w:rPr>
          <w:rFonts w:ascii="Arial" w:hAnsi="Arial" w:cs="Arial"/>
        </w:rPr>
        <w:t xml:space="preserve"> for other uses</w:t>
      </w:r>
      <w:r w:rsidR="00BC130D">
        <w:rPr>
          <w:rFonts w:ascii="Arial" w:hAnsi="Arial" w:cs="Arial"/>
        </w:rPr>
        <w:t xml:space="preserve"> than the more arid Far West Texas land.</w:t>
      </w:r>
    </w:p>
    <w:p w14:paraId="1E4CAD8B" w14:textId="4C8C3776" w:rsidR="000A4803" w:rsidRDefault="00BC130D" w:rsidP="00BC130D">
      <w:pPr>
        <w:spacing w:before="120" w:after="120"/>
        <w:ind w:left="1080"/>
        <w:jc w:val="both"/>
        <w:rPr>
          <w:rFonts w:ascii="Arial" w:hAnsi="Arial" w:cs="Arial"/>
        </w:rPr>
      </w:pPr>
      <w:r>
        <w:rPr>
          <w:rFonts w:ascii="Arial" w:hAnsi="Arial" w:cs="Arial"/>
        </w:rPr>
        <w:t>Retail customers would likely benefit from more wind and solar power development and thus are likely well served to support that development by curing existing congestion and evaluating measures to reduce the risk of future congestion.</w:t>
      </w:r>
    </w:p>
    <w:p w14:paraId="649868B2" w14:textId="74D8175B" w:rsidR="00432F8B" w:rsidRPr="00432F8B" w:rsidRDefault="007F55D3" w:rsidP="007F55D3">
      <w:pPr>
        <w:spacing w:before="120" w:after="120"/>
        <w:ind w:left="1080"/>
        <w:jc w:val="both"/>
        <w:rPr>
          <w:rFonts w:ascii="Arial" w:hAnsi="Arial" w:cs="Arial"/>
        </w:rPr>
      </w:pPr>
      <w:r>
        <w:rPr>
          <w:rFonts w:ascii="Arial" w:hAnsi="Arial" w:cs="Arial"/>
        </w:rPr>
        <w:t xml:space="preserve">Developers do use non-ERCOT data bases and engineering resources to try to determine the best place to locate resources to avoid congestion. </w:t>
      </w:r>
      <w:r w:rsidR="00DA10E3">
        <w:rPr>
          <w:rFonts w:ascii="Arial" w:hAnsi="Arial" w:cs="Arial"/>
        </w:rPr>
        <w:t xml:space="preserve"> </w:t>
      </w:r>
      <w:r w:rsidR="00432F8B">
        <w:rPr>
          <w:rFonts w:ascii="Arial" w:hAnsi="Arial" w:cs="Arial"/>
        </w:rPr>
        <w:t xml:space="preserve">Unfortunately, the degree of congestion </w:t>
      </w:r>
      <w:r w:rsidR="00B52D52">
        <w:rPr>
          <w:rFonts w:ascii="Arial" w:hAnsi="Arial" w:cs="Arial"/>
        </w:rPr>
        <w:t>experienced</w:t>
      </w:r>
      <w:r w:rsidR="00C26909">
        <w:rPr>
          <w:rFonts w:ascii="Arial" w:hAnsi="Arial" w:cs="Arial"/>
        </w:rPr>
        <w:t xml:space="preserve"> once in service</w:t>
      </w:r>
      <w:r w:rsidR="000341D4">
        <w:rPr>
          <w:rFonts w:ascii="Arial" w:hAnsi="Arial" w:cs="Arial"/>
        </w:rPr>
        <w:t xml:space="preserve"> </w:t>
      </w:r>
      <w:r w:rsidR="00432F8B">
        <w:rPr>
          <w:rFonts w:ascii="Arial" w:hAnsi="Arial" w:cs="Arial"/>
        </w:rPr>
        <w:t>is often much more than</w:t>
      </w:r>
      <w:r w:rsidR="000341D4">
        <w:rPr>
          <w:rFonts w:ascii="Arial" w:hAnsi="Arial" w:cs="Arial"/>
        </w:rPr>
        <w:t xml:space="preserve"> originally</w:t>
      </w:r>
      <w:r w:rsidR="00432F8B">
        <w:rPr>
          <w:rFonts w:ascii="Arial" w:hAnsi="Arial" w:cs="Arial"/>
        </w:rPr>
        <w:t xml:space="preserve"> anticipated</w:t>
      </w:r>
      <w:r w:rsidR="0052696D">
        <w:rPr>
          <w:rFonts w:ascii="Arial" w:hAnsi="Arial" w:cs="Arial"/>
        </w:rPr>
        <w:t xml:space="preserve"> during development</w:t>
      </w:r>
      <w:r w:rsidR="00432F8B">
        <w:rPr>
          <w:rFonts w:ascii="Arial" w:hAnsi="Arial" w:cs="Arial"/>
        </w:rPr>
        <w:t xml:space="preserve">.  There are many reasons for this but the most significant is that </w:t>
      </w:r>
      <w:r w:rsidR="00DA10E3">
        <w:rPr>
          <w:rFonts w:ascii="Arial" w:hAnsi="Arial" w:cs="Arial"/>
        </w:rPr>
        <w:t>Generic Transmission Constraints (</w:t>
      </w:r>
      <w:r w:rsidR="00432F8B">
        <w:rPr>
          <w:rFonts w:ascii="Arial" w:hAnsi="Arial" w:cs="Arial"/>
        </w:rPr>
        <w:t>GTCs</w:t>
      </w:r>
      <w:r w:rsidR="00DA10E3">
        <w:rPr>
          <w:rFonts w:ascii="Arial" w:hAnsi="Arial" w:cs="Arial"/>
        </w:rPr>
        <w:t>)</w:t>
      </w:r>
      <w:r w:rsidR="00432F8B">
        <w:rPr>
          <w:rFonts w:ascii="Arial" w:hAnsi="Arial" w:cs="Arial"/>
        </w:rPr>
        <w:t xml:space="preserve"> can “pop up” with little or no warning.  Developers are not allowed to have the data necessary to evaluate the risks associated with potential new GTCs or the possibility of existing GTCs becoming more constrained more often.  Another key uncertainty is possibility of transmission outages well above the historical amount.</w:t>
      </w:r>
      <w:r>
        <w:rPr>
          <w:rFonts w:ascii="Arial" w:hAnsi="Arial" w:cs="Arial"/>
        </w:rPr>
        <w:t xml:space="preserve">  </w:t>
      </w:r>
    </w:p>
    <w:p w14:paraId="0654ED50" w14:textId="57588CBD" w:rsidR="001E425C" w:rsidRDefault="001E425C" w:rsidP="002A5E7C">
      <w:pPr>
        <w:pStyle w:val="ListParagraph"/>
        <w:numPr>
          <w:ilvl w:val="0"/>
          <w:numId w:val="5"/>
        </w:numPr>
        <w:spacing w:before="120" w:after="120"/>
        <w:contextualSpacing w:val="0"/>
        <w:jc w:val="both"/>
        <w:rPr>
          <w:rFonts w:ascii="Arial" w:hAnsi="Arial" w:cs="Arial"/>
          <w:i/>
          <w:iCs/>
        </w:rPr>
      </w:pPr>
      <w:r w:rsidRPr="00432F8B">
        <w:rPr>
          <w:rFonts w:ascii="Arial" w:hAnsi="Arial" w:cs="Arial"/>
          <w:i/>
          <w:iCs/>
        </w:rPr>
        <w:t>Can screening studies be reformed to provide better information to developers?</w:t>
      </w:r>
    </w:p>
    <w:p w14:paraId="789D5A15" w14:textId="7FF16973" w:rsidR="000A4803" w:rsidRDefault="000A4803" w:rsidP="00182151">
      <w:pPr>
        <w:spacing w:before="120" w:after="120"/>
        <w:ind w:left="1440"/>
        <w:jc w:val="both"/>
        <w:rPr>
          <w:rFonts w:ascii="Arial" w:hAnsi="Arial" w:cs="Arial"/>
        </w:rPr>
      </w:pPr>
      <w:r>
        <w:rPr>
          <w:rFonts w:ascii="Arial" w:hAnsi="Arial" w:cs="Arial"/>
        </w:rPr>
        <w:t xml:space="preserve">Additional studies by ERCOT to evaluate the possibility of GTCs </w:t>
      </w:r>
      <w:r w:rsidR="007F55D3">
        <w:rPr>
          <w:rFonts w:ascii="Arial" w:hAnsi="Arial" w:cs="Arial"/>
        </w:rPr>
        <w:t>is one of the things that APA members have requested.  Unfortunately, that has yet to be scoped and staffed even though ERCOT staff and stakeholders have been having discussions about how to solve that very complex issue.  An avenue of study that has only been slightly discussed has been making the confidential data base available to stakeholders by allowing them to specify studies that they pay for and then benefit from the results.  This could uncover possible new limits associated with a particular connection location and allow the developer to adjust their plans.  The studies needed are complex</w:t>
      </w:r>
      <w:r w:rsidR="00182151">
        <w:rPr>
          <w:rFonts w:ascii="Arial" w:hAnsi="Arial" w:cs="Arial"/>
        </w:rPr>
        <w:t xml:space="preserve">, </w:t>
      </w:r>
      <w:r w:rsidR="007F55D3">
        <w:rPr>
          <w:rFonts w:ascii="Arial" w:hAnsi="Arial" w:cs="Arial"/>
        </w:rPr>
        <w:t>the data is very detailed</w:t>
      </w:r>
      <w:r w:rsidR="00182151">
        <w:rPr>
          <w:rFonts w:ascii="Arial" w:hAnsi="Arial" w:cs="Arial"/>
        </w:rPr>
        <w:t>, and the software is limited in speed and scope; it will still be possible, even likely, that real world congestion will still pop up.</w:t>
      </w:r>
    </w:p>
    <w:p w14:paraId="503D1FAF" w14:textId="71A01395" w:rsidR="00182151" w:rsidRPr="000A4803" w:rsidRDefault="00182151" w:rsidP="002D26F5">
      <w:pPr>
        <w:spacing w:before="120" w:after="120"/>
        <w:ind w:left="1440"/>
        <w:jc w:val="both"/>
        <w:rPr>
          <w:rFonts w:ascii="Arial" w:hAnsi="Arial" w:cs="Arial"/>
        </w:rPr>
      </w:pPr>
      <w:r>
        <w:rPr>
          <w:rFonts w:ascii="Arial" w:hAnsi="Arial" w:cs="Arial"/>
        </w:rPr>
        <w:t xml:space="preserve">Studies of potential future congestion are way more problematic now so all parties, developers and </w:t>
      </w:r>
      <w:r w:rsidR="002D26F5">
        <w:rPr>
          <w:rFonts w:ascii="Arial" w:hAnsi="Arial" w:cs="Arial"/>
        </w:rPr>
        <w:t>L</w:t>
      </w:r>
      <w:r>
        <w:rPr>
          <w:rFonts w:ascii="Arial" w:hAnsi="Arial" w:cs="Arial"/>
        </w:rPr>
        <w:t xml:space="preserve">oads, are less certain of the results.  Actual, existing congestion problems, on the other hand, are right there to be seen.  It may make much more sense to actively resolve known congestion issues then to spend inordinate time and money </w:t>
      </w:r>
      <w:r w:rsidR="00B52D52">
        <w:rPr>
          <w:rFonts w:ascii="Arial" w:hAnsi="Arial" w:cs="Arial"/>
        </w:rPr>
        <w:t>to</w:t>
      </w:r>
      <w:r>
        <w:rPr>
          <w:rFonts w:ascii="Arial" w:hAnsi="Arial" w:cs="Arial"/>
        </w:rPr>
        <w:t xml:space="preserve"> avoid </w:t>
      </w:r>
      <w:r w:rsidR="00B52D52">
        <w:rPr>
          <w:rFonts w:ascii="Arial" w:hAnsi="Arial" w:cs="Arial"/>
        </w:rPr>
        <w:t xml:space="preserve">expected </w:t>
      </w:r>
      <w:r>
        <w:rPr>
          <w:rFonts w:ascii="Arial" w:hAnsi="Arial" w:cs="Arial"/>
        </w:rPr>
        <w:t>congestion, especially, when the ERCOT transmission system is clearly limited in so many locations.</w:t>
      </w:r>
    </w:p>
    <w:p w14:paraId="2F0D608A" w14:textId="62BC79A5" w:rsidR="001B4002" w:rsidRDefault="001B4002" w:rsidP="002A5E7C">
      <w:pPr>
        <w:pStyle w:val="ListParagraph"/>
        <w:numPr>
          <w:ilvl w:val="0"/>
          <w:numId w:val="5"/>
        </w:numPr>
        <w:spacing w:before="120" w:after="120"/>
        <w:contextualSpacing w:val="0"/>
        <w:jc w:val="both"/>
        <w:rPr>
          <w:rFonts w:ascii="Arial" w:hAnsi="Arial" w:cs="Arial"/>
          <w:i/>
          <w:iCs/>
        </w:rPr>
      </w:pPr>
      <w:r w:rsidRPr="00432F8B">
        <w:rPr>
          <w:rFonts w:ascii="Arial" w:hAnsi="Arial" w:cs="Arial"/>
          <w:i/>
          <w:iCs/>
        </w:rPr>
        <w:t xml:space="preserve">Is ERCOT implementing dynamic tools that will mitigate the impact of </w:t>
      </w:r>
      <w:r w:rsidR="005F142C" w:rsidRPr="00432F8B">
        <w:rPr>
          <w:rFonts w:ascii="Arial" w:hAnsi="Arial" w:cs="Arial"/>
          <w:i/>
          <w:iCs/>
        </w:rPr>
        <w:t>Generic Transmission Constraints (</w:t>
      </w:r>
      <w:r w:rsidRPr="00432F8B">
        <w:rPr>
          <w:rFonts w:ascii="Arial" w:hAnsi="Arial" w:cs="Arial"/>
          <w:i/>
          <w:iCs/>
        </w:rPr>
        <w:t>GTCs</w:t>
      </w:r>
      <w:r w:rsidR="005F142C" w:rsidRPr="00432F8B">
        <w:rPr>
          <w:rFonts w:ascii="Arial" w:hAnsi="Arial" w:cs="Arial"/>
          <w:i/>
          <w:iCs/>
        </w:rPr>
        <w:t>)</w:t>
      </w:r>
      <w:r w:rsidRPr="00432F8B">
        <w:rPr>
          <w:rFonts w:ascii="Arial" w:hAnsi="Arial" w:cs="Arial"/>
          <w:i/>
          <w:iCs/>
        </w:rPr>
        <w:t xml:space="preserve"> such as Voltage Security Assessment Tool enhancements</w:t>
      </w:r>
      <w:r w:rsidR="00424B15" w:rsidRPr="00432F8B">
        <w:rPr>
          <w:rFonts w:ascii="Arial" w:hAnsi="Arial" w:cs="Arial"/>
          <w:i/>
          <w:iCs/>
        </w:rPr>
        <w:t>?</w:t>
      </w:r>
    </w:p>
    <w:p w14:paraId="7393A9F9" w14:textId="56A4CE82" w:rsidR="00182151" w:rsidRDefault="00182151" w:rsidP="00182151">
      <w:pPr>
        <w:pStyle w:val="ListParagraph"/>
        <w:spacing w:before="120" w:after="120"/>
        <w:ind w:left="1440"/>
        <w:contextualSpacing w:val="0"/>
        <w:jc w:val="both"/>
        <w:rPr>
          <w:rFonts w:ascii="Arial" w:hAnsi="Arial" w:cs="Arial"/>
        </w:rPr>
      </w:pPr>
      <w:r>
        <w:rPr>
          <w:rFonts w:ascii="Arial" w:hAnsi="Arial" w:cs="Arial"/>
        </w:rPr>
        <w:lastRenderedPageBreak/>
        <w:t xml:space="preserve">ERCOT is already using VSAT and wishes to </w:t>
      </w:r>
      <w:r w:rsidR="00B52D52">
        <w:rPr>
          <w:rFonts w:ascii="Arial" w:hAnsi="Arial" w:cs="Arial"/>
        </w:rPr>
        <w:t xml:space="preserve">also </w:t>
      </w:r>
      <w:r>
        <w:rPr>
          <w:rFonts w:ascii="Arial" w:hAnsi="Arial" w:cs="Arial"/>
        </w:rPr>
        <w:t xml:space="preserve">use TSAT to refine the </w:t>
      </w:r>
      <w:r w:rsidR="00AA1F89">
        <w:rPr>
          <w:rFonts w:ascii="Arial" w:hAnsi="Arial" w:cs="Arial"/>
        </w:rPr>
        <w:t>Generic Transmission Limits (</w:t>
      </w:r>
      <w:r>
        <w:rPr>
          <w:rFonts w:ascii="Arial" w:hAnsi="Arial" w:cs="Arial"/>
        </w:rPr>
        <w:t>GTLs</w:t>
      </w:r>
      <w:r w:rsidR="00AA1F89">
        <w:rPr>
          <w:rFonts w:ascii="Arial" w:hAnsi="Arial" w:cs="Arial"/>
        </w:rPr>
        <w:t>)</w:t>
      </w:r>
      <w:r>
        <w:rPr>
          <w:rFonts w:ascii="Arial" w:hAnsi="Arial" w:cs="Arial"/>
        </w:rPr>
        <w:t xml:space="preserve"> nearer to </w:t>
      </w:r>
      <w:r w:rsidR="0003564B">
        <w:rPr>
          <w:rFonts w:ascii="Arial" w:hAnsi="Arial" w:cs="Arial"/>
        </w:rPr>
        <w:t>R</w:t>
      </w:r>
      <w:r>
        <w:rPr>
          <w:rFonts w:ascii="Arial" w:hAnsi="Arial" w:cs="Arial"/>
        </w:rPr>
        <w:t>eal</w:t>
      </w:r>
      <w:r w:rsidR="0003564B">
        <w:rPr>
          <w:rFonts w:ascii="Arial" w:hAnsi="Arial" w:cs="Arial"/>
        </w:rPr>
        <w:t>-T</w:t>
      </w:r>
      <w:r>
        <w:rPr>
          <w:rFonts w:ascii="Arial" w:hAnsi="Arial" w:cs="Arial"/>
        </w:rPr>
        <w:t xml:space="preserve">ime.  The </w:t>
      </w:r>
      <w:r w:rsidR="00FD65F6">
        <w:rPr>
          <w:rFonts w:ascii="Arial" w:hAnsi="Arial" w:cs="Arial"/>
        </w:rPr>
        <w:t>inverter-based</w:t>
      </w:r>
      <w:r>
        <w:rPr>
          <w:rFonts w:ascii="Arial" w:hAnsi="Arial" w:cs="Arial"/>
        </w:rPr>
        <w:t xml:space="preserve"> resource community is working with their vendors to obtain the needed models.  </w:t>
      </w:r>
      <w:r w:rsidR="00FD65F6">
        <w:rPr>
          <w:rFonts w:ascii="Arial" w:hAnsi="Arial" w:cs="Arial"/>
        </w:rPr>
        <w:t>Unfortunately,</w:t>
      </w:r>
      <w:r>
        <w:rPr>
          <w:rFonts w:ascii="Arial" w:hAnsi="Arial" w:cs="Arial"/>
        </w:rPr>
        <w:t xml:space="preserve"> the same vendors are being approached by many customers for models; the vendor</w:t>
      </w:r>
      <w:r w:rsidR="00FD65F6">
        <w:rPr>
          <w:rFonts w:ascii="Arial" w:hAnsi="Arial" w:cs="Arial"/>
        </w:rPr>
        <w:t>’</w:t>
      </w:r>
      <w:r>
        <w:rPr>
          <w:rFonts w:ascii="Arial" w:hAnsi="Arial" w:cs="Arial"/>
        </w:rPr>
        <w:t xml:space="preserve">s engineering staffs are having trouble fulfilling all the requests at the same time.  It is likely costing wind and solar power considerable money </w:t>
      </w:r>
      <w:r w:rsidR="00EC0F0F">
        <w:rPr>
          <w:rFonts w:ascii="Arial" w:hAnsi="Arial" w:cs="Arial"/>
        </w:rPr>
        <w:t xml:space="preserve">while TSAT is not available.  A significant effort is underway and hopefully the bottleneck can be overcome.  </w:t>
      </w:r>
    </w:p>
    <w:p w14:paraId="453326F6" w14:textId="1D1F0D14" w:rsidR="00EC0F0F" w:rsidRPr="00EC0F0F" w:rsidRDefault="00EC0F0F" w:rsidP="00EC0F0F">
      <w:pPr>
        <w:pStyle w:val="ListParagraph"/>
        <w:spacing w:before="120" w:after="120"/>
        <w:ind w:left="1440"/>
        <w:contextualSpacing w:val="0"/>
        <w:jc w:val="both"/>
        <w:rPr>
          <w:rFonts w:ascii="Arial" w:hAnsi="Arial" w:cs="Arial"/>
        </w:rPr>
      </w:pPr>
      <w:r>
        <w:rPr>
          <w:rFonts w:ascii="Arial" w:hAnsi="Arial" w:cs="Arial"/>
        </w:rPr>
        <w:t xml:space="preserve">Getting better </w:t>
      </w:r>
      <w:r w:rsidR="0003564B">
        <w:rPr>
          <w:rFonts w:ascii="Arial" w:hAnsi="Arial" w:cs="Arial"/>
        </w:rPr>
        <w:t>R</w:t>
      </w:r>
      <w:r>
        <w:rPr>
          <w:rFonts w:ascii="Arial" w:hAnsi="Arial" w:cs="Arial"/>
        </w:rPr>
        <w:t>eal</w:t>
      </w:r>
      <w:r w:rsidR="0003564B">
        <w:rPr>
          <w:rFonts w:ascii="Arial" w:hAnsi="Arial" w:cs="Arial"/>
        </w:rPr>
        <w:t>-T</w:t>
      </w:r>
      <w:r>
        <w:rPr>
          <w:rFonts w:ascii="Arial" w:hAnsi="Arial" w:cs="Arial"/>
        </w:rPr>
        <w:t xml:space="preserve">ime GTLs will help, but it is not a solution; it is a modest but real value to retail </w:t>
      </w:r>
      <w:r w:rsidR="002D26F5">
        <w:rPr>
          <w:rFonts w:ascii="Arial" w:hAnsi="Arial" w:cs="Arial"/>
        </w:rPr>
        <w:t>L</w:t>
      </w:r>
      <w:r>
        <w:rPr>
          <w:rFonts w:ascii="Arial" w:hAnsi="Arial" w:cs="Arial"/>
        </w:rPr>
        <w:t>oads and generators.</w:t>
      </w:r>
    </w:p>
    <w:p w14:paraId="0320DC6D" w14:textId="34AF5E47" w:rsidR="004C32A7" w:rsidRDefault="001B4002" w:rsidP="002A5E7C">
      <w:pPr>
        <w:pStyle w:val="ListParagraph"/>
        <w:numPr>
          <w:ilvl w:val="0"/>
          <w:numId w:val="5"/>
        </w:numPr>
        <w:spacing w:before="120" w:after="120"/>
        <w:contextualSpacing w:val="0"/>
        <w:jc w:val="both"/>
        <w:rPr>
          <w:rFonts w:ascii="Arial" w:hAnsi="Arial" w:cs="Arial"/>
          <w:i/>
          <w:iCs/>
        </w:rPr>
      </w:pPr>
      <w:r w:rsidRPr="00432F8B">
        <w:rPr>
          <w:rFonts w:ascii="Arial" w:hAnsi="Arial" w:cs="Arial"/>
          <w:i/>
          <w:iCs/>
        </w:rPr>
        <w:t>Does assuming</w:t>
      </w:r>
      <w:r w:rsidR="00424B15" w:rsidRPr="00432F8B">
        <w:rPr>
          <w:rFonts w:ascii="Arial" w:hAnsi="Arial" w:cs="Arial"/>
          <w:i/>
          <w:iCs/>
        </w:rPr>
        <w:t xml:space="preserve"> negative bids based on sunsetting</w:t>
      </w:r>
      <w:r w:rsidRPr="00432F8B">
        <w:rPr>
          <w:rFonts w:ascii="Arial" w:hAnsi="Arial" w:cs="Arial"/>
          <w:i/>
          <w:iCs/>
        </w:rPr>
        <w:t xml:space="preserve"> federal tax policy overweight uncertain </w:t>
      </w:r>
      <w:r w:rsidR="000F5240" w:rsidRPr="00432F8B">
        <w:rPr>
          <w:rFonts w:ascii="Arial" w:hAnsi="Arial" w:cs="Arial"/>
          <w:i/>
          <w:iCs/>
        </w:rPr>
        <w:t>long-term</w:t>
      </w:r>
      <w:r w:rsidRPr="00432F8B">
        <w:rPr>
          <w:rFonts w:ascii="Arial" w:hAnsi="Arial" w:cs="Arial"/>
          <w:i/>
          <w:iCs/>
        </w:rPr>
        <w:t xml:space="preserve"> benefits?</w:t>
      </w:r>
    </w:p>
    <w:p w14:paraId="11C33EE5" w14:textId="4B456991" w:rsidR="00EC0F0F" w:rsidRPr="00EC0F0F" w:rsidRDefault="00EC0F0F" w:rsidP="00EC0F0F">
      <w:pPr>
        <w:spacing w:before="120" w:after="120"/>
        <w:ind w:left="1440"/>
        <w:jc w:val="both"/>
        <w:rPr>
          <w:rFonts w:ascii="Arial" w:hAnsi="Arial" w:cs="Arial"/>
        </w:rPr>
      </w:pPr>
      <w:r>
        <w:rPr>
          <w:rFonts w:ascii="Arial" w:hAnsi="Arial" w:cs="Arial"/>
        </w:rPr>
        <w:t xml:space="preserve">Using actual bid values would more accurately represent the value of reducing congestion to both retail </w:t>
      </w:r>
      <w:r w:rsidR="002D26F5">
        <w:rPr>
          <w:rFonts w:ascii="Arial" w:hAnsi="Arial" w:cs="Arial"/>
        </w:rPr>
        <w:t>L</w:t>
      </w:r>
      <w:r>
        <w:rPr>
          <w:rFonts w:ascii="Arial" w:hAnsi="Arial" w:cs="Arial"/>
        </w:rPr>
        <w:t xml:space="preserve">oads and generators.  There is a good case to be made that it would likely be more accurate to do a multiyear study, as is done in most every other ISO, to evaluate the cost benefit more completely.  Unfortunately, the </w:t>
      </w:r>
      <w:r w:rsidR="00E83719">
        <w:rPr>
          <w:rFonts w:ascii="Arial" w:hAnsi="Arial" w:cs="Arial"/>
        </w:rPr>
        <w:t>Public Utility Commission of Texas (</w:t>
      </w:r>
      <w:r>
        <w:rPr>
          <w:rFonts w:ascii="Arial" w:hAnsi="Arial" w:cs="Arial"/>
        </w:rPr>
        <w:t>PUCT</w:t>
      </w:r>
      <w:r w:rsidR="00E83719">
        <w:rPr>
          <w:rFonts w:ascii="Arial" w:hAnsi="Arial" w:cs="Arial"/>
        </w:rPr>
        <w:t>)</w:t>
      </w:r>
      <w:r>
        <w:rPr>
          <w:rFonts w:ascii="Arial" w:hAnsi="Arial" w:cs="Arial"/>
        </w:rPr>
        <w:t xml:space="preserve"> rules specify a single year </w:t>
      </w:r>
      <w:r w:rsidR="00FD65F6">
        <w:rPr>
          <w:rFonts w:ascii="Arial" w:hAnsi="Arial" w:cs="Arial"/>
        </w:rPr>
        <w:t>approach,</w:t>
      </w:r>
      <w:r>
        <w:rPr>
          <w:rFonts w:ascii="Arial" w:hAnsi="Arial" w:cs="Arial"/>
        </w:rPr>
        <w:t xml:space="preserve"> so a multiyear approach is not available to stakeholders.  Stakeholders </w:t>
      </w:r>
      <w:r w:rsidR="00FD65F6">
        <w:rPr>
          <w:rFonts w:ascii="Arial" w:hAnsi="Arial" w:cs="Arial"/>
        </w:rPr>
        <w:t>can,</w:t>
      </w:r>
      <w:r>
        <w:rPr>
          <w:rFonts w:ascii="Arial" w:hAnsi="Arial" w:cs="Arial"/>
        </w:rPr>
        <w:t xml:space="preserve"> however, specify the parameters used in the one year.  Bid values make the most sense for retail customers.</w:t>
      </w:r>
    </w:p>
    <w:p w14:paraId="1EB4E438" w14:textId="10107D10" w:rsidR="004D60F9" w:rsidRDefault="004D60F9" w:rsidP="29D2D7D9">
      <w:pPr>
        <w:pStyle w:val="ListParagraph"/>
        <w:numPr>
          <w:ilvl w:val="0"/>
          <w:numId w:val="5"/>
        </w:numPr>
        <w:spacing w:before="120" w:after="120"/>
        <w:contextualSpacing w:val="0"/>
        <w:jc w:val="both"/>
        <w:rPr>
          <w:rFonts w:ascii="Arial" w:hAnsi="Arial" w:cs="Arial"/>
          <w:i/>
          <w:iCs/>
        </w:rPr>
      </w:pPr>
      <w:r w:rsidRPr="29D2D7D9">
        <w:rPr>
          <w:rFonts w:ascii="Arial" w:hAnsi="Arial" w:cs="Arial"/>
          <w:i/>
          <w:iCs/>
        </w:rPr>
        <w:t xml:space="preserve">How is the cost of the </w:t>
      </w:r>
      <w:r w:rsidR="00FC7620" w:rsidRPr="29D2D7D9">
        <w:rPr>
          <w:rFonts w:ascii="Arial" w:hAnsi="Arial" w:cs="Arial"/>
          <w:i/>
          <w:iCs/>
        </w:rPr>
        <w:t>p</w:t>
      </w:r>
      <w:r w:rsidR="005F142C" w:rsidRPr="29D2D7D9">
        <w:rPr>
          <w:rFonts w:ascii="Arial" w:hAnsi="Arial" w:cs="Arial"/>
          <w:i/>
          <w:iCs/>
        </w:rPr>
        <w:t xml:space="preserve">roduction </w:t>
      </w:r>
      <w:r w:rsidR="00FC7620" w:rsidRPr="29D2D7D9">
        <w:rPr>
          <w:rFonts w:ascii="Arial" w:hAnsi="Arial" w:cs="Arial"/>
          <w:i/>
          <w:iCs/>
        </w:rPr>
        <w:t>t</w:t>
      </w:r>
      <w:r w:rsidR="005F142C" w:rsidRPr="29D2D7D9">
        <w:rPr>
          <w:rFonts w:ascii="Arial" w:hAnsi="Arial" w:cs="Arial"/>
          <w:i/>
          <w:iCs/>
        </w:rPr>
        <w:t xml:space="preserve">ax </w:t>
      </w:r>
      <w:r w:rsidR="001624A9" w:rsidRPr="29D2D7D9">
        <w:rPr>
          <w:rFonts w:ascii="Arial" w:hAnsi="Arial" w:cs="Arial"/>
          <w:i/>
          <w:iCs/>
        </w:rPr>
        <w:t>c</w:t>
      </w:r>
      <w:r w:rsidR="005F142C" w:rsidRPr="29D2D7D9">
        <w:rPr>
          <w:rFonts w:ascii="Arial" w:hAnsi="Arial" w:cs="Arial"/>
          <w:i/>
          <w:iCs/>
        </w:rPr>
        <w:t>redit (</w:t>
      </w:r>
      <w:r w:rsidR="00FC7620" w:rsidRPr="29D2D7D9">
        <w:rPr>
          <w:rFonts w:ascii="Arial" w:hAnsi="Arial" w:cs="Arial"/>
          <w:i/>
          <w:iCs/>
        </w:rPr>
        <w:t>“</w:t>
      </w:r>
      <w:r w:rsidRPr="29D2D7D9">
        <w:rPr>
          <w:rFonts w:ascii="Arial" w:hAnsi="Arial" w:cs="Arial"/>
          <w:i/>
          <w:iCs/>
        </w:rPr>
        <w:t>PTC</w:t>
      </w:r>
      <w:r w:rsidR="00FC7620" w:rsidRPr="29D2D7D9">
        <w:rPr>
          <w:rFonts w:ascii="Arial" w:hAnsi="Arial" w:cs="Arial"/>
          <w:i/>
          <w:iCs/>
        </w:rPr>
        <w:t>”</w:t>
      </w:r>
      <w:r w:rsidR="005F142C" w:rsidRPr="29D2D7D9">
        <w:rPr>
          <w:rFonts w:ascii="Arial" w:hAnsi="Arial" w:cs="Arial"/>
          <w:i/>
          <w:iCs/>
        </w:rPr>
        <w:t>)</w:t>
      </w:r>
      <w:r w:rsidRPr="29D2D7D9">
        <w:rPr>
          <w:rFonts w:ascii="Arial" w:hAnsi="Arial" w:cs="Arial"/>
          <w:i/>
          <w:iCs/>
        </w:rPr>
        <w:t xml:space="preserve"> and </w:t>
      </w:r>
      <w:r w:rsidR="00FC7620" w:rsidRPr="29D2D7D9">
        <w:rPr>
          <w:rFonts w:ascii="Arial" w:hAnsi="Arial" w:cs="Arial"/>
          <w:i/>
          <w:iCs/>
        </w:rPr>
        <w:t>investment tax credit (“</w:t>
      </w:r>
      <w:r w:rsidRPr="29D2D7D9">
        <w:rPr>
          <w:rFonts w:ascii="Arial" w:hAnsi="Arial" w:cs="Arial"/>
          <w:i/>
          <w:iCs/>
        </w:rPr>
        <w:t>ITC</w:t>
      </w:r>
      <w:r w:rsidR="00FC7620" w:rsidRPr="29D2D7D9">
        <w:rPr>
          <w:rFonts w:ascii="Arial" w:hAnsi="Arial" w:cs="Arial"/>
          <w:i/>
          <w:iCs/>
        </w:rPr>
        <w:t>”)</w:t>
      </w:r>
      <w:r w:rsidRPr="29D2D7D9">
        <w:rPr>
          <w:rFonts w:ascii="Arial" w:hAnsi="Arial" w:cs="Arial"/>
          <w:i/>
          <w:iCs/>
        </w:rPr>
        <w:t xml:space="preserve"> factor</w:t>
      </w:r>
      <w:r w:rsidR="007A0419" w:rsidRPr="29D2D7D9">
        <w:rPr>
          <w:rFonts w:ascii="Arial" w:hAnsi="Arial" w:cs="Arial"/>
          <w:i/>
          <w:iCs/>
        </w:rPr>
        <w:t>ed</w:t>
      </w:r>
      <w:r w:rsidRPr="29D2D7D9">
        <w:rPr>
          <w:rFonts w:ascii="Arial" w:hAnsi="Arial" w:cs="Arial"/>
          <w:i/>
          <w:iCs/>
        </w:rPr>
        <w:t xml:space="preserve"> into societal benefit</w:t>
      </w:r>
      <w:r w:rsidR="007A0419" w:rsidRPr="29D2D7D9">
        <w:rPr>
          <w:rFonts w:ascii="Arial" w:hAnsi="Arial" w:cs="Arial"/>
          <w:i/>
          <w:iCs/>
        </w:rPr>
        <w:t xml:space="preserve"> calculation</w:t>
      </w:r>
      <w:r w:rsidRPr="29D2D7D9">
        <w:rPr>
          <w:rFonts w:ascii="Arial" w:hAnsi="Arial" w:cs="Arial"/>
          <w:i/>
          <w:iCs/>
        </w:rPr>
        <w:t xml:space="preserve"> and do the cost of the tax credits</w:t>
      </w:r>
      <w:r w:rsidR="00335EA0" w:rsidRPr="29D2D7D9">
        <w:rPr>
          <w:rFonts w:ascii="Arial" w:hAnsi="Arial" w:cs="Arial"/>
          <w:i/>
          <w:iCs/>
        </w:rPr>
        <w:t xml:space="preserve"> combined with negative bids</w:t>
      </w:r>
      <w:r w:rsidRPr="29D2D7D9">
        <w:rPr>
          <w:rFonts w:ascii="Arial" w:hAnsi="Arial" w:cs="Arial"/>
          <w:i/>
          <w:iCs/>
        </w:rPr>
        <w:t xml:space="preserve"> net to zero?</w:t>
      </w:r>
      <w:r w:rsidR="00E50853" w:rsidRPr="29D2D7D9">
        <w:rPr>
          <w:rFonts w:ascii="Arial" w:hAnsi="Arial" w:cs="Arial"/>
          <w:i/>
          <w:iCs/>
        </w:rPr>
        <w:t xml:space="preserve">  Should decommissioning costs be included?</w:t>
      </w:r>
    </w:p>
    <w:p w14:paraId="639A777F" w14:textId="46C0A0EF" w:rsidR="00EC0F0F" w:rsidRPr="00EC0F0F" w:rsidRDefault="00EC0F0F" w:rsidP="00EC0F0F">
      <w:pPr>
        <w:spacing w:before="120" w:after="120"/>
        <w:ind w:left="1440"/>
        <w:jc w:val="both"/>
        <w:rPr>
          <w:rFonts w:ascii="Arial" w:hAnsi="Arial" w:cs="Arial"/>
        </w:rPr>
      </w:pPr>
      <w:r>
        <w:rPr>
          <w:rFonts w:ascii="Arial" w:hAnsi="Arial" w:cs="Arial"/>
        </w:rPr>
        <w:t xml:space="preserve">Societal benefit is not the standard set out by PUCT rules.  </w:t>
      </w:r>
      <w:r w:rsidR="00521665">
        <w:rPr>
          <w:rFonts w:ascii="Arial" w:hAnsi="Arial" w:cs="Arial"/>
        </w:rPr>
        <w:t xml:space="preserve">Societal benefit was discussed by parties to the proceedings at the PUCT that led to the current PUCT rules; </w:t>
      </w:r>
      <w:r w:rsidR="00FD65F6">
        <w:rPr>
          <w:rFonts w:ascii="Arial" w:hAnsi="Arial" w:cs="Arial"/>
        </w:rPr>
        <w:t>but</w:t>
      </w:r>
      <w:r w:rsidR="00521665">
        <w:rPr>
          <w:rFonts w:ascii="Arial" w:hAnsi="Arial" w:cs="Arial"/>
        </w:rPr>
        <w:t xml:space="preserve"> not all parties agreed to the societal benefit approach.  The rules, as adopted by the PUCT do not include </w:t>
      </w:r>
      <w:r w:rsidR="00FD65F6">
        <w:rPr>
          <w:rFonts w:ascii="Arial" w:hAnsi="Arial" w:cs="Arial"/>
        </w:rPr>
        <w:t>societal</w:t>
      </w:r>
      <w:r w:rsidR="00521665">
        <w:rPr>
          <w:rFonts w:ascii="Arial" w:hAnsi="Arial" w:cs="Arial"/>
        </w:rPr>
        <w:t xml:space="preserve"> benefit as a </w:t>
      </w:r>
      <w:r w:rsidR="000F5240">
        <w:rPr>
          <w:rFonts w:ascii="Arial" w:hAnsi="Arial" w:cs="Arial"/>
        </w:rPr>
        <w:t>criterion</w:t>
      </w:r>
      <w:r w:rsidR="00521665">
        <w:rPr>
          <w:rFonts w:ascii="Arial" w:hAnsi="Arial" w:cs="Arial"/>
        </w:rPr>
        <w:t>.</w:t>
      </w:r>
    </w:p>
    <w:p w14:paraId="1CA3E8AD" w14:textId="77777777" w:rsidR="001E425C" w:rsidRPr="00432F8B" w:rsidRDefault="001E425C" w:rsidP="002A5E7C">
      <w:pPr>
        <w:pStyle w:val="ListParagraph"/>
        <w:numPr>
          <w:ilvl w:val="0"/>
          <w:numId w:val="5"/>
        </w:numPr>
        <w:spacing w:before="120" w:after="120"/>
        <w:contextualSpacing w:val="0"/>
        <w:jc w:val="both"/>
        <w:rPr>
          <w:rFonts w:ascii="Arial" w:hAnsi="Arial" w:cs="Arial"/>
          <w:i/>
          <w:iCs/>
        </w:rPr>
      </w:pPr>
      <w:r w:rsidRPr="00432F8B">
        <w:rPr>
          <w:rFonts w:ascii="Arial" w:hAnsi="Arial" w:cs="Arial"/>
          <w:i/>
          <w:iCs/>
        </w:rPr>
        <w:t xml:space="preserve">Are there costs that </w:t>
      </w:r>
      <w:r w:rsidR="008438C4" w:rsidRPr="00432F8B">
        <w:rPr>
          <w:rFonts w:ascii="Arial" w:hAnsi="Arial" w:cs="Arial"/>
          <w:i/>
          <w:iCs/>
        </w:rPr>
        <w:t>are not</w:t>
      </w:r>
      <w:r w:rsidRPr="00432F8B">
        <w:rPr>
          <w:rFonts w:ascii="Arial" w:hAnsi="Arial" w:cs="Arial"/>
          <w:i/>
          <w:iCs/>
        </w:rPr>
        <w:t xml:space="preserve"> contemplated by this NPRR</w:t>
      </w:r>
      <w:r w:rsidR="007A0419" w:rsidRPr="00432F8B">
        <w:rPr>
          <w:rFonts w:ascii="Arial" w:hAnsi="Arial" w:cs="Arial"/>
          <w:i/>
          <w:iCs/>
        </w:rPr>
        <w:t xml:space="preserve"> that should be included</w:t>
      </w:r>
      <w:r w:rsidRPr="00432F8B">
        <w:rPr>
          <w:rFonts w:ascii="Arial" w:hAnsi="Arial" w:cs="Arial"/>
          <w:i/>
          <w:iCs/>
        </w:rPr>
        <w:t>?</w:t>
      </w:r>
      <w:r w:rsidR="008438C4" w:rsidRPr="00432F8B">
        <w:rPr>
          <w:rFonts w:ascii="Arial" w:hAnsi="Arial" w:cs="Arial"/>
          <w:i/>
          <w:iCs/>
        </w:rPr>
        <w:t xml:space="preserve"> For example</w:t>
      </w:r>
      <w:r w:rsidR="00335EA0" w:rsidRPr="00432F8B">
        <w:rPr>
          <w:rFonts w:ascii="Arial" w:hAnsi="Arial" w:cs="Arial"/>
          <w:i/>
          <w:iCs/>
        </w:rPr>
        <w:t>:</w:t>
      </w:r>
    </w:p>
    <w:p w14:paraId="57220565" w14:textId="738464C4" w:rsidR="007A0419" w:rsidRDefault="007A0419" w:rsidP="002A5E7C">
      <w:pPr>
        <w:pStyle w:val="ListParagraph"/>
        <w:numPr>
          <w:ilvl w:val="0"/>
          <w:numId w:val="6"/>
        </w:numPr>
        <w:spacing w:before="120" w:after="120"/>
        <w:contextualSpacing w:val="0"/>
        <w:jc w:val="both"/>
        <w:rPr>
          <w:rFonts w:ascii="Arial" w:hAnsi="Arial" w:cs="Arial"/>
          <w:i/>
          <w:iCs/>
        </w:rPr>
      </w:pPr>
      <w:r w:rsidRPr="00432F8B">
        <w:rPr>
          <w:rFonts w:ascii="Arial" w:hAnsi="Arial" w:cs="Arial"/>
          <w:i/>
          <w:iCs/>
        </w:rPr>
        <w:t xml:space="preserve">Increased likelihood of early retirement of existing resources and </w:t>
      </w:r>
      <w:r w:rsidR="001E2725" w:rsidRPr="00432F8B">
        <w:rPr>
          <w:rFonts w:ascii="Arial" w:hAnsi="Arial" w:cs="Arial"/>
          <w:i/>
          <w:iCs/>
        </w:rPr>
        <w:t xml:space="preserve">probability of </w:t>
      </w:r>
      <w:r w:rsidRPr="00432F8B">
        <w:rPr>
          <w:rFonts w:ascii="Arial" w:hAnsi="Arial" w:cs="Arial"/>
          <w:i/>
          <w:iCs/>
        </w:rPr>
        <w:t>R</w:t>
      </w:r>
      <w:r w:rsidR="001E2725" w:rsidRPr="00432F8B">
        <w:rPr>
          <w:rFonts w:ascii="Arial" w:hAnsi="Arial" w:cs="Arial"/>
          <w:i/>
          <w:iCs/>
        </w:rPr>
        <w:t xml:space="preserve">eliability </w:t>
      </w:r>
      <w:r w:rsidRPr="00432F8B">
        <w:rPr>
          <w:rFonts w:ascii="Arial" w:hAnsi="Arial" w:cs="Arial"/>
          <w:i/>
          <w:iCs/>
        </w:rPr>
        <w:t>M</w:t>
      </w:r>
      <w:r w:rsidR="001E2725" w:rsidRPr="00432F8B">
        <w:rPr>
          <w:rFonts w:ascii="Arial" w:hAnsi="Arial" w:cs="Arial"/>
          <w:i/>
          <w:iCs/>
        </w:rPr>
        <w:t>ust</w:t>
      </w:r>
      <w:r w:rsidR="00FC7620" w:rsidRPr="00432F8B">
        <w:rPr>
          <w:rFonts w:ascii="Arial" w:hAnsi="Arial" w:cs="Arial"/>
          <w:i/>
          <w:iCs/>
        </w:rPr>
        <w:t>-</w:t>
      </w:r>
      <w:r w:rsidRPr="00432F8B">
        <w:rPr>
          <w:rFonts w:ascii="Arial" w:hAnsi="Arial" w:cs="Arial"/>
          <w:i/>
          <w:iCs/>
        </w:rPr>
        <w:t>R</w:t>
      </w:r>
      <w:r w:rsidR="001E2725" w:rsidRPr="00432F8B">
        <w:rPr>
          <w:rFonts w:ascii="Arial" w:hAnsi="Arial" w:cs="Arial"/>
          <w:i/>
          <w:iCs/>
        </w:rPr>
        <w:t>un</w:t>
      </w:r>
      <w:r w:rsidR="00FC7620" w:rsidRPr="00432F8B">
        <w:rPr>
          <w:rFonts w:ascii="Arial" w:hAnsi="Arial" w:cs="Arial"/>
          <w:i/>
          <w:iCs/>
        </w:rPr>
        <w:t xml:space="preserve"> (RMR)</w:t>
      </w:r>
      <w:r w:rsidR="001E2725" w:rsidRPr="00432F8B">
        <w:rPr>
          <w:rFonts w:ascii="Arial" w:hAnsi="Arial" w:cs="Arial"/>
          <w:i/>
          <w:iCs/>
        </w:rPr>
        <w:t xml:space="preserve"> contract</w:t>
      </w:r>
      <w:r w:rsidRPr="00432F8B">
        <w:rPr>
          <w:rFonts w:ascii="Arial" w:hAnsi="Arial" w:cs="Arial"/>
          <w:i/>
          <w:iCs/>
        </w:rPr>
        <w:t>s?</w:t>
      </w:r>
    </w:p>
    <w:p w14:paraId="391AA279" w14:textId="0A9E69E8" w:rsidR="004C06A8" w:rsidRPr="004C06A8" w:rsidRDefault="00473215" w:rsidP="004C06A8">
      <w:pPr>
        <w:spacing w:before="120" w:after="120"/>
        <w:ind w:left="2160"/>
        <w:jc w:val="both"/>
        <w:rPr>
          <w:rFonts w:ascii="Arial" w:hAnsi="Arial" w:cs="Arial"/>
        </w:rPr>
      </w:pPr>
      <w:r>
        <w:rPr>
          <w:rFonts w:ascii="Arial" w:hAnsi="Arial" w:cs="Arial"/>
        </w:rPr>
        <w:t xml:space="preserve">Replacing less efficient more expensive generation is part of the </w:t>
      </w:r>
      <w:r w:rsidR="00BF153D">
        <w:rPr>
          <w:rFonts w:ascii="Arial" w:hAnsi="Arial" w:cs="Arial"/>
        </w:rPr>
        <w:t>value</w:t>
      </w:r>
      <w:r>
        <w:rPr>
          <w:rFonts w:ascii="Arial" w:hAnsi="Arial" w:cs="Arial"/>
        </w:rPr>
        <w:t xml:space="preserve"> of this market.</w:t>
      </w:r>
    </w:p>
    <w:p w14:paraId="4F35D7A5" w14:textId="4A30B967" w:rsidR="007A0419" w:rsidRDefault="007A0419" w:rsidP="002A5E7C">
      <w:pPr>
        <w:pStyle w:val="ListParagraph"/>
        <w:numPr>
          <w:ilvl w:val="0"/>
          <w:numId w:val="6"/>
        </w:numPr>
        <w:spacing w:before="120" w:after="120"/>
        <w:contextualSpacing w:val="0"/>
        <w:jc w:val="both"/>
        <w:rPr>
          <w:rFonts w:ascii="Arial" w:hAnsi="Arial" w:cs="Arial"/>
          <w:i/>
          <w:iCs/>
        </w:rPr>
      </w:pPr>
      <w:r w:rsidRPr="00432F8B">
        <w:rPr>
          <w:rFonts w:ascii="Arial" w:hAnsi="Arial" w:cs="Arial"/>
          <w:i/>
          <w:iCs/>
        </w:rPr>
        <w:t>Additional transmission costs associated with RMR solutions?</w:t>
      </w:r>
    </w:p>
    <w:p w14:paraId="4A457CFC" w14:textId="630F0D7E" w:rsidR="00FD65F6" w:rsidRPr="00FD65F6" w:rsidRDefault="00FD65F6" w:rsidP="00FD65F6">
      <w:pPr>
        <w:spacing w:before="120" w:after="120"/>
        <w:ind w:left="2160"/>
        <w:jc w:val="both"/>
        <w:rPr>
          <w:rFonts w:ascii="Arial" w:hAnsi="Arial" w:cs="Arial"/>
        </w:rPr>
      </w:pPr>
      <w:r>
        <w:rPr>
          <w:rFonts w:ascii="Arial" w:hAnsi="Arial" w:cs="Arial"/>
        </w:rPr>
        <w:t>See above.</w:t>
      </w:r>
    </w:p>
    <w:p w14:paraId="5F9EBA9E" w14:textId="2CB51452" w:rsidR="007A0419" w:rsidRDefault="007A0419" w:rsidP="002A5E7C">
      <w:pPr>
        <w:pStyle w:val="ListParagraph"/>
        <w:numPr>
          <w:ilvl w:val="0"/>
          <w:numId w:val="6"/>
        </w:numPr>
        <w:spacing w:before="120" w:after="120"/>
        <w:contextualSpacing w:val="0"/>
        <w:jc w:val="both"/>
        <w:rPr>
          <w:rFonts w:ascii="Arial" w:hAnsi="Arial" w:cs="Arial"/>
          <w:i/>
          <w:iCs/>
        </w:rPr>
      </w:pPr>
      <w:r w:rsidRPr="00432F8B">
        <w:rPr>
          <w:rFonts w:ascii="Arial" w:hAnsi="Arial" w:cs="Arial"/>
          <w:i/>
          <w:iCs/>
        </w:rPr>
        <w:lastRenderedPageBreak/>
        <w:t xml:space="preserve">Additional </w:t>
      </w:r>
      <w:r w:rsidR="005F142C" w:rsidRPr="00432F8B">
        <w:rPr>
          <w:rFonts w:ascii="Arial" w:hAnsi="Arial" w:cs="Arial"/>
          <w:i/>
          <w:iCs/>
        </w:rPr>
        <w:t>Reliability Unit Commitment (</w:t>
      </w:r>
      <w:r w:rsidRPr="00432F8B">
        <w:rPr>
          <w:rFonts w:ascii="Arial" w:hAnsi="Arial" w:cs="Arial"/>
          <w:i/>
          <w:iCs/>
        </w:rPr>
        <w:t>RUC</w:t>
      </w:r>
      <w:r w:rsidR="005F142C" w:rsidRPr="00432F8B">
        <w:rPr>
          <w:rFonts w:ascii="Arial" w:hAnsi="Arial" w:cs="Arial"/>
          <w:i/>
          <w:iCs/>
        </w:rPr>
        <w:t>)</w:t>
      </w:r>
      <w:r w:rsidRPr="00432F8B">
        <w:rPr>
          <w:rFonts w:ascii="Arial" w:hAnsi="Arial" w:cs="Arial"/>
          <w:i/>
          <w:iCs/>
        </w:rPr>
        <w:t xml:space="preserve"> costs to balance the system due to increase</w:t>
      </w:r>
      <w:r w:rsidR="001E2725" w:rsidRPr="00432F8B">
        <w:rPr>
          <w:rFonts w:ascii="Arial" w:hAnsi="Arial" w:cs="Arial"/>
          <w:i/>
          <w:iCs/>
        </w:rPr>
        <w:t>d</w:t>
      </w:r>
      <w:r w:rsidRPr="00432F8B">
        <w:rPr>
          <w:rFonts w:ascii="Arial" w:hAnsi="Arial" w:cs="Arial"/>
          <w:i/>
          <w:iCs/>
        </w:rPr>
        <w:t xml:space="preserve"> intermittency from generation that benefits from eliminating GTCs.  </w:t>
      </w:r>
    </w:p>
    <w:p w14:paraId="39D94AA2" w14:textId="66EAD42D" w:rsidR="004C06A8" w:rsidRPr="004C06A8" w:rsidRDefault="004C06A8" w:rsidP="004C06A8">
      <w:pPr>
        <w:spacing w:before="120" w:after="120"/>
        <w:ind w:left="2160"/>
        <w:jc w:val="both"/>
        <w:rPr>
          <w:rFonts w:ascii="Arial" w:hAnsi="Arial" w:cs="Arial"/>
        </w:rPr>
      </w:pPr>
      <w:r>
        <w:rPr>
          <w:rFonts w:ascii="Arial" w:hAnsi="Arial" w:cs="Arial"/>
        </w:rPr>
        <w:t xml:space="preserve">There is absolutely no historical data supporting this kind </w:t>
      </w:r>
      <w:r w:rsidR="005125A7">
        <w:rPr>
          <w:rFonts w:ascii="Arial" w:hAnsi="Arial" w:cs="Arial"/>
        </w:rPr>
        <w:t>o</w:t>
      </w:r>
      <w:r>
        <w:rPr>
          <w:rFonts w:ascii="Arial" w:hAnsi="Arial" w:cs="Arial"/>
        </w:rPr>
        <w:t>f need to date and no reason that it will become an issue in the future.  There is clear data showing that ERCOT purchases of Ancillary Services have remained steady or declined slightly for over a decade.</w:t>
      </w:r>
    </w:p>
    <w:p w14:paraId="676A2BE4" w14:textId="77777777" w:rsidR="00335EA0" w:rsidRPr="00432F8B" w:rsidRDefault="00335EA0" w:rsidP="002A5E7C">
      <w:pPr>
        <w:pStyle w:val="ListParagraph"/>
        <w:numPr>
          <w:ilvl w:val="0"/>
          <w:numId w:val="6"/>
        </w:numPr>
        <w:spacing w:before="120" w:after="120"/>
        <w:contextualSpacing w:val="0"/>
        <w:jc w:val="both"/>
        <w:rPr>
          <w:rFonts w:ascii="Arial" w:hAnsi="Arial" w:cs="Arial"/>
          <w:i/>
          <w:iCs/>
        </w:rPr>
      </w:pPr>
      <w:r w:rsidRPr="00432F8B">
        <w:rPr>
          <w:rFonts w:ascii="Arial" w:hAnsi="Arial" w:cs="Arial"/>
          <w:i/>
          <w:iCs/>
        </w:rPr>
        <w:t>Potential increased transmission costs to manage future grid stability issues.</w:t>
      </w:r>
    </w:p>
    <w:p w14:paraId="6F22CAA1" w14:textId="171BC0F0" w:rsidR="00335EA0" w:rsidRDefault="00335EA0" w:rsidP="002A5E7C">
      <w:pPr>
        <w:pStyle w:val="ListParagraph"/>
        <w:numPr>
          <w:ilvl w:val="0"/>
          <w:numId w:val="6"/>
        </w:numPr>
        <w:spacing w:before="120" w:after="120"/>
        <w:contextualSpacing w:val="0"/>
        <w:jc w:val="both"/>
        <w:rPr>
          <w:rFonts w:ascii="Arial" w:hAnsi="Arial" w:cs="Arial"/>
          <w:i/>
          <w:iCs/>
        </w:rPr>
      </w:pPr>
      <w:r w:rsidRPr="00432F8B">
        <w:rPr>
          <w:rFonts w:ascii="Arial" w:hAnsi="Arial" w:cs="Arial"/>
          <w:i/>
          <w:iCs/>
        </w:rPr>
        <w:t>Increases</w:t>
      </w:r>
      <w:r w:rsidR="001E2725" w:rsidRPr="00432F8B">
        <w:rPr>
          <w:rFonts w:ascii="Arial" w:hAnsi="Arial" w:cs="Arial"/>
          <w:i/>
          <w:iCs/>
        </w:rPr>
        <w:t xml:space="preserve"> to</w:t>
      </w:r>
      <w:r w:rsidRPr="00432F8B">
        <w:rPr>
          <w:rFonts w:ascii="Arial" w:hAnsi="Arial" w:cs="Arial"/>
          <w:i/>
          <w:iCs/>
        </w:rPr>
        <w:t xml:space="preserve"> wholesale </w:t>
      </w:r>
      <w:r w:rsidR="001E2725" w:rsidRPr="00432F8B">
        <w:rPr>
          <w:rFonts w:ascii="Arial" w:hAnsi="Arial" w:cs="Arial"/>
          <w:i/>
          <w:iCs/>
        </w:rPr>
        <w:t xml:space="preserve">energy and </w:t>
      </w:r>
      <w:r w:rsidR="005F142C" w:rsidRPr="00432F8B">
        <w:rPr>
          <w:rFonts w:ascii="Arial" w:hAnsi="Arial" w:cs="Arial"/>
          <w:i/>
          <w:iCs/>
        </w:rPr>
        <w:t>A</w:t>
      </w:r>
      <w:r w:rsidR="001E2725" w:rsidRPr="00432F8B">
        <w:rPr>
          <w:rFonts w:ascii="Arial" w:hAnsi="Arial" w:cs="Arial"/>
          <w:i/>
          <w:iCs/>
        </w:rPr>
        <w:t xml:space="preserve">ncillary </w:t>
      </w:r>
      <w:r w:rsidR="005F142C" w:rsidRPr="00432F8B">
        <w:rPr>
          <w:rFonts w:ascii="Arial" w:hAnsi="Arial" w:cs="Arial"/>
          <w:i/>
          <w:iCs/>
        </w:rPr>
        <w:t>S</w:t>
      </w:r>
      <w:r w:rsidR="001E2725" w:rsidRPr="00432F8B">
        <w:rPr>
          <w:rFonts w:ascii="Arial" w:hAnsi="Arial" w:cs="Arial"/>
          <w:i/>
          <w:iCs/>
        </w:rPr>
        <w:t xml:space="preserve">ervice </w:t>
      </w:r>
      <w:r w:rsidRPr="00432F8B">
        <w:rPr>
          <w:rFonts w:ascii="Arial" w:hAnsi="Arial" w:cs="Arial"/>
          <w:i/>
          <w:iCs/>
        </w:rPr>
        <w:t xml:space="preserve">prices due to an increased intermittency of the system.   </w:t>
      </w:r>
    </w:p>
    <w:p w14:paraId="1EC56EB6" w14:textId="3F42AEAD" w:rsidR="00715F8E" w:rsidRPr="00715F8E" w:rsidRDefault="00715F8E" w:rsidP="00715F8E">
      <w:pPr>
        <w:spacing w:before="120" w:after="120"/>
        <w:ind w:left="2160"/>
        <w:jc w:val="both"/>
        <w:rPr>
          <w:rFonts w:ascii="Arial" w:hAnsi="Arial" w:cs="Arial"/>
        </w:rPr>
      </w:pPr>
      <w:r>
        <w:rPr>
          <w:rFonts w:ascii="Arial" w:hAnsi="Arial" w:cs="Arial"/>
        </w:rPr>
        <w:t>There is absolutely no historical basis for this assertion and no basis for this to be changing in the future (see answer above).</w:t>
      </w:r>
    </w:p>
    <w:p w14:paraId="06090203" w14:textId="63218884" w:rsidR="00E50853" w:rsidRDefault="00E50853" w:rsidP="002A5E7C">
      <w:pPr>
        <w:pStyle w:val="ListParagraph"/>
        <w:numPr>
          <w:ilvl w:val="0"/>
          <w:numId w:val="6"/>
        </w:numPr>
        <w:spacing w:before="120" w:after="120"/>
        <w:contextualSpacing w:val="0"/>
        <w:jc w:val="both"/>
        <w:rPr>
          <w:rFonts w:ascii="Arial" w:hAnsi="Arial" w:cs="Arial"/>
          <w:i/>
          <w:iCs/>
        </w:rPr>
      </w:pPr>
      <w:r w:rsidRPr="00432F8B">
        <w:rPr>
          <w:rFonts w:ascii="Arial" w:hAnsi="Arial" w:cs="Arial"/>
          <w:i/>
          <w:iCs/>
        </w:rPr>
        <w:t>Resource adequacy impacts and costs due to the displacement of other generation resources.</w:t>
      </w:r>
    </w:p>
    <w:p w14:paraId="187F29DD" w14:textId="40EFCD72" w:rsidR="00715F8E" w:rsidRPr="00715F8E" w:rsidRDefault="00715F8E" w:rsidP="00715F8E">
      <w:pPr>
        <w:spacing w:before="120" w:after="120"/>
        <w:ind w:left="2160"/>
        <w:jc w:val="both"/>
        <w:rPr>
          <w:rFonts w:ascii="Arial" w:hAnsi="Arial" w:cs="Arial"/>
        </w:rPr>
      </w:pPr>
      <w:r>
        <w:rPr>
          <w:rFonts w:ascii="Arial" w:hAnsi="Arial" w:cs="Arial"/>
        </w:rPr>
        <w:t xml:space="preserve">Good point, transmission additions that reduce congestion INCREASE capacity available to serve </w:t>
      </w:r>
      <w:r w:rsidR="002D26F5">
        <w:rPr>
          <w:rFonts w:ascii="Arial" w:hAnsi="Arial" w:cs="Arial"/>
        </w:rPr>
        <w:t>L</w:t>
      </w:r>
      <w:r>
        <w:rPr>
          <w:rFonts w:ascii="Arial" w:hAnsi="Arial" w:cs="Arial"/>
        </w:rPr>
        <w:t>oad and that benefit should be counted.</w:t>
      </w:r>
    </w:p>
    <w:p w14:paraId="178F0D42" w14:textId="4D1A5704" w:rsidR="001B4002" w:rsidRPr="00432F8B" w:rsidRDefault="001B4002" w:rsidP="002A5E7C">
      <w:pPr>
        <w:pStyle w:val="ListParagraph"/>
        <w:numPr>
          <w:ilvl w:val="0"/>
          <w:numId w:val="6"/>
        </w:numPr>
        <w:spacing w:before="120" w:after="120"/>
        <w:contextualSpacing w:val="0"/>
        <w:jc w:val="both"/>
        <w:rPr>
          <w:rFonts w:ascii="Arial" w:hAnsi="Arial" w:cs="Arial"/>
          <w:i/>
          <w:iCs/>
        </w:rPr>
      </w:pPr>
      <w:r w:rsidRPr="00432F8B">
        <w:rPr>
          <w:rFonts w:ascii="Arial" w:hAnsi="Arial" w:cs="Arial"/>
          <w:i/>
          <w:iCs/>
        </w:rPr>
        <w:t xml:space="preserve">Increased socialized transmission losses with additional long transfer paths. </w:t>
      </w:r>
    </w:p>
    <w:p w14:paraId="605DE40B" w14:textId="4AA96C39" w:rsidR="00715F8E" w:rsidRPr="00715F8E" w:rsidRDefault="00715F8E" w:rsidP="00715F8E">
      <w:pPr>
        <w:spacing w:before="120" w:after="120"/>
        <w:ind w:left="2160"/>
        <w:jc w:val="both"/>
        <w:rPr>
          <w:rFonts w:ascii="Arial" w:hAnsi="Arial" w:cs="Arial"/>
        </w:rPr>
      </w:pPr>
      <w:r>
        <w:rPr>
          <w:rFonts w:ascii="Arial" w:hAnsi="Arial" w:cs="Arial"/>
        </w:rPr>
        <w:t xml:space="preserve">Existing study methods </w:t>
      </w:r>
      <w:r w:rsidR="00B52D52">
        <w:rPr>
          <w:rFonts w:ascii="Arial" w:hAnsi="Arial" w:cs="Arial"/>
        </w:rPr>
        <w:t>consider</w:t>
      </w:r>
      <w:r>
        <w:rPr>
          <w:rFonts w:ascii="Arial" w:hAnsi="Arial" w:cs="Arial"/>
        </w:rPr>
        <w:t xml:space="preserve"> the value of reducing losses when evaluating transmission additions.</w:t>
      </w:r>
    </w:p>
    <w:p w14:paraId="24C4658C" w14:textId="6FE7AD74" w:rsidR="001E2725" w:rsidRDefault="00715F8E" w:rsidP="002A5E7C">
      <w:pPr>
        <w:pStyle w:val="ListParagraph"/>
        <w:numPr>
          <w:ilvl w:val="0"/>
          <w:numId w:val="5"/>
        </w:numPr>
        <w:spacing w:before="120" w:after="120"/>
        <w:contextualSpacing w:val="0"/>
        <w:jc w:val="both"/>
        <w:rPr>
          <w:rFonts w:ascii="Arial" w:hAnsi="Arial" w:cs="Arial"/>
          <w:i/>
          <w:iCs/>
        </w:rPr>
      </w:pPr>
      <w:r w:rsidRPr="00432F8B">
        <w:rPr>
          <w:rFonts w:ascii="Arial" w:hAnsi="Arial" w:cs="Arial"/>
          <w:i/>
          <w:iCs/>
        </w:rPr>
        <w:t xml:space="preserve">Do other developers, </w:t>
      </w:r>
      <w:r w:rsidR="001E425C" w:rsidRPr="00432F8B">
        <w:rPr>
          <w:rFonts w:ascii="Arial" w:hAnsi="Arial" w:cs="Arial"/>
          <w:i/>
          <w:iCs/>
        </w:rPr>
        <w:t xml:space="preserve">like battery developers, use congestion pricing signals for </w:t>
      </w:r>
      <w:r w:rsidR="007A0419" w:rsidRPr="00432F8B">
        <w:rPr>
          <w:rFonts w:ascii="Arial" w:hAnsi="Arial" w:cs="Arial"/>
          <w:i/>
          <w:iCs/>
        </w:rPr>
        <w:t>siting their resources and does inclusion of the proposed benefits negatively affect their development</w:t>
      </w:r>
      <w:r w:rsidR="001B4002" w:rsidRPr="00432F8B">
        <w:rPr>
          <w:rFonts w:ascii="Arial" w:hAnsi="Arial" w:cs="Arial"/>
          <w:i/>
          <w:iCs/>
        </w:rPr>
        <w:t xml:space="preserve"> plans</w:t>
      </w:r>
      <w:r w:rsidR="007A0419" w:rsidRPr="00432F8B">
        <w:rPr>
          <w:rFonts w:ascii="Arial" w:hAnsi="Arial" w:cs="Arial"/>
          <w:i/>
          <w:iCs/>
        </w:rPr>
        <w:t xml:space="preserve">? </w:t>
      </w:r>
    </w:p>
    <w:p w14:paraId="2B8C8D28" w14:textId="60A9B06E" w:rsidR="00521665" w:rsidRPr="00521665" w:rsidRDefault="00521665" w:rsidP="00521665">
      <w:pPr>
        <w:spacing w:before="120" w:after="120"/>
        <w:ind w:left="1440"/>
        <w:jc w:val="both"/>
        <w:rPr>
          <w:rFonts w:ascii="Arial" w:hAnsi="Arial" w:cs="Arial"/>
        </w:rPr>
      </w:pPr>
      <w:r>
        <w:rPr>
          <w:rFonts w:ascii="Arial" w:hAnsi="Arial" w:cs="Arial"/>
        </w:rPr>
        <w:t xml:space="preserve">Hopefully all developers use price signals for a part of their decision making.  There is no question that changes in the transmission system and congestion related pricing effects everyone in the market.  Market prices will be reduced if constrained generation is able to get more generation to market due to system improvements. </w:t>
      </w:r>
      <w:r w:rsidR="00884C3B">
        <w:rPr>
          <w:rFonts w:ascii="Arial" w:hAnsi="Arial" w:cs="Arial"/>
        </w:rPr>
        <w:t xml:space="preserve"> </w:t>
      </w:r>
      <w:r>
        <w:rPr>
          <w:rFonts w:ascii="Arial" w:hAnsi="Arial" w:cs="Arial"/>
        </w:rPr>
        <w:t xml:space="preserve">Retail </w:t>
      </w:r>
      <w:r w:rsidR="002D26F5">
        <w:rPr>
          <w:rFonts w:ascii="Arial" w:hAnsi="Arial" w:cs="Arial"/>
        </w:rPr>
        <w:t>L</w:t>
      </w:r>
      <w:r>
        <w:rPr>
          <w:rFonts w:ascii="Arial" w:hAnsi="Arial" w:cs="Arial"/>
        </w:rPr>
        <w:t xml:space="preserve">oads will benefit from the lower market prices and relatively unconstrained, existing generation will likely see their revenue decrease.  </w:t>
      </w:r>
    </w:p>
    <w:p w14:paraId="1D78646F" w14:textId="59DABD01" w:rsidR="001E2725" w:rsidRDefault="001E2725" w:rsidP="002A5E7C">
      <w:pPr>
        <w:pStyle w:val="ListParagraph"/>
        <w:numPr>
          <w:ilvl w:val="0"/>
          <w:numId w:val="5"/>
        </w:numPr>
        <w:spacing w:before="120" w:after="120"/>
        <w:contextualSpacing w:val="0"/>
        <w:jc w:val="both"/>
        <w:rPr>
          <w:rFonts w:ascii="Arial" w:hAnsi="Arial" w:cs="Arial"/>
          <w:i/>
          <w:iCs/>
        </w:rPr>
      </w:pPr>
      <w:r w:rsidRPr="00432F8B">
        <w:rPr>
          <w:rFonts w:ascii="Arial" w:hAnsi="Arial" w:cs="Arial"/>
          <w:i/>
          <w:iCs/>
        </w:rPr>
        <w:t xml:space="preserve">Is it practical for ERCOT to model future outages based on past outages?  ERCOT’s planning model include about 9200 different contingencies which are an alias to transmission outages?  Many of the </w:t>
      </w:r>
      <w:r w:rsidR="000F5240" w:rsidRPr="00432F8B">
        <w:rPr>
          <w:rFonts w:ascii="Arial" w:hAnsi="Arial" w:cs="Arial"/>
          <w:i/>
          <w:iCs/>
        </w:rPr>
        <w:t>long-term</w:t>
      </w:r>
      <w:r w:rsidRPr="00432F8B">
        <w:rPr>
          <w:rFonts w:ascii="Arial" w:hAnsi="Arial" w:cs="Arial"/>
          <w:i/>
          <w:iCs/>
        </w:rPr>
        <w:t xml:space="preserve"> outages in WEST zone (responsible for past derates to Panhandle GTC) were necessary to complete transmission upgrades to increase transfer capabilities of GTCs. Should this past data be used to justify derates to GTCs in the future?</w:t>
      </w:r>
    </w:p>
    <w:p w14:paraId="4327E1CA" w14:textId="3F1B0F39" w:rsidR="00521665" w:rsidRPr="00521665" w:rsidRDefault="00521665" w:rsidP="00521665">
      <w:pPr>
        <w:spacing w:before="120" w:after="120"/>
        <w:ind w:left="1440"/>
        <w:jc w:val="both"/>
        <w:rPr>
          <w:rFonts w:ascii="Arial" w:hAnsi="Arial" w:cs="Arial"/>
        </w:rPr>
      </w:pPr>
      <w:r>
        <w:rPr>
          <w:rFonts w:ascii="Arial" w:hAnsi="Arial" w:cs="Arial"/>
        </w:rPr>
        <w:lastRenderedPageBreak/>
        <w:t xml:space="preserve">The reality is that the actual congestion experienced by generators in </w:t>
      </w:r>
      <w:r w:rsidR="00E83719">
        <w:rPr>
          <w:rFonts w:ascii="Arial" w:hAnsi="Arial" w:cs="Arial"/>
        </w:rPr>
        <w:t>R</w:t>
      </w:r>
      <w:r>
        <w:rPr>
          <w:rFonts w:ascii="Arial" w:hAnsi="Arial" w:cs="Arial"/>
        </w:rPr>
        <w:t>eal-</w:t>
      </w:r>
      <w:r w:rsidR="00E83719">
        <w:rPr>
          <w:rFonts w:ascii="Arial" w:hAnsi="Arial" w:cs="Arial"/>
        </w:rPr>
        <w:t>T</w:t>
      </w:r>
      <w:r>
        <w:rPr>
          <w:rFonts w:ascii="Arial" w:hAnsi="Arial" w:cs="Arial"/>
        </w:rPr>
        <w:t xml:space="preserve">ime is substantially </w:t>
      </w:r>
      <w:r w:rsidR="00B52D52">
        <w:rPr>
          <w:rFonts w:ascii="Arial" w:hAnsi="Arial" w:cs="Arial"/>
        </w:rPr>
        <w:t>more and</w:t>
      </w:r>
      <w:r w:rsidR="00D5231D">
        <w:rPr>
          <w:rFonts w:ascii="Arial" w:hAnsi="Arial" w:cs="Arial"/>
        </w:rPr>
        <w:t xml:space="preserve"> occurs </w:t>
      </w:r>
      <w:r>
        <w:rPr>
          <w:rFonts w:ascii="Arial" w:hAnsi="Arial" w:cs="Arial"/>
        </w:rPr>
        <w:t>more often than is represented in planning stud</w:t>
      </w:r>
      <w:r w:rsidR="004C06A8">
        <w:rPr>
          <w:rFonts w:ascii="Arial" w:hAnsi="Arial" w:cs="Arial"/>
        </w:rPr>
        <w:t>ies.  We need an evaluation of how well the planning studies benchmark against the real word experience.  There are many N-1-1… situations that effect thermal as well as GTC limits that are simply not considered in the studies.  Besides developing a better reflection of “routine” outages in the planning process; there is a need to recognize that there is a risk of “black swan” events that needs to be included in the evaluations.</w:t>
      </w:r>
      <w:r w:rsidR="00FD65F6">
        <w:rPr>
          <w:rFonts w:ascii="Arial" w:hAnsi="Arial" w:cs="Arial"/>
        </w:rPr>
        <w:t xml:space="preserve">  Yet another source of outages are the planned outages that will be needed to add new transmission.</w:t>
      </w:r>
    </w:p>
    <w:p w14:paraId="2EB1AF1F" w14:textId="171BEDE7" w:rsidR="001E2725" w:rsidRDefault="001E2725" w:rsidP="002A5E7C">
      <w:pPr>
        <w:pStyle w:val="ListParagraph"/>
        <w:numPr>
          <w:ilvl w:val="0"/>
          <w:numId w:val="5"/>
        </w:numPr>
        <w:spacing w:before="120" w:after="120"/>
        <w:contextualSpacing w:val="0"/>
        <w:jc w:val="both"/>
        <w:rPr>
          <w:rFonts w:ascii="Arial" w:hAnsi="Arial" w:cs="Arial"/>
          <w:i/>
          <w:iCs/>
        </w:rPr>
      </w:pPr>
      <w:r w:rsidRPr="00432F8B">
        <w:rPr>
          <w:rFonts w:ascii="Arial" w:hAnsi="Arial" w:cs="Arial"/>
          <w:i/>
          <w:iCs/>
        </w:rPr>
        <w:t>In practice how would ERCOT determine the avoided cost of reliability projects?</w:t>
      </w:r>
    </w:p>
    <w:p w14:paraId="6A3F4670" w14:textId="602CA250" w:rsidR="00715F8E" w:rsidRPr="00715F8E" w:rsidRDefault="00715F8E" w:rsidP="00715F8E">
      <w:pPr>
        <w:spacing w:before="120" w:after="120"/>
        <w:ind w:left="1440"/>
        <w:jc w:val="both"/>
        <w:rPr>
          <w:rFonts w:ascii="Arial" w:hAnsi="Arial" w:cs="Arial"/>
        </w:rPr>
      </w:pPr>
      <w:r>
        <w:rPr>
          <w:rFonts w:ascii="Arial" w:hAnsi="Arial" w:cs="Arial"/>
        </w:rPr>
        <w:t xml:space="preserve">This deserves to be discussed.  There are a lot of assumptions and studies that may be required.  We do have some existing studies that showed that after CREZ was approved, the </w:t>
      </w:r>
      <w:r w:rsidR="00AA1F89">
        <w:rPr>
          <w:rFonts w:ascii="Arial" w:hAnsi="Arial" w:cs="Arial"/>
        </w:rPr>
        <w:t>Long-Term System Assessment (</w:t>
      </w:r>
      <w:r>
        <w:rPr>
          <w:rFonts w:ascii="Arial" w:hAnsi="Arial" w:cs="Arial"/>
        </w:rPr>
        <w:t>LTSA</w:t>
      </w:r>
      <w:r w:rsidR="00AA1F89">
        <w:rPr>
          <w:rFonts w:ascii="Arial" w:hAnsi="Arial" w:cs="Arial"/>
        </w:rPr>
        <w:t>)</w:t>
      </w:r>
      <w:r>
        <w:rPr>
          <w:rFonts w:ascii="Arial" w:hAnsi="Arial" w:cs="Arial"/>
        </w:rPr>
        <w:t xml:space="preserve"> studies removed some future projects around San Antonio and DFW.</w:t>
      </w:r>
    </w:p>
    <w:p w14:paraId="719805F6" w14:textId="7F1B77F2" w:rsidR="001E2725" w:rsidRDefault="001E2725" w:rsidP="002A5E7C">
      <w:pPr>
        <w:pStyle w:val="ListParagraph"/>
        <w:numPr>
          <w:ilvl w:val="0"/>
          <w:numId w:val="5"/>
        </w:numPr>
        <w:spacing w:before="120" w:after="120"/>
        <w:contextualSpacing w:val="0"/>
        <w:jc w:val="both"/>
        <w:rPr>
          <w:rFonts w:ascii="Arial" w:hAnsi="Arial" w:cs="Arial"/>
          <w:i/>
          <w:iCs/>
        </w:rPr>
      </w:pPr>
      <w:r w:rsidRPr="00432F8B">
        <w:rPr>
          <w:rFonts w:ascii="Arial" w:hAnsi="Arial" w:cs="Arial"/>
          <w:i/>
          <w:iCs/>
        </w:rPr>
        <w:t xml:space="preserve">Are there </w:t>
      </w:r>
      <w:r w:rsidR="008438C4" w:rsidRPr="00432F8B">
        <w:rPr>
          <w:rFonts w:ascii="Arial" w:hAnsi="Arial" w:cs="Arial"/>
          <w:i/>
          <w:iCs/>
        </w:rPr>
        <w:t xml:space="preserve">revisions to the </w:t>
      </w:r>
      <w:r w:rsidRPr="00432F8B">
        <w:rPr>
          <w:rFonts w:ascii="Arial" w:hAnsi="Arial" w:cs="Arial"/>
          <w:i/>
          <w:iCs/>
        </w:rPr>
        <w:t xml:space="preserve">firm </w:t>
      </w:r>
      <w:r w:rsidR="005F142C" w:rsidRPr="00432F8B">
        <w:rPr>
          <w:rFonts w:ascii="Arial" w:hAnsi="Arial" w:cs="Arial"/>
          <w:i/>
          <w:iCs/>
        </w:rPr>
        <w:t>L</w:t>
      </w:r>
      <w:r w:rsidRPr="00432F8B">
        <w:rPr>
          <w:rFonts w:ascii="Arial" w:hAnsi="Arial" w:cs="Arial"/>
          <w:i/>
          <w:iCs/>
        </w:rPr>
        <w:t>oad shed</w:t>
      </w:r>
      <w:r w:rsidR="008438C4" w:rsidRPr="00432F8B">
        <w:rPr>
          <w:rFonts w:ascii="Arial" w:hAnsi="Arial" w:cs="Arial"/>
          <w:i/>
          <w:iCs/>
        </w:rPr>
        <w:t xml:space="preserve"> process that can mitigate the impact of GTCs</w:t>
      </w:r>
      <w:r w:rsidR="001B4002" w:rsidRPr="00432F8B">
        <w:rPr>
          <w:rFonts w:ascii="Arial" w:hAnsi="Arial" w:cs="Arial"/>
          <w:i/>
          <w:iCs/>
        </w:rPr>
        <w:t xml:space="preserve"> if </w:t>
      </w:r>
      <w:r w:rsidR="005F142C" w:rsidRPr="00432F8B">
        <w:rPr>
          <w:rFonts w:ascii="Arial" w:hAnsi="Arial" w:cs="Arial"/>
          <w:i/>
          <w:iCs/>
        </w:rPr>
        <w:t>L</w:t>
      </w:r>
      <w:r w:rsidR="001B4002" w:rsidRPr="00432F8B">
        <w:rPr>
          <w:rFonts w:ascii="Arial" w:hAnsi="Arial" w:cs="Arial"/>
          <w:i/>
          <w:iCs/>
        </w:rPr>
        <w:t>oad shed occurs</w:t>
      </w:r>
      <w:r w:rsidR="008438C4" w:rsidRPr="00432F8B">
        <w:rPr>
          <w:rFonts w:ascii="Arial" w:hAnsi="Arial" w:cs="Arial"/>
          <w:i/>
          <w:iCs/>
        </w:rPr>
        <w:t xml:space="preserve">?  </w:t>
      </w:r>
      <w:r w:rsidRPr="00432F8B">
        <w:rPr>
          <w:rFonts w:ascii="Arial" w:hAnsi="Arial" w:cs="Arial"/>
          <w:i/>
          <w:iCs/>
        </w:rPr>
        <w:t xml:space="preserve">  </w:t>
      </w:r>
    </w:p>
    <w:p w14:paraId="5BD57C58" w14:textId="125F5E30" w:rsidR="00715F8E" w:rsidRPr="00715F8E" w:rsidRDefault="00715F8E" w:rsidP="00715F8E">
      <w:pPr>
        <w:spacing w:before="120" w:after="120"/>
        <w:ind w:left="1440"/>
        <w:jc w:val="both"/>
        <w:rPr>
          <w:rFonts w:ascii="Arial" w:hAnsi="Arial" w:cs="Arial"/>
        </w:rPr>
      </w:pPr>
      <w:r>
        <w:rPr>
          <w:rFonts w:ascii="Arial" w:hAnsi="Arial" w:cs="Arial"/>
        </w:rPr>
        <w:t>Not sure what the question is; please elaborate.</w:t>
      </w:r>
    </w:p>
    <w:p w14:paraId="70299611" w14:textId="77777777" w:rsidR="001E425C" w:rsidRDefault="007A0419" w:rsidP="00335EA0">
      <w:pPr>
        <w:pStyle w:val="ListParagraph"/>
        <w:jc w:val="both"/>
        <w:rPr>
          <w:rFonts w:ascii="Arial" w:hAnsi="Arial" w:cs="Arial"/>
        </w:rPr>
      </w:pPr>
      <w:r>
        <w:rPr>
          <w:rFonts w:ascii="Arial" w:hAnsi="Arial" w:cs="Arial"/>
        </w:rPr>
        <w:t xml:space="preserve"> </w:t>
      </w:r>
      <w:r w:rsidR="001E425C">
        <w:rPr>
          <w:rFonts w:ascii="Arial" w:hAnsi="Arial" w:cs="Arial"/>
        </w:rPr>
        <w:t xml:space="preserve"> </w:t>
      </w:r>
    </w:p>
    <w:p w14:paraId="066EF301" w14:textId="77777777" w:rsidR="005D31D5" w:rsidRDefault="005D31D5" w:rsidP="00F45611">
      <w:pPr>
        <w:jc w:val="both"/>
        <w:rPr>
          <w:rFonts w:ascii="Arial" w:hAnsi="Arial" w:cs="Arial"/>
        </w:rPr>
      </w:pPr>
    </w:p>
    <w:p w14:paraId="696D2555" w14:textId="77777777" w:rsidR="00D552B3" w:rsidRPr="00D56D61" w:rsidRDefault="00D552B3" w:rsidP="00704580">
      <w:pPr>
        <w:tabs>
          <w:tab w:val="num" w:pos="0"/>
        </w:tabs>
        <w:rPr>
          <w:rFonts w:ascii="Arial" w:hAnsi="Arial" w:cs="Arial"/>
        </w:rPr>
      </w:pPr>
    </w:p>
    <w:sectPr w:rsidR="00D552B3" w:rsidRPr="00D56D61">
      <w:headerReference w:type="default" r:id="rId13"/>
      <w:footerReference w:type="default" r:id="rId1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3473E" w14:textId="77777777" w:rsidR="00DC4941" w:rsidRDefault="00DC4941" w:rsidP="00692C35">
      <w:r>
        <w:separator/>
      </w:r>
    </w:p>
  </w:endnote>
  <w:endnote w:type="continuationSeparator" w:id="0">
    <w:p w14:paraId="489091A7" w14:textId="77777777" w:rsidR="00DC4941" w:rsidRDefault="00DC4941" w:rsidP="0069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6C76F" w14:textId="09AF783C" w:rsidR="00913F08" w:rsidRDefault="00AA1F89" w:rsidP="00913F08">
    <w:pPr>
      <w:pStyle w:val="Footer"/>
      <w:tabs>
        <w:tab w:val="clear" w:pos="4320"/>
        <w:tab w:val="clear" w:pos="8640"/>
        <w:tab w:val="right" w:pos="9360"/>
      </w:tabs>
      <w:rPr>
        <w:rFonts w:ascii="Arial" w:hAnsi="Arial"/>
        <w:sz w:val="18"/>
      </w:rPr>
    </w:pPr>
    <w:r>
      <w:rPr>
        <w:rFonts w:ascii="Arial" w:hAnsi="Arial"/>
        <w:sz w:val="18"/>
      </w:rPr>
      <w:t>1070NPRR-13 APA Comments 072</w:t>
    </w:r>
    <w:r w:rsidR="00941048">
      <w:rPr>
        <w:rFonts w:ascii="Arial" w:hAnsi="Arial"/>
        <w:sz w:val="18"/>
      </w:rPr>
      <w:t>3</w:t>
    </w:r>
    <w:r>
      <w:rPr>
        <w:rFonts w:ascii="Arial" w:hAnsi="Arial"/>
        <w:sz w:val="18"/>
      </w:rPr>
      <w:t>21</w:t>
    </w:r>
    <w:r w:rsidR="00913F08">
      <w:rPr>
        <w:rFonts w:ascii="Arial" w:hAnsi="Arial"/>
        <w:sz w:val="18"/>
      </w:rPr>
      <w:tab/>
      <w:t xml:space="preserve">Page </w:t>
    </w:r>
    <w:r w:rsidR="00913F08">
      <w:rPr>
        <w:rFonts w:ascii="Arial" w:hAnsi="Arial"/>
        <w:sz w:val="18"/>
      </w:rPr>
      <w:fldChar w:fldCharType="begin"/>
    </w:r>
    <w:r w:rsidR="00913F08">
      <w:rPr>
        <w:rFonts w:ascii="Arial" w:hAnsi="Arial"/>
        <w:sz w:val="18"/>
      </w:rPr>
      <w:instrText xml:space="preserve"> PAGE </w:instrText>
    </w:r>
    <w:r w:rsidR="00913F08">
      <w:rPr>
        <w:rFonts w:ascii="Arial" w:hAnsi="Arial"/>
        <w:sz w:val="18"/>
      </w:rPr>
      <w:fldChar w:fldCharType="separate"/>
    </w:r>
    <w:r w:rsidR="000B060E">
      <w:rPr>
        <w:rFonts w:ascii="Arial" w:hAnsi="Arial"/>
        <w:noProof/>
        <w:sz w:val="18"/>
      </w:rPr>
      <w:t>3</w:t>
    </w:r>
    <w:r w:rsidR="00913F08">
      <w:rPr>
        <w:rFonts w:ascii="Arial" w:hAnsi="Arial"/>
        <w:sz w:val="18"/>
      </w:rPr>
      <w:fldChar w:fldCharType="end"/>
    </w:r>
    <w:r w:rsidR="00913F08">
      <w:rPr>
        <w:rFonts w:ascii="Arial" w:hAnsi="Arial"/>
        <w:sz w:val="18"/>
      </w:rPr>
      <w:t xml:space="preserve"> of </w:t>
    </w:r>
    <w:r w:rsidR="00913F08">
      <w:rPr>
        <w:rFonts w:ascii="Arial" w:hAnsi="Arial"/>
        <w:sz w:val="18"/>
      </w:rPr>
      <w:fldChar w:fldCharType="begin"/>
    </w:r>
    <w:r w:rsidR="00913F08">
      <w:rPr>
        <w:rFonts w:ascii="Arial" w:hAnsi="Arial"/>
        <w:sz w:val="18"/>
      </w:rPr>
      <w:instrText xml:space="preserve"> NUMPAGES </w:instrText>
    </w:r>
    <w:r w:rsidR="00913F08">
      <w:rPr>
        <w:rFonts w:ascii="Arial" w:hAnsi="Arial"/>
        <w:sz w:val="18"/>
      </w:rPr>
      <w:fldChar w:fldCharType="separate"/>
    </w:r>
    <w:r w:rsidR="000B060E">
      <w:rPr>
        <w:rFonts w:ascii="Arial" w:hAnsi="Arial"/>
        <w:noProof/>
        <w:sz w:val="18"/>
      </w:rPr>
      <w:t>3</w:t>
    </w:r>
    <w:r w:rsidR="00913F08">
      <w:rPr>
        <w:rFonts w:ascii="Arial" w:hAnsi="Arial"/>
        <w:sz w:val="18"/>
      </w:rPr>
      <w:fldChar w:fldCharType="end"/>
    </w:r>
  </w:p>
  <w:p w14:paraId="24CDD7A6" w14:textId="6591020B" w:rsidR="00913F08" w:rsidRDefault="00913F08" w:rsidP="00913F08">
    <w:pPr>
      <w:pStyle w:val="Footer"/>
      <w:tabs>
        <w:tab w:val="clear" w:pos="4320"/>
        <w:tab w:val="clear" w:pos="8640"/>
        <w:tab w:val="right" w:pos="9360"/>
      </w:tabs>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2A5D4" w14:textId="77777777" w:rsidR="00DC4941" w:rsidRDefault="00DC4941" w:rsidP="00692C35">
      <w:r>
        <w:separator/>
      </w:r>
    </w:p>
  </w:footnote>
  <w:footnote w:type="continuationSeparator" w:id="0">
    <w:p w14:paraId="419B6678" w14:textId="77777777" w:rsidR="00DC4941" w:rsidRDefault="00DC4941" w:rsidP="00692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C2B27" w14:textId="77777777" w:rsidR="00AA1F89" w:rsidRPr="00F27AB2" w:rsidRDefault="00AA1F89" w:rsidP="00AA1F89">
    <w:pPr>
      <w:tabs>
        <w:tab w:val="center" w:pos="4320"/>
        <w:tab w:val="right" w:pos="8640"/>
      </w:tabs>
      <w:jc w:val="center"/>
      <w:rPr>
        <w:rFonts w:ascii="Arial" w:hAnsi="Arial"/>
        <w:b/>
        <w:bCs/>
        <w:sz w:val="32"/>
      </w:rPr>
    </w:pPr>
    <w:r w:rsidRPr="00F27AB2">
      <w:rPr>
        <w:rFonts w:ascii="Arial" w:hAnsi="Arial"/>
        <w:b/>
        <w:bCs/>
        <w:sz w:val="32"/>
      </w:rPr>
      <w:t>NPRR Comments</w:t>
    </w:r>
  </w:p>
  <w:p w14:paraId="2F9740AF" w14:textId="77777777" w:rsidR="00AA1F89" w:rsidRDefault="00AA1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3A1565C1"/>
    <w:multiLevelType w:val="hybridMultilevel"/>
    <w:tmpl w:val="B20E4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DF7D48"/>
    <w:multiLevelType w:val="hybridMultilevel"/>
    <w:tmpl w:val="1EE81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4DC1395"/>
    <w:multiLevelType w:val="hybridMultilevel"/>
    <w:tmpl w:val="CFAA6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8B16602"/>
    <w:multiLevelType w:val="hybridMultilevel"/>
    <w:tmpl w:val="4314A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Author" w:val="False"/>
    <w:docVar w:name="DocIDClientMatter" w:val="False"/>
    <w:docVar w:name="DocIDDate" w:val="False"/>
    <w:docVar w:name="DocIDDateText" w:val="False"/>
    <w:docVar w:name="DocIDLibrary" w:val="True"/>
    <w:docVar w:name="DocIDType" w:val="AllPages"/>
    <w:docVar w:name="DocIDTypist" w:val="False"/>
    <w:docVar w:name="LegacyDocIDRemoved" w:val="True"/>
  </w:docVars>
  <w:rsids>
    <w:rsidRoot w:val="001A227D"/>
    <w:rsid w:val="00025259"/>
    <w:rsid w:val="000341D4"/>
    <w:rsid w:val="0003564B"/>
    <w:rsid w:val="00037668"/>
    <w:rsid w:val="000717C8"/>
    <w:rsid w:val="00075A94"/>
    <w:rsid w:val="00076F69"/>
    <w:rsid w:val="000814FC"/>
    <w:rsid w:val="000818BE"/>
    <w:rsid w:val="000A4803"/>
    <w:rsid w:val="000B060E"/>
    <w:rsid w:val="000B47B8"/>
    <w:rsid w:val="000C5D63"/>
    <w:rsid w:val="000D5555"/>
    <w:rsid w:val="000F5240"/>
    <w:rsid w:val="000F750D"/>
    <w:rsid w:val="00132855"/>
    <w:rsid w:val="001422EC"/>
    <w:rsid w:val="00152993"/>
    <w:rsid w:val="00155BC9"/>
    <w:rsid w:val="001624A9"/>
    <w:rsid w:val="00170297"/>
    <w:rsid w:val="00182151"/>
    <w:rsid w:val="00184E43"/>
    <w:rsid w:val="00194FE2"/>
    <w:rsid w:val="001A1BD8"/>
    <w:rsid w:val="001A227D"/>
    <w:rsid w:val="001B136F"/>
    <w:rsid w:val="001B4002"/>
    <w:rsid w:val="001C3068"/>
    <w:rsid w:val="001E2032"/>
    <w:rsid w:val="001E2725"/>
    <w:rsid w:val="001E425C"/>
    <w:rsid w:val="001E44C0"/>
    <w:rsid w:val="002321D7"/>
    <w:rsid w:val="00253F31"/>
    <w:rsid w:val="002621BB"/>
    <w:rsid w:val="002A5E7C"/>
    <w:rsid w:val="002B7014"/>
    <w:rsid w:val="002D26F5"/>
    <w:rsid w:val="003010C0"/>
    <w:rsid w:val="00332A97"/>
    <w:rsid w:val="00335EA0"/>
    <w:rsid w:val="00350C00"/>
    <w:rsid w:val="00353BF2"/>
    <w:rsid w:val="00354DC7"/>
    <w:rsid w:val="00366113"/>
    <w:rsid w:val="003A42E0"/>
    <w:rsid w:val="003C270C"/>
    <w:rsid w:val="003D0994"/>
    <w:rsid w:val="00423824"/>
    <w:rsid w:val="00424B15"/>
    <w:rsid w:val="00432F8B"/>
    <w:rsid w:val="0043567D"/>
    <w:rsid w:val="00466D7F"/>
    <w:rsid w:val="00467DA7"/>
    <w:rsid w:val="00473215"/>
    <w:rsid w:val="0047407A"/>
    <w:rsid w:val="00481B9C"/>
    <w:rsid w:val="00491C4D"/>
    <w:rsid w:val="004B7B90"/>
    <w:rsid w:val="004C06A8"/>
    <w:rsid w:val="004C0A85"/>
    <w:rsid w:val="004C32A7"/>
    <w:rsid w:val="004D60F9"/>
    <w:rsid w:val="004E2C19"/>
    <w:rsid w:val="004F43DA"/>
    <w:rsid w:val="005011D4"/>
    <w:rsid w:val="00507F75"/>
    <w:rsid w:val="005125A7"/>
    <w:rsid w:val="00521665"/>
    <w:rsid w:val="0052696D"/>
    <w:rsid w:val="0053382D"/>
    <w:rsid w:val="005A622C"/>
    <w:rsid w:val="005D284C"/>
    <w:rsid w:val="005D31D5"/>
    <w:rsid w:val="005D3410"/>
    <w:rsid w:val="005F142C"/>
    <w:rsid w:val="00604512"/>
    <w:rsid w:val="00633E23"/>
    <w:rsid w:val="00655207"/>
    <w:rsid w:val="00673B94"/>
    <w:rsid w:val="00674713"/>
    <w:rsid w:val="00680AC6"/>
    <w:rsid w:val="006835D8"/>
    <w:rsid w:val="00692C35"/>
    <w:rsid w:val="006B6D13"/>
    <w:rsid w:val="006C316E"/>
    <w:rsid w:val="006D0F7C"/>
    <w:rsid w:val="00701A57"/>
    <w:rsid w:val="00704580"/>
    <w:rsid w:val="00715F8E"/>
    <w:rsid w:val="007269C4"/>
    <w:rsid w:val="0073186D"/>
    <w:rsid w:val="0074209E"/>
    <w:rsid w:val="0075101C"/>
    <w:rsid w:val="0076172D"/>
    <w:rsid w:val="00764800"/>
    <w:rsid w:val="007A0419"/>
    <w:rsid w:val="007B3AFF"/>
    <w:rsid w:val="007B69DA"/>
    <w:rsid w:val="007B70A1"/>
    <w:rsid w:val="007D5A5E"/>
    <w:rsid w:val="007E0EF2"/>
    <w:rsid w:val="007F2CA8"/>
    <w:rsid w:val="007F55D3"/>
    <w:rsid w:val="007F6CF5"/>
    <w:rsid w:val="007F7161"/>
    <w:rsid w:val="00834A8A"/>
    <w:rsid w:val="008438C4"/>
    <w:rsid w:val="0085559E"/>
    <w:rsid w:val="00865351"/>
    <w:rsid w:val="0087643A"/>
    <w:rsid w:val="00884C3B"/>
    <w:rsid w:val="00896B1B"/>
    <w:rsid w:val="008A7D7C"/>
    <w:rsid w:val="008B6FF9"/>
    <w:rsid w:val="008E559E"/>
    <w:rsid w:val="009053D4"/>
    <w:rsid w:val="00913F08"/>
    <w:rsid w:val="00916080"/>
    <w:rsid w:val="00921A68"/>
    <w:rsid w:val="009354AB"/>
    <w:rsid w:val="00941048"/>
    <w:rsid w:val="00983023"/>
    <w:rsid w:val="0099690F"/>
    <w:rsid w:val="009B681C"/>
    <w:rsid w:val="009C0107"/>
    <w:rsid w:val="009F3F93"/>
    <w:rsid w:val="00A015C4"/>
    <w:rsid w:val="00A06706"/>
    <w:rsid w:val="00A071E4"/>
    <w:rsid w:val="00A15172"/>
    <w:rsid w:val="00A55EA8"/>
    <w:rsid w:val="00A62EE9"/>
    <w:rsid w:val="00AA1F89"/>
    <w:rsid w:val="00AB7B42"/>
    <w:rsid w:val="00B17F2E"/>
    <w:rsid w:val="00B24075"/>
    <w:rsid w:val="00B43495"/>
    <w:rsid w:val="00B5080A"/>
    <w:rsid w:val="00B52761"/>
    <w:rsid w:val="00B52D52"/>
    <w:rsid w:val="00B54A99"/>
    <w:rsid w:val="00B61A1B"/>
    <w:rsid w:val="00B62A06"/>
    <w:rsid w:val="00B943AE"/>
    <w:rsid w:val="00B95D21"/>
    <w:rsid w:val="00BA52F2"/>
    <w:rsid w:val="00BC130D"/>
    <w:rsid w:val="00BC1678"/>
    <w:rsid w:val="00BD7258"/>
    <w:rsid w:val="00BE5233"/>
    <w:rsid w:val="00BF11C1"/>
    <w:rsid w:val="00BF153D"/>
    <w:rsid w:val="00BF5E82"/>
    <w:rsid w:val="00BF6168"/>
    <w:rsid w:val="00BF6CEB"/>
    <w:rsid w:val="00C0598D"/>
    <w:rsid w:val="00C06693"/>
    <w:rsid w:val="00C11956"/>
    <w:rsid w:val="00C22049"/>
    <w:rsid w:val="00C26909"/>
    <w:rsid w:val="00C274EE"/>
    <w:rsid w:val="00C602E5"/>
    <w:rsid w:val="00C748FD"/>
    <w:rsid w:val="00CB02E9"/>
    <w:rsid w:val="00CC6A26"/>
    <w:rsid w:val="00CF30B4"/>
    <w:rsid w:val="00D26078"/>
    <w:rsid w:val="00D31FD9"/>
    <w:rsid w:val="00D4046E"/>
    <w:rsid w:val="00D4362F"/>
    <w:rsid w:val="00D51391"/>
    <w:rsid w:val="00D5231D"/>
    <w:rsid w:val="00D548F9"/>
    <w:rsid w:val="00D552B3"/>
    <w:rsid w:val="00DA10E3"/>
    <w:rsid w:val="00DB2DB1"/>
    <w:rsid w:val="00DC4941"/>
    <w:rsid w:val="00DD4739"/>
    <w:rsid w:val="00DE5F33"/>
    <w:rsid w:val="00DE73D1"/>
    <w:rsid w:val="00E07B54"/>
    <w:rsid w:val="00E11F78"/>
    <w:rsid w:val="00E43F1A"/>
    <w:rsid w:val="00E442FE"/>
    <w:rsid w:val="00E50853"/>
    <w:rsid w:val="00E621E1"/>
    <w:rsid w:val="00E65AB2"/>
    <w:rsid w:val="00E67390"/>
    <w:rsid w:val="00E83719"/>
    <w:rsid w:val="00EC0F0F"/>
    <w:rsid w:val="00EC55B3"/>
    <w:rsid w:val="00EE6681"/>
    <w:rsid w:val="00F11D3A"/>
    <w:rsid w:val="00F45611"/>
    <w:rsid w:val="00F543D6"/>
    <w:rsid w:val="00F83DBE"/>
    <w:rsid w:val="00F929CA"/>
    <w:rsid w:val="00F96FB2"/>
    <w:rsid w:val="00FB51D8"/>
    <w:rsid w:val="00FC2129"/>
    <w:rsid w:val="00FC7620"/>
    <w:rsid w:val="00FD08E8"/>
    <w:rsid w:val="00FD65F6"/>
    <w:rsid w:val="00FE16F3"/>
    <w:rsid w:val="29D2D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FCEE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spacing w:after="240"/>
      <w:outlineLvl w:val="0"/>
    </w:pPr>
    <w:rPr>
      <w:b/>
      <w:caps/>
      <w:szCs w:val="20"/>
    </w:rPr>
  </w:style>
  <w:style w:type="paragraph" w:styleId="Heading2">
    <w:name w:val="heading 2"/>
    <w:basedOn w:val="Normal"/>
    <w:next w:val="Normal"/>
    <w:qFormat/>
    <w:pPr>
      <w:keepNext/>
      <w:numPr>
        <w:ilvl w:val="1"/>
        <w:numId w:val="1"/>
      </w:numPr>
      <w:spacing w:before="240" w:after="240"/>
      <w:outlineLvl w:val="1"/>
    </w:pPr>
    <w:rPr>
      <w:b/>
      <w:szCs w:val="20"/>
    </w:rPr>
  </w:style>
  <w:style w:type="paragraph" w:styleId="Heading3">
    <w:name w:val="heading 3"/>
    <w:basedOn w:val="Normal"/>
    <w:next w:val="Normal"/>
    <w:qFormat/>
    <w:pPr>
      <w:keepNext/>
      <w:numPr>
        <w:ilvl w:val="2"/>
        <w:numId w:val="1"/>
      </w:numPr>
      <w:spacing w:before="120" w:after="120"/>
      <w:outlineLvl w:val="2"/>
    </w:pPr>
    <w:rPr>
      <w:b/>
      <w:bCs/>
      <w:i/>
      <w:iCs/>
      <w:szCs w:val="20"/>
    </w:rPr>
  </w:style>
  <w:style w:type="paragraph" w:styleId="Heading4">
    <w:name w:val="heading 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basedOn w:val="Normal"/>
    <w:next w:val="Normal"/>
    <w:qFormat/>
    <w:pPr>
      <w:spacing w:before="240" w:after="60"/>
      <w:outlineLvl w:val="4"/>
    </w:pPr>
    <w:rPr>
      <w:b/>
      <w:i/>
      <w:sz w:val="26"/>
      <w:szCs w:val="20"/>
    </w:rPr>
  </w:style>
  <w:style w:type="paragraph" w:styleId="Heading6">
    <w:name w:val="heading 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73B94"/>
    <w:rPr>
      <w:rFonts w:ascii="Tahoma" w:hAnsi="Tahoma" w:cs="Tahoma"/>
      <w:sz w:val="16"/>
      <w:szCs w:val="16"/>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character" w:styleId="Hyperlink">
    <w:name w:val="Hyperlink"/>
    <w:basedOn w:val="DefaultParagraphFont"/>
    <w:rPr>
      <w:color w:val="0000FF"/>
      <w:u w:val="single"/>
    </w:rPr>
  </w:style>
  <w:style w:type="paragraph" w:customStyle="1" w:styleId="TXUFooterPage">
    <w:name w:val="TXUFooterPage"/>
    <w:basedOn w:val="TXUFooter"/>
    <w:next w:val="TXUFooter"/>
    <w:rPr>
      <w:sz w:val="20"/>
    </w:rPr>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NormalArial">
    <w:name w:val="Normal+Arial"/>
    <w:basedOn w:val="Normal"/>
    <w:link w:val="NormalArialChar"/>
    <w:rPr>
      <w:rFonts w:ascii="Arial" w:hAnsi="Arial"/>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styleId="BodyText">
    <w:name w:val="Body Text"/>
    <w:basedOn w:val="Normal"/>
    <w:pPr>
      <w:spacing w:before="120" w:after="120"/>
    </w:p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Strong">
    <w:name w:val="Strong"/>
    <w:uiPriority w:val="22"/>
    <w:qFormat/>
    <w:rsid w:val="007D5A5E"/>
    <w:rPr>
      <w:b/>
      <w:bCs/>
    </w:rPr>
  </w:style>
  <w:style w:type="paragraph" w:customStyle="1" w:styleId="H2">
    <w:name w:val="H2"/>
    <w:basedOn w:val="Heading2"/>
    <w:next w:val="BodyText"/>
    <w:rsid w:val="007D5A5E"/>
    <w:pPr>
      <w:numPr>
        <w:ilvl w:val="0"/>
        <w:numId w:val="0"/>
      </w:numPr>
      <w:tabs>
        <w:tab w:val="left" w:pos="900"/>
      </w:tabs>
      <w:ind w:left="900" w:hanging="900"/>
    </w:pPr>
  </w:style>
  <w:style w:type="character" w:customStyle="1" w:styleId="NormalArialChar">
    <w:name w:val="Normal+Arial Char"/>
    <w:link w:val="NormalArial"/>
    <w:rsid w:val="00704580"/>
    <w:rPr>
      <w:rFonts w:ascii="Arial" w:hAnsi="Arial"/>
      <w:sz w:val="24"/>
      <w:szCs w:val="24"/>
    </w:rPr>
  </w:style>
  <w:style w:type="paragraph" w:styleId="Revision">
    <w:name w:val="Revision"/>
    <w:hidden/>
    <w:uiPriority w:val="99"/>
    <w:semiHidden/>
    <w:rsid w:val="00B17F2E"/>
    <w:rPr>
      <w:sz w:val="24"/>
      <w:szCs w:val="24"/>
    </w:rPr>
  </w:style>
  <w:style w:type="character" w:customStyle="1" w:styleId="DocID">
    <w:name w:val="DocID"/>
    <w:basedOn w:val="DefaultParagraphFont"/>
    <w:rsid w:val="002321D7"/>
    <w:rPr>
      <w:rFonts w:ascii="Times New Roman" w:hAnsi="Times New Roman" w:cs="Times New Roman"/>
      <w:sz w:val="16"/>
    </w:rPr>
  </w:style>
  <w:style w:type="paragraph" w:styleId="ListParagraph">
    <w:name w:val="List Paragraph"/>
    <w:basedOn w:val="Normal"/>
    <w:uiPriority w:val="34"/>
    <w:qFormat/>
    <w:rsid w:val="004D6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79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yan.Sams@Calpin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07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D3338FDBF237846AE707466AB4165A0" ma:contentTypeVersion="10" ma:contentTypeDescription="Create a new document." ma:contentTypeScope="" ma:versionID="533ca02f1efc24d28451bdd47df882fa">
  <xsd:schema xmlns:xsd="http://www.w3.org/2001/XMLSchema" xmlns:xs="http://www.w3.org/2001/XMLSchema" xmlns:p="http://schemas.microsoft.com/office/2006/metadata/properties" xmlns:ns2="20744860-75df-4a09-99a2-565cd9dfc928" xmlns:ns3="6a20183b-ba86-47b1-b09c-641d750bc93a" targetNamespace="http://schemas.microsoft.com/office/2006/metadata/properties" ma:root="true" ma:fieldsID="d082ada1849ba6f4a04013e9c723f9ab" ns2:_="" ns3:_="">
    <xsd:import namespace="20744860-75df-4a09-99a2-565cd9dfc928"/>
    <xsd:import namespace="6a20183b-ba86-47b1-b09c-641d750bc93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44860-75df-4a09-99a2-565cd9dfc928"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SharedWithUsers" ma:index="1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20183b-ba86-47b1-b09c-641d750bc93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0744860-75df-4a09-99a2-565cd9dfc928">6FE7WWKX5DHY-531821922-494</_dlc_DocId>
    <_dlc_DocIdUrl xmlns="20744860-75df-4a09-99a2-565cd9dfc928">
      <Url>https://edfrna.sharepoint.com/sites/US-TransmissionInternal/_layouts/15/DocIdRedir.aspx?ID=6FE7WWKX5DHY-531821922-494</Url>
      <Description>6FE7WWKX5DHY-531821922-494</Description>
    </_dlc_DocIdUrl>
  </documentManagement>
</p:properties>
</file>

<file path=customXml/itemProps1.xml><?xml version="1.0" encoding="utf-8"?>
<ds:datastoreItem xmlns:ds="http://schemas.openxmlformats.org/officeDocument/2006/customXml" ds:itemID="{AE49AC3C-B408-4A95-AA88-FD4481F079F9}">
  <ds:schemaRefs>
    <ds:schemaRef ds:uri="http://schemas.microsoft.com/sharepoint/v3/contenttype/forms"/>
  </ds:schemaRefs>
</ds:datastoreItem>
</file>

<file path=customXml/itemProps2.xml><?xml version="1.0" encoding="utf-8"?>
<ds:datastoreItem xmlns:ds="http://schemas.openxmlformats.org/officeDocument/2006/customXml" ds:itemID="{4B8941EE-A10F-49A0-B589-95436C5DC7EC}">
  <ds:schemaRefs>
    <ds:schemaRef ds:uri="http://schemas.microsoft.com/sharepoint/events"/>
  </ds:schemaRefs>
</ds:datastoreItem>
</file>

<file path=customXml/itemProps3.xml><?xml version="1.0" encoding="utf-8"?>
<ds:datastoreItem xmlns:ds="http://schemas.openxmlformats.org/officeDocument/2006/customXml" ds:itemID="{4371ED5E-79B7-4D03-9067-B016FAA90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44860-75df-4a09-99a2-565cd9dfc928"/>
    <ds:schemaRef ds:uri="6a20183b-ba86-47b1-b09c-641d750bc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C68E-4510-44F5-94E1-C4C112A2EE6F}">
  <ds:schemaRefs>
    <ds:schemaRef ds:uri="http://schemas.microsoft.com/office/2006/metadata/properties"/>
    <ds:schemaRef ds:uri="http://schemas.microsoft.com/office/infopath/2007/PartnerControls"/>
    <ds:schemaRef ds:uri="20744860-75df-4a09-99a2-565cd9dfc92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1607</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2021-07-23T13:07:00Z</dcterms:created>
  <dcterms:modified xsi:type="dcterms:W3CDTF">2021-07-23T13:08:00Z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0x010100ED3338FDBF237846AE707466AB4165A0</vt:lpwstr>
  </property>
  <property fmtid="{D5CDD505-2E9C-101B-9397-08002B2CF9AE}" pid="3" name="_dlc_DocIdItemGuid">
    <vt:lpwstr>b72bb065-fae1-4858-bae5-fed5a4d5f6f2</vt:lpwstr>
  </property>
</Properties>
</file>