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5E1BC" w14:textId="77777777" w:rsidR="008E6E0E" w:rsidRPr="00F16A93" w:rsidRDefault="008E6E0E" w:rsidP="008E6E0E">
      <w:pPr>
        <w:spacing w:after="0" w:line="240" w:lineRule="auto"/>
        <w:jc w:val="center"/>
        <w:rPr>
          <w:rFonts w:ascii="Calibri" w:hAnsi="Calibri"/>
          <w:u w:val="single"/>
        </w:rPr>
      </w:pPr>
      <w:r w:rsidRPr="00F16A93">
        <w:rPr>
          <w:rFonts w:ascii="Calibri" w:hAnsi="Calibri"/>
          <w:u w:val="single"/>
        </w:rPr>
        <w:t>PUC Project No. 46304</w:t>
      </w:r>
    </w:p>
    <w:p w14:paraId="5DB1C083" w14:textId="77777777" w:rsidR="008E6E0E" w:rsidRPr="00F16A93" w:rsidRDefault="008E6E0E" w:rsidP="008E6E0E">
      <w:pPr>
        <w:spacing w:after="0" w:line="240" w:lineRule="auto"/>
        <w:jc w:val="center"/>
        <w:rPr>
          <w:rFonts w:ascii="Calibri" w:hAnsi="Calibri"/>
          <w:u w:val="single"/>
        </w:rPr>
      </w:pPr>
      <w:r w:rsidRPr="00F16A93">
        <w:rPr>
          <w:rFonts w:ascii="Calibri" w:hAnsi="Calibri"/>
          <w:u w:val="single"/>
        </w:rPr>
        <w:t>Oversight Relating to the Southern Cross Transmission (SCT) DC</w:t>
      </w:r>
      <w:r>
        <w:rPr>
          <w:rFonts w:ascii="Calibri" w:hAnsi="Calibri"/>
          <w:u w:val="single"/>
        </w:rPr>
        <w:t xml:space="preserve"> Tie</w:t>
      </w:r>
      <w:r w:rsidRPr="00F16A93">
        <w:rPr>
          <w:rFonts w:ascii="Calibri" w:hAnsi="Calibri"/>
          <w:u w:val="single"/>
        </w:rPr>
        <w:t xml:space="preserve"> </w:t>
      </w:r>
    </w:p>
    <w:p w14:paraId="07334BEB" w14:textId="4195E22A" w:rsidR="008E6E0E" w:rsidRDefault="00A0107D" w:rsidP="008E6E0E">
      <w:pPr>
        <w:spacing w:after="0" w:line="240" w:lineRule="auto"/>
        <w:jc w:val="center"/>
        <w:rPr>
          <w:rFonts w:ascii="Calibri" w:hAnsi="Calibri"/>
          <w:u w:val="single"/>
        </w:rPr>
      </w:pPr>
      <w:r>
        <w:rPr>
          <w:rFonts w:ascii="Calibri" w:hAnsi="Calibri"/>
          <w:u w:val="single"/>
        </w:rPr>
        <w:t>Ancillary Services (Directive 9</w:t>
      </w:r>
      <w:r w:rsidR="008E6E0E" w:rsidRPr="00F16A93">
        <w:rPr>
          <w:rFonts w:ascii="Calibri" w:hAnsi="Calibri"/>
          <w:u w:val="single"/>
        </w:rPr>
        <w:t>)</w:t>
      </w:r>
    </w:p>
    <w:p w14:paraId="55F4202E" w14:textId="77777777" w:rsidR="008E6E0E" w:rsidRDefault="008E6E0E">
      <w:pPr>
        <w:rPr>
          <w:u w:val="single"/>
        </w:rPr>
      </w:pPr>
    </w:p>
    <w:p w14:paraId="4ACA1DAB" w14:textId="03207710" w:rsidR="00230A62" w:rsidRDefault="00230A62">
      <w:r w:rsidRPr="00230A62">
        <w:rPr>
          <w:u w:val="single"/>
        </w:rPr>
        <w:t>Date</w:t>
      </w:r>
      <w:r w:rsidR="00A0107D">
        <w:t xml:space="preserve">:  </w:t>
      </w:r>
      <w:r w:rsidR="00005EFA">
        <w:t>0</w:t>
      </w:r>
      <w:r w:rsidR="00773532">
        <w:t>7/08/2021</w:t>
      </w:r>
    </w:p>
    <w:p w14:paraId="4304747A" w14:textId="481CCF5C" w:rsidR="00EB1C87" w:rsidRDefault="00230A62" w:rsidP="00EB1C87">
      <w:r w:rsidRPr="00230A62">
        <w:rPr>
          <w:u w:val="single"/>
        </w:rPr>
        <w:t>Market stakeholder input</w:t>
      </w:r>
      <w:r w:rsidR="00F3035C">
        <w:t xml:space="preserve">: </w:t>
      </w:r>
      <w:r w:rsidR="005F5980">
        <w:t xml:space="preserve">PDCWG </w:t>
      </w:r>
      <w:r w:rsidR="009D0F6A">
        <w:t>8/23/2018, 09/12/2018, 10/22/2018, 01/16/2019, 02/13/2019</w:t>
      </w:r>
      <w:r w:rsidR="006F431D">
        <w:t>, 05/14/2021</w:t>
      </w:r>
      <w:r w:rsidR="00773532">
        <w:t>, 06/16/2021; ROS 07/08/2021</w:t>
      </w:r>
    </w:p>
    <w:tbl>
      <w:tblPr>
        <w:tblW w:w="9867" w:type="dxa"/>
        <w:tblCellMar>
          <w:left w:w="0" w:type="dxa"/>
          <w:right w:w="0" w:type="dxa"/>
        </w:tblCellMar>
        <w:tblLook w:val="0420" w:firstRow="1" w:lastRow="0" w:firstColumn="0" w:lastColumn="0" w:noHBand="0" w:noVBand="1"/>
      </w:tblPr>
      <w:tblGrid>
        <w:gridCol w:w="1770"/>
        <w:gridCol w:w="8097"/>
      </w:tblGrid>
      <w:tr w:rsidR="009C4E17" w:rsidRPr="009C4E17" w14:paraId="0DDE7735" w14:textId="77777777" w:rsidTr="00161D83">
        <w:trPr>
          <w:trHeight w:val="1273"/>
        </w:trPr>
        <w:tc>
          <w:tcPr>
            <w:tcW w:w="1770"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1CF542A4" w14:textId="4C3FAB27" w:rsidR="009C4E17" w:rsidRPr="009C4E17" w:rsidRDefault="009C4E17" w:rsidP="0001152C">
            <w:r w:rsidRPr="009C4E17">
              <w:rPr>
                <w:b/>
                <w:bCs/>
              </w:rPr>
              <w:t>Directive #</w:t>
            </w:r>
            <w:r w:rsidR="00A0107D">
              <w:rPr>
                <w:b/>
                <w:bCs/>
              </w:rPr>
              <w:t>9</w:t>
            </w:r>
            <w:r w:rsidRPr="009C4E17">
              <w:rPr>
                <w:b/>
                <w:bCs/>
              </w:rPr>
              <w:t xml:space="preserve"> </w:t>
            </w:r>
            <w:r w:rsidR="00F3035C">
              <w:rPr>
                <w:b/>
                <w:bCs/>
              </w:rPr>
              <w:t>–</w:t>
            </w:r>
            <w:r w:rsidRPr="009C4E17">
              <w:rPr>
                <w:b/>
                <w:bCs/>
              </w:rPr>
              <w:t xml:space="preserve"> </w:t>
            </w:r>
            <w:r w:rsidR="00A0107D">
              <w:rPr>
                <w:b/>
                <w:bCs/>
              </w:rPr>
              <w:t>Ancillary Services</w:t>
            </w:r>
          </w:p>
        </w:tc>
        <w:tc>
          <w:tcPr>
            <w:tcW w:w="809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hideMark/>
          </w:tcPr>
          <w:p w14:paraId="080A4AA6" w14:textId="74AEBDAE" w:rsidR="009C4E17" w:rsidRPr="009C4E17" w:rsidRDefault="00A0107D" w:rsidP="00A0107D">
            <w:r w:rsidRPr="00A0107D">
              <w:rPr>
                <w:b/>
                <w:bCs/>
              </w:rPr>
              <w:t>ERCOT shall (a) evaluate what modifications to existing and additional ancillary services, if any, are necessary for the reliable interconnection of the Southern Cross DC tie, (b) implement any needed modifications to ancillary-services procurement, (c) recommend how the costs of such required ancillary services are to be allocated, and (d) certify to the Commission when it has completed these actions.</w:t>
            </w:r>
          </w:p>
        </w:tc>
      </w:tr>
    </w:tbl>
    <w:p w14:paraId="2A8FE8DF" w14:textId="77777777" w:rsidR="00CB15E3" w:rsidRPr="00723164" w:rsidRDefault="00CB15E3" w:rsidP="00723164">
      <w:pPr>
        <w:spacing w:after="0"/>
        <w:rPr>
          <w:i/>
          <w:color w:val="FF0000"/>
        </w:rPr>
      </w:pPr>
    </w:p>
    <w:p w14:paraId="309160BC" w14:textId="5197067B" w:rsidR="0049630C" w:rsidRDefault="0077476B" w:rsidP="00A4449E">
      <w:pPr>
        <w:jc w:val="both"/>
        <w:rPr>
          <w:b/>
          <w:i/>
          <w:color w:val="FF0000"/>
        </w:rPr>
      </w:pPr>
      <w:r w:rsidRPr="005B02E6">
        <w:rPr>
          <w:b/>
          <w:i/>
          <w:color w:val="FF0000"/>
        </w:rPr>
        <w:t xml:space="preserve">Determination: </w:t>
      </w:r>
      <w:r w:rsidR="005C7EFA">
        <w:rPr>
          <w:b/>
          <w:i/>
          <w:color w:val="FF0000"/>
        </w:rPr>
        <w:t xml:space="preserve">Frequency risks associated with exports over the Southern Cross DC Tie could be addressed by </w:t>
      </w:r>
      <w:r w:rsidR="00607BF5">
        <w:rPr>
          <w:b/>
          <w:i/>
          <w:color w:val="FF0000"/>
        </w:rPr>
        <w:t xml:space="preserve">procuring </w:t>
      </w:r>
      <w:r w:rsidR="00BE0AA6">
        <w:rPr>
          <w:b/>
          <w:i/>
          <w:color w:val="FF0000"/>
        </w:rPr>
        <w:t>a new type of</w:t>
      </w:r>
      <w:r w:rsidR="002F24DD">
        <w:rPr>
          <w:b/>
          <w:i/>
          <w:color w:val="FF0000"/>
        </w:rPr>
        <w:t xml:space="preserve"> Ancillary Service</w:t>
      </w:r>
      <w:r w:rsidR="008C3C57">
        <w:rPr>
          <w:b/>
          <w:i/>
          <w:color w:val="FF0000"/>
        </w:rPr>
        <w:t xml:space="preserve">. </w:t>
      </w:r>
      <w:r w:rsidR="00607BF5">
        <w:rPr>
          <w:b/>
          <w:i/>
          <w:color w:val="FF0000"/>
        </w:rPr>
        <w:t xml:space="preserve">However, </w:t>
      </w:r>
      <w:r w:rsidR="005C7EFA">
        <w:rPr>
          <w:b/>
          <w:i/>
          <w:color w:val="FF0000"/>
        </w:rPr>
        <w:t xml:space="preserve">procurement of additional </w:t>
      </w:r>
      <w:r w:rsidR="00551B0A">
        <w:rPr>
          <w:b/>
          <w:i/>
          <w:color w:val="FF0000"/>
        </w:rPr>
        <w:t>new Ancillary Service</w:t>
      </w:r>
      <w:r w:rsidR="006D5418">
        <w:rPr>
          <w:b/>
          <w:i/>
          <w:color w:val="FF0000"/>
        </w:rPr>
        <w:t>s</w:t>
      </w:r>
      <w:r w:rsidR="00551B0A">
        <w:rPr>
          <w:b/>
          <w:i/>
          <w:color w:val="FF0000"/>
        </w:rPr>
        <w:t xml:space="preserve"> </w:t>
      </w:r>
      <w:r w:rsidR="005C7EFA">
        <w:rPr>
          <w:b/>
          <w:i/>
          <w:color w:val="FF0000"/>
        </w:rPr>
        <w:t xml:space="preserve">will be unnecessary because the ERCOT Board of Directors </w:t>
      </w:r>
      <w:r w:rsidR="00216F50">
        <w:rPr>
          <w:b/>
          <w:i/>
          <w:color w:val="FF0000"/>
        </w:rPr>
        <w:t xml:space="preserve">has </w:t>
      </w:r>
      <w:r w:rsidR="005C7EFA">
        <w:rPr>
          <w:b/>
          <w:i/>
          <w:color w:val="FF0000"/>
        </w:rPr>
        <w:t xml:space="preserve">approved </w:t>
      </w:r>
      <w:r w:rsidR="00B42C7B">
        <w:rPr>
          <w:b/>
          <w:i/>
          <w:color w:val="FF0000"/>
        </w:rPr>
        <w:t>Nodal P</w:t>
      </w:r>
      <w:r w:rsidR="00EE19CD">
        <w:rPr>
          <w:b/>
          <w:i/>
          <w:color w:val="FF0000"/>
        </w:rPr>
        <w:t xml:space="preserve">rotocol </w:t>
      </w:r>
      <w:r w:rsidR="00B42C7B">
        <w:rPr>
          <w:b/>
          <w:i/>
          <w:color w:val="FF0000"/>
        </w:rPr>
        <w:t xml:space="preserve">Revision Request </w:t>
      </w:r>
      <w:r w:rsidR="008E6E0E">
        <w:rPr>
          <w:b/>
          <w:i/>
          <w:color w:val="FF0000"/>
        </w:rPr>
        <w:t xml:space="preserve">(NPRR) </w:t>
      </w:r>
      <w:r w:rsidR="00412C0C">
        <w:rPr>
          <w:b/>
          <w:i/>
          <w:color w:val="FF0000"/>
        </w:rPr>
        <w:t>1034</w:t>
      </w:r>
      <w:r w:rsidR="008E6E0E">
        <w:rPr>
          <w:b/>
          <w:i/>
          <w:color w:val="FF0000"/>
        </w:rPr>
        <w:t xml:space="preserve">, </w:t>
      </w:r>
      <w:r w:rsidR="00412C0C" w:rsidRPr="00412C0C">
        <w:rPr>
          <w:b/>
          <w:i/>
          <w:color w:val="FF0000"/>
        </w:rPr>
        <w:t>Frequency-Based Limits on DC Tie Imports and Exports</w:t>
      </w:r>
      <w:r w:rsidR="00E94F65">
        <w:rPr>
          <w:b/>
          <w:i/>
          <w:color w:val="FF0000"/>
        </w:rPr>
        <w:t>,</w:t>
      </w:r>
      <w:r w:rsidR="00BD40FD">
        <w:rPr>
          <w:b/>
          <w:i/>
          <w:color w:val="FF0000"/>
        </w:rPr>
        <w:t xml:space="preserve"> </w:t>
      </w:r>
      <w:r w:rsidR="00216F50">
        <w:rPr>
          <w:b/>
          <w:i/>
          <w:color w:val="FF0000"/>
        </w:rPr>
        <w:t>which will give</w:t>
      </w:r>
      <w:r w:rsidR="00C34F6B">
        <w:rPr>
          <w:b/>
          <w:i/>
          <w:color w:val="FF0000"/>
        </w:rPr>
        <w:t xml:space="preserve"> </w:t>
      </w:r>
      <w:r w:rsidR="005F5187">
        <w:rPr>
          <w:b/>
          <w:i/>
          <w:color w:val="FF0000"/>
        </w:rPr>
        <w:t xml:space="preserve">ERCOT </w:t>
      </w:r>
      <w:r w:rsidR="005C7EFA">
        <w:rPr>
          <w:b/>
          <w:i/>
          <w:color w:val="FF0000"/>
        </w:rPr>
        <w:t xml:space="preserve">authority </w:t>
      </w:r>
      <w:r w:rsidR="005F5187">
        <w:rPr>
          <w:b/>
          <w:i/>
          <w:color w:val="FF0000"/>
        </w:rPr>
        <w:t xml:space="preserve">to </w:t>
      </w:r>
      <w:r w:rsidR="005F5187" w:rsidRPr="005F5187">
        <w:rPr>
          <w:b/>
          <w:i/>
          <w:color w:val="FF0000"/>
        </w:rPr>
        <w:t xml:space="preserve">establish limits on DC Tie transfers </w:t>
      </w:r>
      <w:r w:rsidR="005C7EFA">
        <w:rPr>
          <w:b/>
          <w:i/>
          <w:color w:val="FF0000"/>
        </w:rPr>
        <w:t xml:space="preserve">and </w:t>
      </w:r>
      <w:r w:rsidR="00216F50">
        <w:rPr>
          <w:b/>
          <w:i/>
          <w:color w:val="FF0000"/>
        </w:rPr>
        <w:t xml:space="preserve">to </w:t>
      </w:r>
      <w:r w:rsidR="00885CF3">
        <w:rPr>
          <w:b/>
          <w:i/>
          <w:color w:val="FF0000"/>
        </w:rPr>
        <w:t xml:space="preserve">curtail DC Tie </w:t>
      </w:r>
      <w:r w:rsidR="00216F50">
        <w:rPr>
          <w:b/>
          <w:i/>
          <w:color w:val="FF0000"/>
        </w:rPr>
        <w:t>Schedules</w:t>
      </w:r>
      <w:r w:rsidR="00885CF3">
        <w:rPr>
          <w:b/>
          <w:i/>
          <w:color w:val="FF0000"/>
        </w:rPr>
        <w:t xml:space="preserve"> </w:t>
      </w:r>
      <w:r w:rsidR="005F5187" w:rsidRPr="005F5187">
        <w:rPr>
          <w:b/>
          <w:i/>
          <w:color w:val="FF0000"/>
        </w:rPr>
        <w:t xml:space="preserve">when necessary to address the risk of </w:t>
      </w:r>
      <w:r w:rsidR="000C063B">
        <w:rPr>
          <w:b/>
          <w:i/>
          <w:color w:val="FF0000"/>
        </w:rPr>
        <w:t xml:space="preserve">unacceptable </w:t>
      </w:r>
      <w:r w:rsidR="005F5187" w:rsidRPr="005F5187">
        <w:rPr>
          <w:b/>
          <w:i/>
          <w:color w:val="FF0000"/>
        </w:rPr>
        <w:t xml:space="preserve">frequency </w:t>
      </w:r>
      <w:r w:rsidR="000C063B">
        <w:rPr>
          <w:b/>
          <w:i/>
          <w:color w:val="FF0000"/>
        </w:rPr>
        <w:t>deviations</w:t>
      </w:r>
      <w:r w:rsidR="005F5187" w:rsidRPr="005F5187">
        <w:rPr>
          <w:b/>
          <w:i/>
          <w:color w:val="FF0000"/>
        </w:rPr>
        <w:t>.</w:t>
      </w:r>
      <w:r w:rsidR="005F5187">
        <w:rPr>
          <w:b/>
          <w:i/>
          <w:color w:val="FF0000"/>
        </w:rPr>
        <w:t xml:space="preserve"> </w:t>
      </w:r>
    </w:p>
    <w:p w14:paraId="6DE58AD3" w14:textId="7F17A0B0" w:rsidR="009C1363" w:rsidRDefault="005E4610" w:rsidP="00A4449E">
      <w:pPr>
        <w:jc w:val="both"/>
        <w:rPr>
          <w:b/>
          <w:i/>
          <w:color w:val="FF0000"/>
        </w:rPr>
      </w:pPr>
      <w:r>
        <w:rPr>
          <w:b/>
          <w:i/>
          <w:color w:val="FF0000"/>
        </w:rPr>
        <w:t>W</w:t>
      </w:r>
      <w:r w:rsidR="00B51757">
        <w:rPr>
          <w:b/>
          <w:i/>
          <w:color w:val="FF0000"/>
        </w:rPr>
        <w:t>hile</w:t>
      </w:r>
      <w:r w:rsidR="006765B2">
        <w:rPr>
          <w:b/>
          <w:i/>
          <w:color w:val="FF0000"/>
        </w:rPr>
        <w:t xml:space="preserve"> </w:t>
      </w:r>
      <w:r w:rsidR="008C3384">
        <w:rPr>
          <w:b/>
          <w:i/>
          <w:color w:val="FF0000"/>
        </w:rPr>
        <w:t xml:space="preserve">the loss of the DC Tie at </w:t>
      </w:r>
      <w:r>
        <w:rPr>
          <w:b/>
          <w:i/>
          <w:color w:val="FF0000"/>
        </w:rPr>
        <w:t xml:space="preserve">its </w:t>
      </w:r>
      <w:r w:rsidR="00C34F6B">
        <w:rPr>
          <w:b/>
          <w:i/>
          <w:color w:val="FF0000"/>
        </w:rPr>
        <w:t>maximum</w:t>
      </w:r>
      <w:r w:rsidR="008C3384">
        <w:rPr>
          <w:b/>
          <w:i/>
          <w:color w:val="FF0000"/>
        </w:rPr>
        <w:t xml:space="preserve"> import </w:t>
      </w:r>
      <w:r>
        <w:rPr>
          <w:b/>
          <w:i/>
          <w:color w:val="FF0000"/>
        </w:rPr>
        <w:t xml:space="preserve">of </w:t>
      </w:r>
      <w:r w:rsidR="008C3384">
        <w:rPr>
          <w:b/>
          <w:i/>
          <w:color w:val="FF0000"/>
        </w:rPr>
        <w:t>2</w:t>
      </w:r>
      <w:r w:rsidR="00A94DC8">
        <w:rPr>
          <w:b/>
          <w:i/>
          <w:color w:val="FF0000"/>
        </w:rPr>
        <w:t>,</w:t>
      </w:r>
      <w:r>
        <w:rPr>
          <w:b/>
          <w:i/>
          <w:color w:val="FF0000"/>
        </w:rPr>
        <w:t>000 MW</w:t>
      </w:r>
      <w:r w:rsidR="008C3384">
        <w:rPr>
          <w:b/>
          <w:i/>
          <w:color w:val="FF0000"/>
        </w:rPr>
        <w:t xml:space="preserve"> would exceed ERCOT’s </w:t>
      </w:r>
      <w:r w:rsidR="00F45042">
        <w:rPr>
          <w:b/>
          <w:i/>
          <w:color w:val="FF0000"/>
        </w:rPr>
        <w:t>single largest contingency</w:t>
      </w:r>
      <w:r w:rsidR="008C3384">
        <w:rPr>
          <w:b/>
          <w:i/>
          <w:color w:val="FF0000"/>
        </w:rPr>
        <w:t xml:space="preserve"> of 1</w:t>
      </w:r>
      <w:r w:rsidR="00A94DC8">
        <w:rPr>
          <w:b/>
          <w:i/>
          <w:color w:val="FF0000"/>
        </w:rPr>
        <w:t>,</w:t>
      </w:r>
      <w:r w:rsidR="008C3384">
        <w:rPr>
          <w:b/>
          <w:i/>
          <w:color w:val="FF0000"/>
        </w:rPr>
        <w:t xml:space="preserve">420 MW, </w:t>
      </w:r>
      <w:r>
        <w:rPr>
          <w:b/>
          <w:i/>
          <w:color w:val="FF0000"/>
        </w:rPr>
        <w:t xml:space="preserve">no adjustment to </w:t>
      </w:r>
      <w:r w:rsidR="007061E5">
        <w:rPr>
          <w:b/>
          <w:i/>
          <w:color w:val="FF0000"/>
        </w:rPr>
        <w:t>R</w:t>
      </w:r>
      <w:r w:rsidR="002F24DD">
        <w:rPr>
          <w:b/>
          <w:i/>
          <w:color w:val="FF0000"/>
        </w:rPr>
        <w:t xml:space="preserve">esponsive </w:t>
      </w:r>
      <w:r w:rsidR="007061E5">
        <w:rPr>
          <w:b/>
          <w:i/>
          <w:color w:val="FF0000"/>
        </w:rPr>
        <w:t>R</w:t>
      </w:r>
      <w:r w:rsidR="002F24DD">
        <w:rPr>
          <w:b/>
          <w:i/>
          <w:color w:val="FF0000"/>
        </w:rPr>
        <w:t xml:space="preserve">eserve </w:t>
      </w:r>
      <w:r w:rsidR="007061E5">
        <w:rPr>
          <w:b/>
          <w:i/>
          <w:color w:val="FF0000"/>
        </w:rPr>
        <w:t>S</w:t>
      </w:r>
      <w:r w:rsidR="002F24DD">
        <w:rPr>
          <w:b/>
          <w:i/>
          <w:color w:val="FF0000"/>
        </w:rPr>
        <w:t>ervice (RRS</w:t>
      </w:r>
      <w:r w:rsidR="00F549E5">
        <w:rPr>
          <w:b/>
          <w:i/>
          <w:color w:val="FF0000"/>
        </w:rPr>
        <w:t>)</w:t>
      </w:r>
      <w:r w:rsidR="007061E5">
        <w:rPr>
          <w:b/>
          <w:i/>
          <w:color w:val="FF0000"/>
        </w:rPr>
        <w:t xml:space="preserve"> or Non-Spinning Reserve Service</w:t>
      </w:r>
      <w:r>
        <w:rPr>
          <w:b/>
          <w:i/>
          <w:color w:val="FF0000"/>
        </w:rPr>
        <w:t xml:space="preserve"> procurement is necessary to a</w:t>
      </w:r>
      <w:r w:rsidR="007061E5">
        <w:rPr>
          <w:b/>
          <w:i/>
          <w:color w:val="FF0000"/>
        </w:rPr>
        <w:t>ddress the</w:t>
      </w:r>
      <w:r>
        <w:rPr>
          <w:b/>
          <w:i/>
          <w:color w:val="FF0000"/>
        </w:rPr>
        <w:t xml:space="preserve"> </w:t>
      </w:r>
      <w:r w:rsidR="007061E5">
        <w:rPr>
          <w:b/>
          <w:i/>
          <w:color w:val="FF0000"/>
        </w:rPr>
        <w:t xml:space="preserve">impact of such an event. </w:t>
      </w:r>
      <w:r w:rsidR="00F549E5">
        <w:rPr>
          <w:b/>
          <w:i/>
          <w:color w:val="FF0000"/>
        </w:rPr>
        <w:t xml:space="preserve"> Specifically,</w:t>
      </w:r>
      <w:r w:rsidR="007061E5">
        <w:rPr>
          <w:b/>
          <w:i/>
          <w:color w:val="FF0000"/>
        </w:rPr>
        <w:t xml:space="preserve"> </w:t>
      </w:r>
      <w:r w:rsidR="00C02524">
        <w:rPr>
          <w:b/>
          <w:i/>
          <w:color w:val="FF0000"/>
        </w:rPr>
        <w:t xml:space="preserve">North American Electric Reliability Corporation (NERC) </w:t>
      </w:r>
      <w:r w:rsidR="007376D8">
        <w:rPr>
          <w:b/>
          <w:i/>
          <w:color w:val="FF0000"/>
        </w:rPr>
        <w:t xml:space="preserve">Reliability Standard BAL-003-2, which became effective in December 2020, </w:t>
      </w:r>
      <w:r>
        <w:rPr>
          <w:b/>
          <w:i/>
          <w:color w:val="FF0000"/>
        </w:rPr>
        <w:t xml:space="preserve">clarifies that the </w:t>
      </w:r>
      <w:r w:rsidR="006D5418">
        <w:rPr>
          <w:b/>
          <w:i/>
          <w:color w:val="FF0000"/>
        </w:rPr>
        <w:t xml:space="preserve">loss of a </w:t>
      </w:r>
      <w:r>
        <w:rPr>
          <w:b/>
          <w:i/>
          <w:color w:val="FF0000"/>
        </w:rPr>
        <w:t xml:space="preserve">bi-pole </w:t>
      </w:r>
      <w:r w:rsidR="006D5418">
        <w:rPr>
          <w:b/>
          <w:i/>
          <w:color w:val="FF0000"/>
        </w:rPr>
        <w:t xml:space="preserve">DC Tie that is capable of operating in single-pole mode, such as the DC Tie </w:t>
      </w:r>
      <w:r>
        <w:rPr>
          <w:b/>
          <w:i/>
          <w:color w:val="FF0000"/>
        </w:rPr>
        <w:t>proposed by Southern Cross Transmission LLC (SCT)</w:t>
      </w:r>
      <w:r w:rsidR="006D5418">
        <w:rPr>
          <w:b/>
          <w:i/>
          <w:color w:val="FF0000"/>
        </w:rPr>
        <w:t>, would</w:t>
      </w:r>
      <w:r>
        <w:rPr>
          <w:b/>
          <w:i/>
          <w:color w:val="FF0000"/>
        </w:rPr>
        <w:t xml:space="preserve"> count as two separate contingencies, not one.  </w:t>
      </w:r>
      <w:r w:rsidR="002B4F1B">
        <w:rPr>
          <w:b/>
          <w:i/>
          <w:color w:val="FF0000"/>
        </w:rPr>
        <w:t>Based on this guidance, ERCOT has concluded that</w:t>
      </w:r>
      <w:r w:rsidR="00C34F6B">
        <w:rPr>
          <w:b/>
          <w:i/>
          <w:color w:val="FF0000"/>
        </w:rPr>
        <w:t xml:space="preserve"> </w:t>
      </w:r>
      <w:r w:rsidR="002B4F1B">
        <w:rPr>
          <w:b/>
          <w:i/>
          <w:color w:val="FF0000"/>
        </w:rPr>
        <w:t xml:space="preserve">additional </w:t>
      </w:r>
      <w:r w:rsidR="002F24DD">
        <w:rPr>
          <w:b/>
          <w:i/>
          <w:color w:val="FF0000"/>
        </w:rPr>
        <w:t>RRS quantities</w:t>
      </w:r>
      <w:r w:rsidR="002B4F1B">
        <w:rPr>
          <w:b/>
          <w:i/>
          <w:color w:val="FF0000"/>
        </w:rPr>
        <w:t xml:space="preserve"> are</w:t>
      </w:r>
      <w:r w:rsidR="002F24DD">
        <w:rPr>
          <w:b/>
          <w:i/>
          <w:color w:val="FF0000"/>
        </w:rPr>
        <w:t xml:space="preserve"> not</w:t>
      </w:r>
      <w:r w:rsidR="002B4F1B">
        <w:rPr>
          <w:b/>
          <w:i/>
          <w:color w:val="FF0000"/>
        </w:rPr>
        <w:t xml:space="preserve"> necessary</w:t>
      </w:r>
      <w:r w:rsidR="00C34F6B">
        <w:rPr>
          <w:b/>
          <w:i/>
          <w:color w:val="FF0000"/>
        </w:rPr>
        <w:t xml:space="preserve"> to add</w:t>
      </w:r>
      <w:r>
        <w:rPr>
          <w:b/>
          <w:i/>
          <w:color w:val="FF0000"/>
        </w:rPr>
        <w:t xml:space="preserve">ress import-related </w:t>
      </w:r>
      <w:r w:rsidR="00B51757">
        <w:rPr>
          <w:b/>
          <w:i/>
          <w:color w:val="FF0000"/>
        </w:rPr>
        <w:t xml:space="preserve">frequency </w:t>
      </w:r>
      <w:r>
        <w:rPr>
          <w:b/>
          <w:i/>
          <w:color w:val="FF0000"/>
        </w:rPr>
        <w:t xml:space="preserve">risk </w:t>
      </w:r>
      <w:r w:rsidR="006D5418">
        <w:rPr>
          <w:b/>
          <w:i/>
          <w:color w:val="FF0000"/>
        </w:rPr>
        <w:t xml:space="preserve">if </w:t>
      </w:r>
      <w:r>
        <w:rPr>
          <w:b/>
          <w:i/>
          <w:color w:val="FF0000"/>
        </w:rPr>
        <w:t>this proposed design</w:t>
      </w:r>
      <w:r w:rsidR="006D5418">
        <w:rPr>
          <w:b/>
          <w:i/>
          <w:color w:val="FF0000"/>
        </w:rPr>
        <w:t xml:space="preserve"> is implemented</w:t>
      </w:r>
      <w:r>
        <w:rPr>
          <w:b/>
          <w:i/>
          <w:color w:val="FF0000"/>
        </w:rPr>
        <w:t>.</w:t>
      </w:r>
      <w:r w:rsidR="002F24DD">
        <w:rPr>
          <w:b/>
          <w:i/>
          <w:color w:val="FF0000"/>
        </w:rPr>
        <w:t xml:space="preserve"> </w:t>
      </w:r>
      <w:r w:rsidR="00F549E5">
        <w:rPr>
          <w:b/>
          <w:i/>
          <w:color w:val="FF0000"/>
        </w:rPr>
        <w:t>Similarly</w:t>
      </w:r>
      <w:r w:rsidR="00AF47CB">
        <w:rPr>
          <w:b/>
          <w:i/>
          <w:color w:val="FF0000"/>
        </w:rPr>
        <w:t>, because</w:t>
      </w:r>
      <w:r w:rsidR="00F549E5">
        <w:rPr>
          <w:b/>
          <w:i/>
          <w:color w:val="FF0000"/>
        </w:rPr>
        <w:t xml:space="preserve"> ERCOT’s current methodology for procuring Non-Spinning </w:t>
      </w:r>
      <w:r w:rsidR="00AF47CB">
        <w:rPr>
          <w:b/>
          <w:i/>
          <w:color w:val="FF0000"/>
        </w:rPr>
        <w:t>Reserve</w:t>
      </w:r>
      <w:r w:rsidR="00F549E5">
        <w:rPr>
          <w:b/>
          <w:i/>
          <w:color w:val="FF0000"/>
        </w:rPr>
        <w:t xml:space="preserve"> Service is no</w:t>
      </w:r>
      <w:r w:rsidR="00AF47CB">
        <w:rPr>
          <w:b/>
          <w:i/>
          <w:color w:val="FF0000"/>
        </w:rPr>
        <w:t xml:space="preserve"> longer</w:t>
      </w:r>
      <w:r w:rsidR="00F549E5">
        <w:rPr>
          <w:b/>
          <w:i/>
          <w:color w:val="FF0000"/>
        </w:rPr>
        <w:t xml:space="preserve"> based on </w:t>
      </w:r>
      <w:r w:rsidR="00AF47CB">
        <w:rPr>
          <w:b/>
          <w:i/>
          <w:color w:val="FF0000"/>
        </w:rPr>
        <w:t xml:space="preserve">the </w:t>
      </w:r>
      <w:r w:rsidR="00F549E5">
        <w:rPr>
          <w:b/>
          <w:i/>
          <w:color w:val="FF0000"/>
        </w:rPr>
        <w:t xml:space="preserve">value of ERCOT’s single largest contingency </w:t>
      </w:r>
      <w:r w:rsidR="00AF47CB">
        <w:rPr>
          <w:b/>
          <w:i/>
          <w:color w:val="FF0000"/>
        </w:rPr>
        <w:t xml:space="preserve">ERCOT is not required to procure </w:t>
      </w:r>
      <w:r w:rsidR="00F549E5">
        <w:rPr>
          <w:b/>
          <w:i/>
          <w:color w:val="FF0000"/>
        </w:rPr>
        <w:t xml:space="preserve">additional </w:t>
      </w:r>
      <w:r w:rsidR="00AF47CB">
        <w:rPr>
          <w:b/>
          <w:i/>
          <w:color w:val="FF0000"/>
        </w:rPr>
        <w:t xml:space="preserve">Non-Spinning </w:t>
      </w:r>
      <w:r w:rsidR="00F549E5">
        <w:rPr>
          <w:b/>
          <w:i/>
          <w:color w:val="FF0000"/>
        </w:rPr>
        <w:t>quantities to meet ERCOT’s obligation under</w:t>
      </w:r>
      <w:r w:rsidR="00F549E5" w:rsidRPr="00DD325E">
        <w:rPr>
          <w:b/>
          <w:i/>
          <w:color w:val="FF0000"/>
        </w:rPr>
        <w:t xml:space="preserve"> </w:t>
      </w:r>
      <w:r w:rsidR="00F549E5">
        <w:rPr>
          <w:b/>
          <w:i/>
          <w:color w:val="FF0000"/>
        </w:rPr>
        <w:t>NERC Reliability Standard BAL-002-2 standard.</w:t>
      </w:r>
    </w:p>
    <w:p w14:paraId="1A19F7CD" w14:textId="6ADC6E0B" w:rsidR="005E4610" w:rsidRDefault="005E4610" w:rsidP="00A4449E">
      <w:pPr>
        <w:jc w:val="both"/>
        <w:rPr>
          <w:b/>
          <w:i/>
          <w:color w:val="FF0000"/>
        </w:rPr>
      </w:pPr>
      <w:r>
        <w:rPr>
          <w:b/>
          <w:i/>
          <w:color w:val="FF0000"/>
        </w:rPr>
        <w:t>ERCOT has also determined that no changes to Regulation Service are necessary because DC Ti</w:t>
      </w:r>
      <w:r w:rsidR="007061E5">
        <w:rPr>
          <w:b/>
          <w:i/>
          <w:color w:val="FF0000"/>
        </w:rPr>
        <w:t xml:space="preserve">e ramp </w:t>
      </w:r>
      <w:r>
        <w:rPr>
          <w:b/>
          <w:i/>
          <w:color w:val="FF0000"/>
        </w:rPr>
        <w:t xml:space="preserve">will </w:t>
      </w:r>
      <w:r w:rsidR="007061E5">
        <w:rPr>
          <w:b/>
          <w:i/>
          <w:color w:val="FF0000"/>
        </w:rPr>
        <w:t xml:space="preserve">be adequately addressed by </w:t>
      </w:r>
      <w:r w:rsidRPr="005E4610">
        <w:rPr>
          <w:b/>
          <w:i/>
          <w:color w:val="FF0000"/>
        </w:rPr>
        <w:t>System Change Request (SCR) 800</w:t>
      </w:r>
      <w:r>
        <w:rPr>
          <w:b/>
          <w:i/>
          <w:color w:val="FF0000"/>
        </w:rPr>
        <w:t>, Addition of DC Tie Ramp to GTBD Calculation, and</w:t>
      </w:r>
      <w:r w:rsidRPr="005E4610">
        <w:rPr>
          <w:b/>
          <w:i/>
          <w:color w:val="FF0000"/>
        </w:rPr>
        <w:t xml:space="preserve"> NPRR 999, DC Tie Ramp Limitations</w:t>
      </w:r>
      <w:r>
        <w:rPr>
          <w:b/>
          <w:i/>
          <w:color w:val="FF0000"/>
        </w:rPr>
        <w:t>.</w:t>
      </w:r>
      <w:r w:rsidR="007F4AD4">
        <w:rPr>
          <w:b/>
          <w:i/>
          <w:color w:val="FF0000"/>
        </w:rPr>
        <w:t xml:space="preserve">  ERCOT has identified no other necessary changes to Ancillary Services to accommodate the Southern Cross DC tie.  </w:t>
      </w:r>
    </w:p>
    <w:p w14:paraId="4857B641" w14:textId="77777777" w:rsidR="00295B1F" w:rsidRPr="005B02E6" w:rsidRDefault="005B02E6" w:rsidP="005B02E6">
      <w:pPr>
        <w:rPr>
          <w:u w:val="single"/>
        </w:rPr>
      </w:pPr>
      <w:r w:rsidRPr="00481F9D">
        <w:rPr>
          <w:u w:val="single"/>
        </w:rPr>
        <w:t xml:space="preserve">Technical reasons for </w:t>
      </w:r>
      <w:r>
        <w:rPr>
          <w:u w:val="single"/>
        </w:rPr>
        <w:t>determination</w:t>
      </w:r>
    </w:p>
    <w:p w14:paraId="28DA2867" w14:textId="71372B3D" w:rsidR="00870327" w:rsidRDefault="002B4F1B" w:rsidP="00B87454">
      <w:pPr>
        <w:jc w:val="both"/>
        <w:rPr>
          <w:i/>
        </w:rPr>
      </w:pPr>
      <w:r>
        <w:t xml:space="preserve">ERCOT conducted studies to evaluate the potential </w:t>
      </w:r>
      <w:r w:rsidR="0070251B">
        <w:t>Ancillary Service needs associated with the interconnection of the</w:t>
      </w:r>
      <w:r>
        <w:t xml:space="preserve"> Southern Cross DC T</w:t>
      </w:r>
      <w:r w:rsidR="0070251B">
        <w:t>i</w:t>
      </w:r>
      <w:r>
        <w:t xml:space="preserve">e.  </w:t>
      </w:r>
      <w:r w:rsidR="0070251B">
        <w:t xml:space="preserve">ERCOT’s studies considered the operational </w:t>
      </w:r>
      <w:r>
        <w:t xml:space="preserve">impacts of </w:t>
      </w:r>
      <w:r w:rsidR="0070251B">
        <w:t xml:space="preserve">a loss of </w:t>
      </w:r>
      <w:r>
        <w:t>the Southern Cross DC Tie</w:t>
      </w:r>
      <w:r w:rsidR="0070251B">
        <w:t xml:space="preserve"> when importing up to its maximum import capability of 2,000 MW and </w:t>
      </w:r>
      <w:r w:rsidR="0070251B">
        <w:lastRenderedPageBreak/>
        <w:t xml:space="preserve">when exporting up to its maximum export capability of 2,100 MW.  </w:t>
      </w:r>
      <w:r w:rsidR="003D50B2">
        <w:t>ERCOT identified potential needs under each of its existing Ancillary Services—RRS, Non-Spinning Reserve Service, and Regulation Service—and also considered whether any new Ancillary Service</w:t>
      </w:r>
      <w:r w:rsidR="00FD6553">
        <w:t xml:space="preserve"> would be needed</w:t>
      </w:r>
      <w:r w:rsidR="003D50B2">
        <w:t>.</w:t>
      </w:r>
    </w:p>
    <w:p w14:paraId="71C3963A" w14:textId="52AAC4C9" w:rsidR="0070251B" w:rsidRPr="00870327" w:rsidRDefault="00F549E5" w:rsidP="00723164">
      <w:pPr>
        <w:jc w:val="both"/>
        <w:rPr>
          <w:i/>
        </w:rPr>
      </w:pPr>
      <w:r>
        <w:rPr>
          <w:i/>
        </w:rPr>
        <w:t xml:space="preserve">Ancillary </w:t>
      </w:r>
      <w:r w:rsidR="0070251B" w:rsidRPr="00870327">
        <w:rPr>
          <w:i/>
        </w:rPr>
        <w:t>Service</w:t>
      </w:r>
      <w:r>
        <w:rPr>
          <w:i/>
        </w:rPr>
        <w:t>s for Significant Frequency Excursions</w:t>
      </w:r>
    </w:p>
    <w:p w14:paraId="7BFB79C8" w14:textId="1205692A" w:rsidR="00FE4F64" w:rsidRDefault="00C34F6B" w:rsidP="00DE1B72">
      <w:pPr>
        <w:jc w:val="both"/>
      </w:pPr>
      <w:r>
        <w:t xml:space="preserve">ERCOT procures RRS to address </w:t>
      </w:r>
      <w:r w:rsidR="00C74E40">
        <w:t>under-</w:t>
      </w:r>
      <w:r>
        <w:t xml:space="preserve">frequency risk </w:t>
      </w:r>
      <w:r w:rsidR="00C74E40">
        <w:t>associated with</w:t>
      </w:r>
      <w:r>
        <w:t xml:space="preserve"> unexpected generator trips. </w:t>
      </w:r>
      <w:r w:rsidR="00FE7B70">
        <w:t xml:space="preserve"> </w:t>
      </w:r>
      <w:r w:rsidR="00B005FF">
        <w:t>Each December, ERCOT identifies m</w:t>
      </w:r>
      <w:r w:rsidR="00B005FF" w:rsidRPr="000A5D08">
        <w:t xml:space="preserve">inimum quantities of </w:t>
      </w:r>
      <w:r w:rsidR="00B005FF">
        <w:t>RRS</w:t>
      </w:r>
      <w:r w:rsidR="00B005FF" w:rsidRPr="000A5D08">
        <w:t xml:space="preserve"> </w:t>
      </w:r>
      <w:r w:rsidR="00B005FF">
        <w:t xml:space="preserve">to be procured in each hour of the next year </w:t>
      </w:r>
      <w:r w:rsidR="00B005FF" w:rsidRPr="000A5D08">
        <w:t>based on studies</w:t>
      </w:r>
      <w:r w:rsidR="00B005FF">
        <w:t xml:space="preserve"> that</w:t>
      </w:r>
      <w:r w:rsidR="00B005FF" w:rsidRPr="000A5D08">
        <w:t xml:space="preserve"> determine </w:t>
      </w:r>
      <w:r w:rsidR="00B005FF">
        <w:t>the</w:t>
      </w:r>
      <w:r w:rsidR="00B005FF" w:rsidRPr="000A5D08">
        <w:t xml:space="preserve"> amount of RRS </w:t>
      </w:r>
      <w:r w:rsidR="00B005FF">
        <w:t xml:space="preserve">needed at various inertia levels to avoid triggering </w:t>
      </w:r>
      <w:r w:rsidR="00B005FF" w:rsidRPr="000A5D08">
        <w:t xml:space="preserve">Under </w:t>
      </w:r>
      <w:r w:rsidR="00B005FF">
        <w:t>Frequency Load Shed (UFLS) for a loss of g</w:t>
      </w:r>
      <w:r w:rsidR="00B005FF" w:rsidRPr="000A5D08">
        <w:t xml:space="preserve">eneration </w:t>
      </w:r>
      <w:r w:rsidR="00B005FF">
        <w:t xml:space="preserve">equal to </w:t>
      </w:r>
      <w:r w:rsidR="00FE4F64">
        <w:t xml:space="preserve">ERCOT’s </w:t>
      </w:r>
      <w:r w:rsidR="00FE4F64" w:rsidRPr="000A5D08">
        <w:t xml:space="preserve">Resource </w:t>
      </w:r>
      <w:r w:rsidR="00FE4F64">
        <w:t>Loss Protection Criteria</w:t>
      </w:r>
      <w:r w:rsidR="00FE4F64" w:rsidRPr="000A5D08">
        <w:t xml:space="preserve"> (R</w:t>
      </w:r>
      <w:r w:rsidR="00FE4F64">
        <w:t>LPC</w:t>
      </w:r>
      <w:r w:rsidR="00FE4F64" w:rsidRPr="000A5D08">
        <w:t>)</w:t>
      </w:r>
      <w:r w:rsidR="00FE4F64">
        <w:t xml:space="preserve">, which is equal to </w:t>
      </w:r>
      <w:r w:rsidR="00B005FF">
        <w:t xml:space="preserve">the </w:t>
      </w:r>
      <w:r w:rsidR="00B005FF" w:rsidRPr="00FD257C">
        <w:t xml:space="preserve">two largest </w:t>
      </w:r>
      <w:r w:rsidR="00B005FF">
        <w:t>single contingencies</w:t>
      </w:r>
      <w:r w:rsidR="00FE4F64">
        <w:t xml:space="preserve"> in ERCOT, in accordance with</w:t>
      </w:r>
      <w:r w:rsidR="00DE1B72">
        <w:t xml:space="preserve"> NERC Reliability Standard BAL-003-2</w:t>
      </w:r>
      <w:r w:rsidR="00DE1B72" w:rsidRPr="000A5D08">
        <w:t>.</w:t>
      </w:r>
      <w:r w:rsidR="00DE1B72">
        <w:t xml:space="preserve">  </w:t>
      </w:r>
      <w:r w:rsidR="00DE1B72" w:rsidRPr="00FD257C">
        <w:t>ERCOT</w:t>
      </w:r>
      <w:r w:rsidR="00DE1B72">
        <w:t>’s current</w:t>
      </w:r>
      <w:r w:rsidR="00DE1B72" w:rsidRPr="00FD257C">
        <w:t xml:space="preserve"> RLPC</w:t>
      </w:r>
      <w:r w:rsidR="00DE1B72">
        <w:t xml:space="preserve"> of 2805 MW is based on the</w:t>
      </w:r>
      <w:r w:rsidR="00FE4F64">
        <w:t xml:space="preserve"> two South Texas Project Nuclear units,</w:t>
      </w:r>
      <w:r w:rsidR="00DE1B72">
        <w:t xml:space="preserve"> which are </w:t>
      </w:r>
      <w:r w:rsidR="00A74523">
        <w:t xml:space="preserve">currently rated at </w:t>
      </w:r>
      <w:r w:rsidR="00DE1B72">
        <w:t xml:space="preserve">approximately 1,400 MW each.  </w:t>
      </w:r>
    </w:p>
    <w:p w14:paraId="74D01EDA" w14:textId="5DD4EDDB" w:rsidR="00FE4F64" w:rsidRDefault="00FE4F64" w:rsidP="00FE4F64">
      <w:pPr>
        <w:jc w:val="both"/>
      </w:pPr>
      <w:r>
        <w:t xml:space="preserve">ERCOT’s evaluation of the Ancillary Service impacts of the Southern Cross DC Tie initially identified a potential frequency risk associated with both imports and exports over the DC Tie.  With respect to the frequency risk associated with a loss of the Southern Cross DC Tie when </w:t>
      </w:r>
      <w:r w:rsidRPr="00870327">
        <w:t>importing</w:t>
      </w:r>
      <w:r>
        <w:t xml:space="preserve">, ERCOT’s studies originally determined that it would need to procure additional RRS </w:t>
      </w:r>
      <w:r w:rsidR="00A34EC8">
        <w:t xml:space="preserve">to address the potential negative impact on frequency </w:t>
      </w:r>
      <w:r>
        <w:t xml:space="preserve">because the Southern Cross DC Tie would be capable of importing 2,000 MW, which would become the single largest contingency on the ERCOT system, </w:t>
      </w:r>
      <w:r w:rsidR="00A74523">
        <w:t>and which would therefore increase</w:t>
      </w:r>
      <w:r>
        <w:t xml:space="preserve"> ERCOT’</w:t>
      </w:r>
      <w:r w:rsidR="00A74523">
        <w:t>s RLPC (then known as</w:t>
      </w:r>
      <w:r>
        <w:t xml:space="preserve"> Resource Contingency Criteria (RCC)) from </w:t>
      </w:r>
      <w:r w:rsidR="00A74523">
        <w:t xml:space="preserve">2,750 MW </w:t>
      </w:r>
      <w:r>
        <w:t>to 3,275 MW</w:t>
      </w:r>
      <w:r w:rsidR="00A74523">
        <w:t>.</w:t>
      </w:r>
      <w:r>
        <w:t xml:space="preserve"> </w:t>
      </w:r>
      <w:r w:rsidR="00A34EC8">
        <w:t xml:space="preserve"> </w:t>
      </w:r>
    </w:p>
    <w:p w14:paraId="18FBCB54" w14:textId="7B0125B9" w:rsidR="00B005FF" w:rsidRDefault="00A74523" w:rsidP="00BC4822">
      <w:pPr>
        <w:jc w:val="both"/>
      </w:pPr>
      <w:r>
        <w:t xml:space="preserve">However, </w:t>
      </w:r>
      <w:r w:rsidR="00A34EC8">
        <w:t xml:space="preserve">since that time, NERC’s adoption of Reliability Standard </w:t>
      </w:r>
      <w:r w:rsidR="00B005FF">
        <w:t>BAL-003</w:t>
      </w:r>
      <w:r w:rsidR="00A34EC8">
        <w:t>-2</w:t>
      </w:r>
      <w:r w:rsidR="00B005FF">
        <w:t xml:space="preserve"> </w:t>
      </w:r>
      <w:r w:rsidR="00A34EC8">
        <w:t>has clarified</w:t>
      </w:r>
      <w:r>
        <w:t xml:space="preserve"> that no additional Ancillary Service procurement is necessary to address this import-side frequency risk.  </w:t>
      </w:r>
      <w:r w:rsidR="00A34EC8">
        <w:t>Specifically, BAL-003-2</w:t>
      </w:r>
      <w:r w:rsidR="00A34EC8" w:rsidRPr="00C02524">
        <w:t>, which became effective on December 1, 2020,</w:t>
      </w:r>
      <w:r w:rsidR="00A34EC8">
        <w:t xml:space="preserve"> incorporates by reference </w:t>
      </w:r>
      <w:r w:rsidRPr="00C02524">
        <w:t xml:space="preserve">NERC’s </w:t>
      </w:r>
      <w:r w:rsidRPr="00870327">
        <w:rPr>
          <w:i/>
        </w:rPr>
        <w:t>Procedure for ERO Support of Frequency Response and Frequency Bias Setting</w:t>
      </w:r>
      <w:r w:rsidR="00A34EC8">
        <w:t>, which provides that “</w:t>
      </w:r>
      <w:r w:rsidR="00B005FF">
        <w:t>a single pole block with normal clearing in a monopole or bi-pole high-voltage direct current system is a single contingency.</w:t>
      </w:r>
      <w:r w:rsidR="00A34EC8">
        <w:t xml:space="preserve">” </w:t>
      </w:r>
      <w:r w:rsidR="00B005FF">
        <w:t xml:space="preserve"> </w:t>
      </w:r>
      <w:r w:rsidR="00A34EC8">
        <w:t>S</w:t>
      </w:r>
      <w:r w:rsidR="00870570">
        <w:t xml:space="preserve">outhern </w:t>
      </w:r>
      <w:r w:rsidR="00A34EC8">
        <w:t>C</w:t>
      </w:r>
      <w:r w:rsidR="00870570">
        <w:t>ross</w:t>
      </w:r>
      <w:r w:rsidR="00A34EC8">
        <w:t xml:space="preserve"> has informed ERCOT that the Southern Cross DC Tie project will be built using a bi-pole configuration.  Assuming this design is </w:t>
      </w:r>
      <w:r w:rsidR="005861D4">
        <w:t>implemented,</w:t>
      </w:r>
      <w:r w:rsidR="00907A82">
        <w:t xml:space="preserve"> and</w:t>
      </w:r>
      <w:r w:rsidR="00A34EC8">
        <w:t xml:space="preserve"> </w:t>
      </w:r>
      <w:r w:rsidR="00907A82">
        <w:t>the tie is able to operate in</w:t>
      </w:r>
      <w:r w:rsidR="00A34EC8">
        <w:t xml:space="preserve"> single</w:t>
      </w:r>
      <w:r w:rsidR="006D5418">
        <w:t>-pole</w:t>
      </w:r>
      <w:r w:rsidR="00A34EC8">
        <w:t xml:space="preserve"> </w:t>
      </w:r>
      <w:r w:rsidR="00907A82">
        <w:t>mode</w:t>
      </w:r>
      <w:r w:rsidR="006D5418">
        <w:t>, the</w:t>
      </w:r>
      <w:r w:rsidR="00A34EC8">
        <w:t xml:space="preserve"> </w:t>
      </w:r>
      <w:r w:rsidR="00907A82">
        <w:t xml:space="preserve">loss of each pole can </w:t>
      </w:r>
      <w:r w:rsidR="00A34EC8">
        <w:t xml:space="preserve">be regarded as a separate contingency, in accordance with BAL-003-2.  </w:t>
      </w:r>
      <w:r w:rsidR="00B005FF">
        <w:t xml:space="preserve">As a result, </w:t>
      </w:r>
      <w:r w:rsidR="00A34EC8">
        <w:t xml:space="preserve">the </w:t>
      </w:r>
      <w:r w:rsidR="00B005FF">
        <w:t>interconnection of S</w:t>
      </w:r>
      <w:r w:rsidR="00870570">
        <w:t xml:space="preserve">outhern </w:t>
      </w:r>
      <w:r w:rsidR="00B005FF">
        <w:t>C</w:t>
      </w:r>
      <w:r w:rsidR="00870570">
        <w:t>ross</w:t>
      </w:r>
      <w:r w:rsidR="00B005FF">
        <w:t xml:space="preserve"> DC Tie</w:t>
      </w:r>
      <w:r w:rsidR="00A34EC8">
        <w:t xml:space="preserve"> is not expected to impact </w:t>
      </w:r>
      <w:r w:rsidR="00B005FF">
        <w:t>ERCOT’s RLPC</w:t>
      </w:r>
      <w:r w:rsidR="009508C0">
        <w:t xml:space="preserve"> or require </w:t>
      </w:r>
      <w:r w:rsidR="00B005FF">
        <w:t xml:space="preserve">additional RRS </w:t>
      </w:r>
      <w:r w:rsidR="009508C0">
        <w:t>to address the risk of an import-side frequency deviation.</w:t>
      </w:r>
      <w:r w:rsidR="00B005FF">
        <w:t xml:space="preserve"> </w:t>
      </w:r>
    </w:p>
    <w:p w14:paraId="59C048E9" w14:textId="3A5C51DA" w:rsidR="006765B2" w:rsidRDefault="006765B2" w:rsidP="00723164">
      <w:pPr>
        <w:jc w:val="both"/>
      </w:pPr>
      <w:r>
        <w:t xml:space="preserve">On the export side, ERCOT’s studies </w:t>
      </w:r>
      <w:r w:rsidR="008A5FE2">
        <w:t xml:space="preserve">identified a risk of unacceptable frequency overshoot in the event of the loss of the </w:t>
      </w:r>
      <w:r w:rsidR="005F5187">
        <w:t>S</w:t>
      </w:r>
      <w:r w:rsidR="00870570">
        <w:t xml:space="preserve">outhern </w:t>
      </w:r>
      <w:r w:rsidR="005F5187">
        <w:t>C</w:t>
      </w:r>
      <w:r w:rsidR="00870570">
        <w:t>ross</w:t>
      </w:r>
      <w:r w:rsidR="008A5FE2">
        <w:t xml:space="preserve"> DC Tie when exporting above certain levels under certain </w:t>
      </w:r>
      <w:r>
        <w:t xml:space="preserve">low-inertia </w:t>
      </w:r>
      <w:r w:rsidR="008A5FE2">
        <w:t xml:space="preserve">conditions. </w:t>
      </w:r>
      <w:r w:rsidR="00FD6553">
        <w:t>ERCOT’s</w:t>
      </w:r>
      <w:r>
        <w:t xml:space="preserve"> studies showed that</w:t>
      </w:r>
      <w:r w:rsidR="00FD6553">
        <w:t>, in those cases,</w:t>
      </w:r>
      <w:r>
        <w:t xml:space="preserve"> </w:t>
      </w:r>
      <w:r w:rsidR="008A5FE2" w:rsidRPr="008A5FE2">
        <w:t xml:space="preserve">the </w:t>
      </w:r>
      <w:r w:rsidR="009508C0">
        <w:t xml:space="preserve">frequency </w:t>
      </w:r>
      <w:r w:rsidR="008A5FE2" w:rsidRPr="008A5FE2">
        <w:t xml:space="preserve">overshoot could </w:t>
      </w:r>
      <w:r w:rsidR="009508C0">
        <w:t xml:space="preserve">unacceptably </w:t>
      </w:r>
      <w:r w:rsidR="008A5FE2" w:rsidRPr="008A5FE2">
        <w:t xml:space="preserve">trigger other Generation Resources to trip </w:t>
      </w:r>
      <w:r>
        <w:t>due to</w:t>
      </w:r>
      <w:r w:rsidR="008A5FE2" w:rsidRPr="008A5FE2">
        <w:t xml:space="preserve"> over-frequency protection.</w:t>
      </w:r>
      <w:r w:rsidR="008A5FE2">
        <w:t xml:space="preserve"> </w:t>
      </w:r>
      <w:r>
        <w:t xml:space="preserve"> ERCOT determined that </w:t>
      </w:r>
      <w:r w:rsidR="008A5FE2">
        <w:rPr>
          <w:rFonts w:cs="Arial"/>
        </w:rPr>
        <w:t xml:space="preserve">a new Ancillary Service </w:t>
      </w:r>
      <w:r w:rsidR="00FD6553">
        <w:rPr>
          <w:rFonts w:cs="Arial"/>
        </w:rPr>
        <w:t xml:space="preserve">(or a new form of RRS) </w:t>
      </w:r>
      <w:r>
        <w:rPr>
          <w:rFonts w:cs="Arial"/>
        </w:rPr>
        <w:t xml:space="preserve">that could provide a rapid generation reduction in response to a trip of the tie when exporting </w:t>
      </w:r>
      <w:r w:rsidR="008A5FE2" w:rsidRPr="008A5FE2">
        <w:t xml:space="preserve">during certain low inertia hours </w:t>
      </w:r>
      <w:r>
        <w:rPr>
          <w:rFonts w:cs="Arial"/>
        </w:rPr>
        <w:t>would be necessary</w:t>
      </w:r>
      <w:r w:rsidR="008A5FE2">
        <w:rPr>
          <w:rFonts w:cs="Arial"/>
        </w:rPr>
        <w:t xml:space="preserve"> address </w:t>
      </w:r>
      <w:r w:rsidR="009508C0">
        <w:rPr>
          <w:rFonts w:cs="Arial"/>
        </w:rPr>
        <w:t>this</w:t>
      </w:r>
      <w:r w:rsidR="008A5FE2">
        <w:rPr>
          <w:rFonts w:cs="Arial"/>
        </w:rPr>
        <w:t xml:space="preserve"> concern</w:t>
      </w:r>
      <w:r>
        <w:rPr>
          <w:rFonts w:cs="Arial"/>
        </w:rPr>
        <w:t xml:space="preserve">.  However, ERCOT also determined that </w:t>
      </w:r>
      <w:r>
        <w:t>i</w:t>
      </w:r>
      <w:r w:rsidR="008A5FE2" w:rsidRPr="008A5FE2">
        <w:t>f</w:t>
      </w:r>
      <w:r w:rsidR="00F62501">
        <w:t xml:space="preserve"> the Southern Cross</w:t>
      </w:r>
      <w:r w:rsidR="008A5FE2" w:rsidRPr="008A5FE2">
        <w:t xml:space="preserve"> DC Tie were subject to an export limit</w:t>
      </w:r>
      <w:r w:rsidR="005F5187">
        <w:t xml:space="preserve"> during those certain hours, the</w:t>
      </w:r>
      <w:r w:rsidR="008A5FE2" w:rsidRPr="008A5FE2">
        <w:t xml:space="preserve">n </w:t>
      </w:r>
      <w:r>
        <w:t>a</w:t>
      </w:r>
      <w:r w:rsidR="008A5FE2" w:rsidRPr="008A5FE2">
        <w:t xml:space="preserve"> new Ancillary Servic</w:t>
      </w:r>
      <w:r>
        <w:t xml:space="preserve">e </w:t>
      </w:r>
      <w:r w:rsidR="00FD6553">
        <w:t>(</w:t>
      </w:r>
      <w:r w:rsidR="006D5418">
        <w:t>such as</w:t>
      </w:r>
      <w:r w:rsidR="00FD6553">
        <w:t xml:space="preserve"> a new form of RRS) </w:t>
      </w:r>
      <w:r>
        <w:t xml:space="preserve">would not be </w:t>
      </w:r>
      <w:r w:rsidR="00FD6553">
        <w:t>necessary.</w:t>
      </w:r>
      <w:r>
        <w:t xml:space="preserve">  </w:t>
      </w:r>
    </w:p>
    <w:p w14:paraId="00C63396" w14:textId="0B473350" w:rsidR="006765B2" w:rsidRDefault="00F62501" w:rsidP="006765B2">
      <w:pPr>
        <w:jc w:val="both"/>
      </w:pPr>
      <w:r>
        <w:rPr>
          <w:rFonts w:cs="Arial"/>
        </w:rPr>
        <w:t xml:space="preserve">Based on ERCOT’s conclusion, </w:t>
      </w:r>
      <w:r w:rsidR="00FD6553">
        <w:rPr>
          <w:rFonts w:cs="Arial"/>
        </w:rPr>
        <w:t>S</w:t>
      </w:r>
      <w:r w:rsidR="00870570">
        <w:rPr>
          <w:rFonts w:cs="Arial"/>
        </w:rPr>
        <w:t xml:space="preserve">outhern </w:t>
      </w:r>
      <w:r w:rsidR="00FD6553">
        <w:rPr>
          <w:rFonts w:cs="Arial"/>
        </w:rPr>
        <w:t>C</w:t>
      </w:r>
      <w:r w:rsidR="00870570">
        <w:rPr>
          <w:rFonts w:cs="Arial"/>
        </w:rPr>
        <w:t>ross</w:t>
      </w:r>
      <w:r w:rsidR="006765B2">
        <w:rPr>
          <w:rFonts w:cs="Arial"/>
        </w:rPr>
        <w:t xml:space="preserve"> </w:t>
      </w:r>
      <w:r w:rsidR="00FD6553">
        <w:rPr>
          <w:rFonts w:cs="Arial"/>
        </w:rPr>
        <w:t>submitted</w:t>
      </w:r>
      <w:r w:rsidR="006765B2">
        <w:rPr>
          <w:rFonts w:cs="Arial"/>
        </w:rPr>
        <w:t xml:space="preserve"> NPRR 1034, </w:t>
      </w:r>
      <w:r w:rsidR="006765B2" w:rsidRPr="005F5187">
        <w:rPr>
          <w:rFonts w:cs="Arial"/>
        </w:rPr>
        <w:t>Frequency-Based Limits on DC Tie Imports and Exports</w:t>
      </w:r>
      <w:r w:rsidR="006765B2">
        <w:rPr>
          <w:rFonts w:cs="Arial"/>
        </w:rPr>
        <w:t xml:space="preserve">, </w:t>
      </w:r>
      <w:r w:rsidR="00FD6553">
        <w:rPr>
          <w:rFonts w:cs="Arial"/>
        </w:rPr>
        <w:t xml:space="preserve">to enable ERCOT to </w:t>
      </w:r>
      <w:r w:rsidR="009508C0">
        <w:rPr>
          <w:rFonts w:cs="Arial"/>
        </w:rPr>
        <w:t xml:space="preserve">establish import or export </w:t>
      </w:r>
      <w:r w:rsidR="006765B2">
        <w:rPr>
          <w:rFonts w:cs="Arial"/>
        </w:rPr>
        <w:t>limits on DC Tie</w:t>
      </w:r>
      <w:r w:rsidR="009508C0">
        <w:rPr>
          <w:rFonts w:cs="Arial"/>
        </w:rPr>
        <w:t>s</w:t>
      </w:r>
      <w:r w:rsidR="006765B2">
        <w:rPr>
          <w:rFonts w:cs="Arial"/>
        </w:rPr>
        <w:t xml:space="preserve"> </w:t>
      </w:r>
      <w:r w:rsidR="00FD6553">
        <w:rPr>
          <w:rFonts w:cs="Arial"/>
        </w:rPr>
        <w:t xml:space="preserve">during operating conditions of </w:t>
      </w:r>
      <w:r w:rsidR="006765B2">
        <w:rPr>
          <w:rFonts w:cs="Arial"/>
        </w:rPr>
        <w:t xml:space="preserve">concern. </w:t>
      </w:r>
      <w:r w:rsidR="00FD6553">
        <w:rPr>
          <w:rFonts w:cs="Arial"/>
        </w:rPr>
        <w:t xml:space="preserve"> </w:t>
      </w:r>
      <w:r w:rsidR="009508C0">
        <w:rPr>
          <w:rFonts w:cs="Arial"/>
        </w:rPr>
        <w:t xml:space="preserve">Additionally, </w:t>
      </w:r>
      <w:r w:rsidR="006765B2" w:rsidRPr="005F5187">
        <w:rPr>
          <w:rFonts w:cs="Arial"/>
        </w:rPr>
        <w:t xml:space="preserve">NPRR 1034 </w:t>
      </w:r>
      <w:r w:rsidR="009508C0">
        <w:rPr>
          <w:rFonts w:cs="Arial"/>
        </w:rPr>
        <w:t>provides</w:t>
      </w:r>
      <w:r w:rsidR="006765B2" w:rsidRPr="005F5187">
        <w:rPr>
          <w:rFonts w:cs="Arial"/>
        </w:rPr>
        <w:t xml:space="preserve"> that ERCOT will curtail DC Tie Schedules when one or more DC Tie Schedules </w:t>
      </w:r>
      <w:r w:rsidR="009508C0">
        <w:rPr>
          <w:rFonts w:cs="Arial"/>
        </w:rPr>
        <w:t>would</w:t>
      </w:r>
      <w:r w:rsidR="006765B2" w:rsidRPr="005F5187">
        <w:rPr>
          <w:rFonts w:cs="Arial"/>
        </w:rPr>
        <w:t xml:space="preserve"> exceed an established import or export limit</w:t>
      </w:r>
      <w:r w:rsidR="006765B2">
        <w:rPr>
          <w:rFonts w:cs="Arial"/>
        </w:rPr>
        <w:t xml:space="preserve">. </w:t>
      </w:r>
      <w:r w:rsidR="006765B2">
        <w:t>NPRR1034</w:t>
      </w:r>
      <w:r w:rsidR="006765B2" w:rsidRPr="004F37E0">
        <w:t xml:space="preserve"> </w:t>
      </w:r>
      <w:r w:rsidR="006765B2">
        <w:t xml:space="preserve">was </w:t>
      </w:r>
      <w:r w:rsidR="006765B2">
        <w:lastRenderedPageBreak/>
        <w:t xml:space="preserve">approved by the ERCOT Board of Directors on </w:t>
      </w:r>
      <w:r w:rsidR="005861D4">
        <w:t>February 9, 2021 and</w:t>
      </w:r>
      <w:r w:rsidR="006765B2">
        <w:t xml:space="preserve"> will be implemented prior to the interconnection of the S</w:t>
      </w:r>
      <w:r w:rsidR="009508C0">
        <w:t>outhern Cross</w:t>
      </w:r>
      <w:r w:rsidR="006765B2">
        <w:t xml:space="preserve"> DC Tie.</w:t>
      </w:r>
      <w:r w:rsidR="006765B2" w:rsidRPr="004F37E0">
        <w:t xml:space="preserve"> </w:t>
      </w:r>
      <w:r w:rsidR="006765B2">
        <w:t xml:space="preserve"> </w:t>
      </w:r>
      <w:r>
        <w:t xml:space="preserve">This NPRR will avoid the need for procuring additional Ancillary Services </w:t>
      </w:r>
      <w:r w:rsidR="00EF152C">
        <w:t>to address the risk of an unacceptable frequency deviation</w:t>
      </w:r>
      <w:r>
        <w:t xml:space="preserve"> when the Southern Cross DC Tie is exporting from ERCOT. </w:t>
      </w:r>
    </w:p>
    <w:p w14:paraId="113EE217" w14:textId="2109FEE0" w:rsidR="00F45042" w:rsidRDefault="009508C0" w:rsidP="00CC0B3B">
      <w:pPr>
        <w:jc w:val="both"/>
        <w:rPr>
          <w:rFonts w:cstheme="minorHAnsi"/>
          <w:bCs/>
        </w:rPr>
      </w:pPr>
      <w:r w:rsidRPr="00870327">
        <w:rPr>
          <w:i/>
        </w:rPr>
        <w:t>Non-Spinning Reserve Service</w:t>
      </w:r>
    </w:p>
    <w:p w14:paraId="54B06EAE" w14:textId="174DB7A2" w:rsidR="00F15BDF" w:rsidRDefault="0072428C" w:rsidP="00CC0B3B">
      <w:pPr>
        <w:jc w:val="both"/>
      </w:pPr>
      <w:r>
        <w:rPr>
          <w:rFonts w:cstheme="minorHAnsi"/>
          <w:bCs/>
        </w:rPr>
        <w:t xml:space="preserve">ERCOT procures </w:t>
      </w:r>
      <w:r w:rsidRPr="00520816">
        <w:rPr>
          <w:rFonts w:cstheme="minorHAnsi"/>
          <w:bCs/>
        </w:rPr>
        <w:t>Non-Spin</w:t>
      </w:r>
      <w:r>
        <w:rPr>
          <w:rFonts w:cstheme="minorHAnsi"/>
          <w:bCs/>
        </w:rPr>
        <w:t>ning</w:t>
      </w:r>
      <w:r w:rsidRPr="00520816">
        <w:rPr>
          <w:rFonts w:cstheme="minorHAnsi"/>
          <w:bCs/>
        </w:rPr>
        <w:t xml:space="preserve"> Reserve Service to ensure sufficient capacity is available to cover large </w:t>
      </w:r>
      <w:r>
        <w:rPr>
          <w:rFonts w:cstheme="minorHAnsi"/>
          <w:bCs/>
        </w:rPr>
        <w:t>net load</w:t>
      </w:r>
      <w:r w:rsidR="00705475">
        <w:rPr>
          <w:rFonts w:cstheme="minorHAnsi"/>
          <w:bCs/>
        </w:rPr>
        <w:t xml:space="preserve"> forecast errors </w:t>
      </w:r>
      <w:r w:rsidRPr="00520816">
        <w:rPr>
          <w:rFonts w:cstheme="minorHAnsi"/>
          <w:bCs/>
        </w:rPr>
        <w:t xml:space="preserve">or </w:t>
      </w:r>
      <w:r>
        <w:rPr>
          <w:rFonts w:cstheme="minorHAnsi"/>
          <w:bCs/>
        </w:rPr>
        <w:t xml:space="preserve">to </w:t>
      </w:r>
      <w:r w:rsidRPr="00520816">
        <w:rPr>
          <w:rFonts w:cstheme="minorHAnsi"/>
          <w:bCs/>
        </w:rPr>
        <w:t>replace deployed RRS</w:t>
      </w:r>
      <w:r>
        <w:rPr>
          <w:rFonts w:cstheme="minorHAnsi"/>
          <w:bCs/>
        </w:rPr>
        <w:t xml:space="preserve">.  </w:t>
      </w:r>
      <w:r w:rsidR="00CC0B3B">
        <w:rPr>
          <w:rFonts w:cstheme="minorHAnsi"/>
          <w:bCs/>
        </w:rPr>
        <w:t xml:space="preserve">ERCOT procures </w:t>
      </w:r>
      <w:r w:rsidR="00870570">
        <w:rPr>
          <w:rFonts w:cstheme="minorHAnsi"/>
          <w:bCs/>
        </w:rPr>
        <w:t>Non-Spinning Reserve Service</w:t>
      </w:r>
      <w:r w:rsidR="00CC0B3B">
        <w:rPr>
          <w:rFonts w:cstheme="minorHAnsi"/>
          <w:bCs/>
        </w:rPr>
        <w:t xml:space="preserve"> based on historical net-load forecast error and risk of upward ramps in net load, as adjusted for expected </w:t>
      </w:r>
      <w:r w:rsidR="00CC0B3B" w:rsidRPr="00C52A13">
        <w:rPr>
          <w:rFonts w:cstheme="minorHAnsi"/>
          <w:bCs/>
        </w:rPr>
        <w:t xml:space="preserve">growth in installed </w:t>
      </w:r>
      <w:r w:rsidR="00CC0B3B">
        <w:rPr>
          <w:rFonts w:cstheme="minorHAnsi"/>
          <w:bCs/>
        </w:rPr>
        <w:t>wind and solar</w:t>
      </w:r>
      <w:r w:rsidR="00CC0B3B" w:rsidRPr="00C52A13">
        <w:rPr>
          <w:rFonts w:cstheme="minorHAnsi"/>
          <w:bCs/>
        </w:rPr>
        <w:t xml:space="preserve"> capacity</w:t>
      </w:r>
      <w:r w:rsidR="00CC0B3B">
        <w:rPr>
          <w:rFonts w:cstheme="minorHAnsi"/>
          <w:bCs/>
        </w:rPr>
        <w:t>.</w:t>
      </w:r>
      <w:r w:rsidR="00CC0B3B" w:rsidRPr="00DE1AF0">
        <w:rPr>
          <w:rFonts w:cstheme="minorHAnsi"/>
          <w:bCs/>
        </w:rPr>
        <w:t xml:space="preserve"> </w:t>
      </w:r>
      <w:r w:rsidR="00CC0B3B">
        <w:rPr>
          <w:rFonts w:cstheme="minorHAnsi"/>
          <w:bCs/>
        </w:rPr>
        <w:t xml:space="preserve"> </w:t>
      </w:r>
      <w:r w:rsidR="00F15BDF">
        <w:t xml:space="preserve">ERCOT has identified no Non-Spin impact under </w:t>
      </w:r>
      <w:proofErr w:type="gramStart"/>
      <w:r w:rsidR="00F15BDF">
        <w:t>this criteria</w:t>
      </w:r>
      <w:proofErr w:type="gramEnd"/>
      <w:r w:rsidR="00F15BDF">
        <w:t xml:space="preserve"> due to the interconnection of the Southern Cross DC Tie.</w:t>
      </w:r>
      <w:r w:rsidR="00F15BDF" w:rsidRPr="00AF47CB">
        <w:t xml:space="preserve"> </w:t>
      </w:r>
    </w:p>
    <w:p w14:paraId="1557E0DA" w14:textId="79FA1F0F" w:rsidR="00CC0B3B" w:rsidRDefault="00CC0B3B" w:rsidP="00CC0B3B">
      <w:pPr>
        <w:jc w:val="both"/>
      </w:pPr>
      <w:r>
        <w:rPr>
          <w:rFonts w:cstheme="minorHAnsi"/>
          <w:bCs/>
        </w:rPr>
        <w:t xml:space="preserve">At the time of ERCOT’s study, ERCOT </w:t>
      </w:r>
      <w:r w:rsidR="00705475">
        <w:rPr>
          <w:rFonts w:cstheme="minorHAnsi"/>
          <w:bCs/>
        </w:rPr>
        <w:t>had a Non-Spin procurement</w:t>
      </w:r>
      <w:r w:rsidRPr="001A7161">
        <w:rPr>
          <w:rFonts w:cstheme="minorHAnsi"/>
          <w:bCs/>
        </w:rPr>
        <w:t xml:space="preserve"> floor </w:t>
      </w:r>
      <w:r>
        <w:rPr>
          <w:rFonts w:cstheme="minorHAnsi"/>
          <w:bCs/>
        </w:rPr>
        <w:t xml:space="preserve">equal to ERCOT’s current Most Severe Single Contingency (MSSC) for </w:t>
      </w:r>
      <w:r w:rsidRPr="001A7161">
        <w:rPr>
          <w:rFonts w:cstheme="minorHAnsi"/>
          <w:bCs/>
        </w:rPr>
        <w:t>hour</w:t>
      </w:r>
      <w:r>
        <w:rPr>
          <w:rFonts w:cstheme="minorHAnsi"/>
          <w:bCs/>
        </w:rPr>
        <w:t>s</w:t>
      </w:r>
      <w:r w:rsidRPr="001A7161">
        <w:rPr>
          <w:rFonts w:cstheme="minorHAnsi"/>
          <w:bCs/>
        </w:rPr>
        <w:t xml:space="preserve"> ending 7 through 22</w:t>
      </w:r>
      <w:r>
        <w:rPr>
          <w:rFonts w:cstheme="minorHAnsi"/>
          <w:bCs/>
        </w:rPr>
        <w:t xml:space="preserve">, which was then equivalent to 1,375 MW.  </w:t>
      </w:r>
      <w:r w:rsidR="00705475">
        <w:rPr>
          <w:rFonts w:cstheme="minorHAnsi"/>
          <w:bCs/>
        </w:rPr>
        <w:t xml:space="preserve"> However, ERCOT </w:t>
      </w:r>
      <w:r w:rsidR="00AF47CB">
        <w:rPr>
          <w:rFonts w:cstheme="minorHAnsi"/>
          <w:bCs/>
        </w:rPr>
        <w:t xml:space="preserve">has </w:t>
      </w:r>
      <w:r w:rsidR="00705475">
        <w:rPr>
          <w:rFonts w:cstheme="minorHAnsi"/>
          <w:bCs/>
        </w:rPr>
        <w:t xml:space="preserve">modified its procurement practices in 2019 to eliminate the Non-Spin floor.  </w:t>
      </w:r>
      <w:r w:rsidR="00AF47CB">
        <w:t xml:space="preserve">Therefore, </w:t>
      </w:r>
      <w:r w:rsidR="00F15BDF" w:rsidRPr="00EB16CA">
        <w:rPr>
          <w:rFonts w:cstheme="minorHAnsi"/>
          <w:bCs/>
        </w:rPr>
        <w:t xml:space="preserve">interconnection of the Southern Cross DC Tie </w:t>
      </w:r>
      <w:r w:rsidR="00F15BDF">
        <w:t>will</w:t>
      </w:r>
      <w:r w:rsidR="00AF47CB">
        <w:t xml:space="preserve"> not i</w:t>
      </w:r>
      <w:r w:rsidR="00F15BDF">
        <w:t>mpact the Non-Spin q</w:t>
      </w:r>
      <w:r w:rsidR="00AF47CB">
        <w:t>uantities to be procured.</w:t>
      </w:r>
    </w:p>
    <w:p w14:paraId="59CEE195" w14:textId="48D63248" w:rsidR="00E626A9" w:rsidRPr="00922895" w:rsidRDefault="00E626A9" w:rsidP="00E626A9">
      <w:pPr>
        <w:jc w:val="both"/>
        <w:rPr>
          <w:rFonts w:cstheme="minorHAnsi"/>
          <w:bCs/>
          <w:i/>
        </w:rPr>
      </w:pPr>
      <w:r w:rsidRPr="00922895">
        <w:rPr>
          <w:rFonts w:cstheme="minorHAnsi"/>
          <w:bCs/>
          <w:i/>
        </w:rPr>
        <w:t>Regulation Service</w:t>
      </w:r>
    </w:p>
    <w:p w14:paraId="68E6388A" w14:textId="564A6670" w:rsidR="00C02524" w:rsidRDefault="00F45042" w:rsidP="00BC4822">
      <w:pPr>
        <w:jc w:val="both"/>
      </w:pPr>
      <w:r>
        <w:t xml:space="preserve">ERCOT deploys </w:t>
      </w:r>
      <w:r w:rsidRPr="00F45042">
        <w:t xml:space="preserve">Regulation Service </w:t>
      </w:r>
      <w:r>
        <w:t xml:space="preserve">provided by generators </w:t>
      </w:r>
      <w:r w:rsidRPr="00F45042">
        <w:t xml:space="preserve">every 4 seconds to maintain frequency between Security Constrained Economic Dispatch (SCED) intervals. </w:t>
      </w:r>
      <w:r>
        <w:t>Each December, ERCOT identifies m</w:t>
      </w:r>
      <w:r w:rsidRPr="00F45042">
        <w:t>ini</w:t>
      </w:r>
      <w:r>
        <w:t xml:space="preserve">mum quantities of Regulation Up and Regulation </w:t>
      </w:r>
      <w:r w:rsidRPr="00F45042">
        <w:t>Down</w:t>
      </w:r>
      <w:r>
        <w:t xml:space="preserve"> for each hour of the next year</w:t>
      </w:r>
      <w:r w:rsidRPr="00F45042">
        <w:t xml:space="preserve"> </w:t>
      </w:r>
      <w:r>
        <w:t xml:space="preserve">based on (1) </w:t>
      </w:r>
      <w:r w:rsidR="0005780C">
        <w:t>the amount of R</w:t>
      </w:r>
      <w:r>
        <w:t xml:space="preserve">egulation historically deployed in that hour, and (2) </w:t>
      </w:r>
      <w:r w:rsidRPr="00F45042">
        <w:t>net-load variability</w:t>
      </w:r>
      <w:r>
        <w:t xml:space="preserve">, as </w:t>
      </w:r>
      <w:r w:rsidRPr="00F45042">
        <w:t xml:space="preserve">adjusted for </w:t>
      </w:r>
      <w:r>
        <w:t xml:space="preserve">projected </w:t>
      </w:r>
      <w:r w:rsidRPr="00F45042">
        <w:t xml:space="preserve">growth in installed of wind </w:t>
      </w:r>
      <w:r>
        <w:t xml:space="preserve">and solar </w:t>
      </w:r>
      <w:r w:rsidRPr="00F45042">
        <w:t>generation capacity</w:t>
      </w:r>
      <w:r>
        <w:t xml:space="preserve">.  </w:t>
      </w:r>
      <w:r w:rsidR="00696207">
        <w:t>ERCOT has determined that changes to ERCOT rules and systems will avoid any need for additional Regulation Service procurement due to the interconnection of the Southern Cross DC Tie.  First, S</w:t>
      </w:r>
      <w:r w:rsidR="0005780C">
        <w:t>ystem Change Request (SCR) 800</w:t>
      </w:r>
      <w:r w:rsidR="00696207">
        <w:t xml:space="preserve">, </w:t>
      </w:r>
      <w:r w:rsidR="007061E5" w:rsidRPr="00870327">
        <w:t>Addition of DC Tie Ramp to GTBD Calculation</w:t>
      </w:r>
      <w:r w:rsidR="007061E5">
        <w:t xml:space="preserve">, which was </w:t>
      </w:r>
      <w:r w:rsidR="00696207">
        <w:t>approved</w:t>
      </w:r>
      <w:r w:rsidR="007061E5">
        <w:t xml:space="preserve"> by the ERCOT Board of Directors</w:t>
      </w:r>
      <w:r w:rsidR="00696207">
        <w:t xml:space="preserve"> in December 2019, will</w:t>
      </w:r>
      <w:r w:rsidR="0005780C">
        <w:t xml:space="preserve"> integrate scheduled DC Tie ramp into the Generation to be Dispatc</w:t>
      </w:r>
      <w:r w:rsidR="007061E5">
        <w:t xml:space="preserve">hed (GTBD) value used by SCED.  </w:t>
      </w:r>
      <w:r w:rsidR="00C9798A">
        <w:t>Second, NPRR 999, DC Tie Ramp Limitations,</w:t>
      </w:r>
      <w:r w:rsidR="00C63FAB">
        <w:t xml:space="preserve"> </w:t>
      </w:r>
      <w:r w:rsidR="00C9798A">
        <w:t xml:space="preserve">clarifies ERCOT’s authority to curtail DC Tie Schedules that would </w:t>
      </w:r>
      <w:r w:rsidR="007061E5">
        <w:t xml:space="preserve">otherwise </w:t>
      </w:r>
      <w:r w:rsidR="00C9798A">
        <w:t>exceed the ramp capability of the system,</w:t>
      </w:r>
      <w:r w:rsidR="007061E5">
        <w:t xml:space="preserve"> and </w:t>
      </w:r>
      <w:r w:rsidR="00C9798A">
        <w:t xml:space="preserve">potentially </w:t>
      </w:r>
      <w:r w:rsidR="007061E5">
        <w:t>impact</w:t>
      </w:r>
      <w:r w:rsidR="00C9798A">
        <w:t xml:space="preserve"> system frequency. </w:t>
      </w:r>
      <w:r w:rsidR="007061E5">
        <w:t xml:space="preserve"> </w:t>
      </w:r>
      <w:r w:rsidR="00C63FAB">
        <w:t xml:space="preserve">NPRR 999 was approved </w:t>
      </w:r>
      <w:r w:rsidR="007061E5">
        <w:t xml:space="preserve">in October 2020 </w:t>
      </w:r>
      <w:r w:rsidR="00C63FAB">
        <w:t>as part of the resolution of PUC Directive 3, concerning ramp rate limitations.  ERCOT has determined that SCR 800 and NPRR 999 should be sufficient to address frequency issues due to ramping of the Southern Cross DC Tie.  Consequently, ERCOT has determined that no further changes to Regulation Service are necessary as a condition for the interconnection of the Southern Cross DC Tie.</w:t>
      </w:r>
    </w:p>
    <w:sectPr w:rsidR="00C0252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F4A8D" w14:textId="77777777" w:rsidR="00F238AD" w:rsidRDefault="00F238AD" w:rsidP="006C32D5">
      <w:pPr>
        <w:spacing w:after="0" w:line="240" w:lineRule="auto"/>
      </w:pPr>
      <w:r>
        <w:separator/>
      </w:r>
    </w:p>
  </w:endnote>
  <w:endnote w:type="continuationSeparator" w:id="0">
    <w:p w14:paraId="39892A63" w14:textId="77777777" w:rsidR="00F238AD" w:rsidRDefault="00F238AD"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2E539" w14:textId="4BE4524F" w:rsidR="00EB1C87" w:rsidRDefault="002F3622" w:rsidP="00EB1C87">
    <w:pPr>
      <w:pStyle w:val="Footer"/>
      <w:rPr>
        <w:rFonts w:ascii="Arial" w:hAnsi="Arial" w:cs="Arial"/>
        <w:sz w:val="18"/>
      </w:rPr>
    </w:pPr>
    <w:r>
      <w:rPr>
        <w:rFonts w:ascii="Arial" w:hAnsi="Arial" w:cs="Arial"/>
        <w:sz w:val="18"/>
      </w:rPr>
      <w:t xml:space="preserve">PUC Order No. 46304, Directive </w:t>
    </w:r>
    <w:r w:rsidR="00005EFA">
      <w:rPr>
        <w:rFonts w:ascii="Arial" w:hAnsi="Arial" w:cs="Arial"/>
        <w:sz w:val="18"/>
      </w:rPr>
      <w:t>9</w:t>
    </w:r>
    <w:r w:rsidR="00EB1C87">
      <w:rPr>
        <w:rFonts w:ascii="Arial" w:hAnsi="Arial" w:cs="Arial"/>
        <w:sz w:val="18"/>
      </w:rPr>
      <w:t xml:space="preserve">, </w:t>
    </w:r>
    <w:r w:rsidR="00005EFA">
      <w:rPr>
        <w:rFonts w:ascii="Arial" w:hAnsi="Arial" w:cs="Arial"/>
        <w:sz w:val="18"/>
      </w:rPr>
      <w:t>Ancillary Services 0</w:t>
    </w:r>
    <w:r w:rsidR="00773532">
      <w:rPr>
        <w:rFonts w:ascii="Arial" w:hAnsi="Arial" w:cs="Arial"/>
        <w:sz w:val="18"/>
      </w:rPr>
      <w:t>7082021</w:t>
    </w:r>
    <w:r w:rsidR="00EB1C87">
      <w:rPr>
        <w:rFonts w:ascii="Arial" w:hAnsi="Arial" w:cs="Arial"/>
        <w:sz w:val="18"/>
      </w:rPr>
      <w:tab/>
      <w:t>Pa</w:t>
    </w:r>
    <w:r w:rsidR="00EB1C87" w:rsidRPr="00412DCA">
      <w:rPr>
        <w:rFonts w:ascii="Arial" w:hAnsi="Arial" w:cs="Arial"/>
        <w:sz w:val="18"/>
      </w:rPr>
      <w:t xml:space="preserve">ge </w:t>
    </w:r>
    <w:r w:rsidR="00EB1C87" w:rsidRPr="00412DCA">
      <w:rPr>
        <w:rFonts w:ascii="Arial" w:hAnsi="Arial" w:cs="Arial"/>
        <w:sz w:val="18"/>
      </w:rPr>
      <w:fldChar w:fldCharType="begin"/>
    </w:r>
    <w:r w:rsidR="00EB1C87" w:rsidRPr="00412DCA">
      <w:rPr>
        <w:rFonts w:ascii="Arial" w:hAnsi="Arial" w:cs="Arial"/>
        <w:sz w:val="18"/>
      </w:rPr>
      <w:instrText xml:space="preserve"> PAGE </w:instrText>
    </w:r>
    <w:r w:rsidR="00EB1C87" w:rsidRPr="00412DCA">
      <w:rPr>
        <w:rFonts w:ascii="Arial" w:hAnsi="Arial" w:cs="Arial"/>
        <w:sz w:val="18"/>
      </w:rPr>
      <w:fldChar w:fldCharType="separate"/>
    </w:r>
    <w:r w:rsidR="00AF6BB2">
      <w:rPr>
        <w:rFonts w:ascii="Arial" w:hAnsi="Arial" w:cs="Arial"/>
        <w:noProof/>
        <w:sz w:val="18"/>
      </w:rPr>
      <w:t>3</w:t>
    </w:r>
    <w:r w:rsidR="00EB1C87" w:rsidRPr="00412DCA">
      <w:rPr>
        <w:rFonts w:ascii="Arial" w:hAnsi="Arial" w:cs="Arial"/>
        <w:sz w:val="18"/>
      </w:rPr>
      <w:fldChar w:fldCharType="end"/>
    </w:r>
    <w:r w:rsidR="00EB1C87" w:rsidRPr="00412DCA">
      <w:rPr>
        <w:rFonts w:ascii="Arial" w:hAnsi="Arial" w:cs="Arial"/>
        <w:sz w:val="18"/>
      </w:rPr>
      <w:t xml:space="preserve"> of </w:t>
    </w:r>
    <w:r w:rsidR="00EB1C87" w:rsidRPr="00412DCA">
      <w:rPr>
        <w:rFonts w:ascii="Arial" w:hAnsi="Arial" w:cs="Arial"/>
        <w:sz w:val="18"/>
      </w:rPr>
      <w:fldChar w:fldCharType="begin"/>
    </w:r>
    <w:r w:rsidR="00EB1C87" w:rsidRPr="00412DCA">
      <w:rPr>
        <w:rFonts w:ascii="Arial" w:hAnsi="Arial" w:cs="Arial"/>
        <w:sz w:val="18"/>
      </w:rPr>
      <w:instrText xml:space="preserve"> NUMPAGES </w:instrText>
    </w:r>
    <w:r w:rsidR="00EB1C87" w:rsidRPr="00412DCA">
      <w:rPr>
        <w:rFonts w:ascii="Arial" w:hAnsi="Arial" w:cs="Arial"/>
        <w:sz w:val="18"/>
      </w:rPr>
      <w:fldChar w:fldCharType="separate"/>
    </w:r>
    <w:r w:rsidR="00AF6BB2">
      <w:rPr>
        <w:rFonts w:ascii="Arial" w:hAnsi="Arial" w:cs="Arial"/>
        <w:noProof/>
        <w:sz w:val="18"/>
      </w:rPr>
      <w:t>3</w:t>
    </w:r>
    <w:r w:rsidR="00EB1C87" w:rsidRPr="00412DCA">
      <w:rPr>
        <w:rFonts w:ascii="Arial" w:hAnsi="Arial" w:cs="Arial"/>
        <w:sz w:val="18"/>
      </w:rPr>
      <w:fldChar w:fldCharType="end"/>
    </w:r>
  </w:p>
  <w:p w14:paraId="4CE0897B" w14:textId="77777777" w:rsidR="00EB1C87" w:rsidRPr="00EB1C87" w:rsidRDefault="00EB1C87">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1C830" w14:textId="77777777" w:rsidR="00F238AD" w:rsidRDefault="00F238AD" w:rsidP="006C32D5">
      <w:pPr>
        <w:spacing w:after="0" w:line="240" w:lineRule="auto"/>
      </w:pPr>
      <w:r>
        <w:separator/>
      </w:r>
    </w:p>
  </w:footnote>
  <w:footnote w:type="continuationSeparator" w:id="0">
    <w:p w14:paraId="4B58BFB7" w14:textId="77777777" w:rsidR="00F238AD" w:rsidRDefault="00F238AD" w:rsidP="006C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A9B6D" w14:textId="4BA0FAC3" w:rsidR="006C32D5" w:rsidRDefault="00EB1C87">
    <w:pPr>
      <w:pStyle w:val="Header"/>
    </w:pPr>
    <w:r>
      <w:rPr>
        <w:noProof/>
      </w:rPr>
      <w:drawing>
        <wp:inline distT="0" distB="0" distL="0" distR="0" wp14:anchorId="0ACB16B1" wp14:editId="2C3247AA">
          <wp:extent cx="952500" cy="36195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814A2"/>
    <w:multiLevelType w:val="hybridMultilevel"/>
    <w:tmpl w:val="71A67AF8"/>
    <w:lvl w:ilvl="0" w:tplc="15ACE420">
      <w:start w:val="1"/>
      <w:numFmt w:val="bullet"/>
      <w:lvlText w:val="–"/>
      <w:lvlJc w:val="left"/>
      <w:pPr>
        <w:tabs>
          <w:tab w:val="num" w:pos="720"/>
        </w:tabs>
        <w:ind w:left="720" w:hanging="360"/>
      </w:pPr>
      <w:rPr>
        <w:rFonts w:ascii="Arial" w:hAnsi="Arial" w:hint="default"/>
      </w:rPr>
    </w:lvl>
    <w:lvl w:ilvl="1" w:tplc="267A9BCA">
      <w:start w:val="1"/>
      <w:numFmt w:val="bullet"/>
      <w:lvlText w:val="–"/>
      <w:lvlJc w:val="left"/>
      <w:pPr>
        <w:tabs>
          <w:tab w:val="num" w:pos="1440"/>
        </w:tabs>
        <w:ind w:left="1440" w:hanging="360"/>
      </w:pPr>
      <w:rPr>
        <w:rFonts w:ascii="Arial" w:hAnsi="Arial" w:hint="default"/>
      </w:rPr>
    </w:lvl>
    <w:lvl w:ilvl="2" w:tplc="08FE6D4C" w:tentative="1">
      <w:start w:val="1"/>
      <w:numFmt w:val="bullet"/>
      <w:lvlText w:val="–"/>
      <w:lvlJc w:val="left"/>
      <w:pPr>
        <w:tabs>
          <w:tab w:val="num" w:pos="2160"/>
        </w:tabs>
        <w:ind w:left="2160" w:hanging="360"/>
      </w:pPr>
      <w:rPr>
        <w:rFonts w:ascii="Arial" w:hAnsi="Arial" w:hint="default"/>
      </w:rPr>
    </w:lvl>
    <w:lvl w:ilvl="3" w:tplc="89B0BA28" w:tentative="1">
      <w:start w:val="1"/>
      <w:numFmt w:val="bullet"/>
      <w:lvlText w:val="–"/>
      <w:lvlJc w:val="left"/>
      <w:pPr>
        <w:tabs>
          <w:tab w:val="num" w:pos="2880"/>
        </w:tabs>
        <w:ind w:left="2880" w:hanging="360"/>
      </w:pPr>
      <w:rPr>
        <w:rFonts w:ascii="Arial" w:hAnsi="Arial" w:hint="default"/>
      </w:rPr>
    </w:lvl>
    <w:lvl w:ilvl="4" w:tplc="2D9AE0AE" w:tentative="1">
      <w:start w:val="1"/>
      <w:numFmt w:val="bullet"/>
      <w:lvlText w:val="–"/>
      <w:lvlJc w:val="left"/>
      <w:pPr>
        <w:tabs>
          <w:tab w:val="num" w:pos="3600"/>
        </w:tabs>
        <w:ind w:left="3600" w:hanging="360"/>
      </w:pPr>
      <w:rPr>
        <w:rFonts w:ascii="Arial" w:hAnsi="Arial" w:hint="default"/>
      </w:rPr>
    </w:lvl>
    <w:lvl w:ilvl="5" w:tplc="2E4442C6" w:tentative="1">
      <w:start w:val="1"/>
      <w:numFmt w:val="bullet"/>
      <w:lvlText w:val="–"/>
      <w:lvlJc w:val="left"/>
      <w:pPr>
        <w:tabs>
          <w:tab w:val="num" w:pos="4320"/>
        </w:tabs>
        <w:ind w:left="4320" w:hanging="360"/>
      </w:pPr>
      <w:rPr>
        <w:rFonts w:ascii="Arial" w:hAnsi="Arial" w:hint="default"/>
      </w:rPr>
    </w:lvl>
    <w:lvl w:ilvl="6" w:tplc="0D8CF65C" w:tentative="1">
      <w:start w:val="1"/>
      <w:numFmt w:val="bullet"/>
      <w:lvlText w:val="–"/>
      <w:lvlJc w:val="left"/>
      <w:pPr>
        <w:tabs>
          <w:tab w:val="num" w:pos="5040"/>
        </w:tabs>
        <w:ind w:left="5040" w:hanging="360"/>
      </w:pPr>
      <w:rPr>
        <w:rFonts w:ascii="Arial" w:hAnsi="Arial" w:hint="default"/>
      </w:rPr>
    </w:lvl>
    <w:lvl w:ilvl="7" w:tplc="D84ECD60" w:tentative="1">
      <w:start w:val="1"/>
      <w:numFmt w:val="bullet"/>
      <w:lvlText w:val="–"/>
      <w:lvlJc w:val="left"/>
      <w:pPr>
        <w:tabs>
          <w:tab w:val="num" w:pos="5760"/>
        </w:tabs>
        <w:ind w:left="5760" w:hanging="360"/>
      </w:pPr>
      <w:rPr>
        <w:rFonts w:ascii="Arial" w:hAnsi="Arial" w:hint="default"/>
      </w:rPr>
    </w:lvl>
    <w:lvl w:ilvl="8" w:tplc="9836CF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F6E4E"/>
    <w:multiLevelType w:val="hybridMultilevel"/>
    <w:tmpl w:val="FF1ED1CA"/>
    <w:lvl w:ilvl="0" w:tplc="AFFA89DC">
      <w:start w:val="1"/>
      <w:numFmt w:val="bullet"/>
      <w:lvlText w:val="•"/>
      <w:lvlJc w:val="left"/>
      <w:pPr>
        <w:tabs>
          <w:tab w:val="num" w:pos="720"/>
        </w:tabs>
        <w:ind w:left="720" w:hanging="360"/>
      </w:pPr>
      <w:rPr>
        <w:rFonts w:ascii="Arial" w:hAnsi="Arial" w:hint="default"/>
      </w:rPr>
    </w:lvl>
    <w:lvl w:ilvl="1" w:tplc="5BD8F4E4" w:tentative="1">
      <w:start w:val="1"/>
      <w:numFmt w:val="bullet"/>
      <w:lvlText w:val="•"/>
      <w:lvlJc w:val="left"/>
      <w:pPr>
        <w:tabs>
          <w:tab w:val="num" w:pos="1440"/>
        </w:tabs>
        <w:ind w:left="1440" w:hanging="360"/>
      </w:pPr>
      <w:rPr>
        <w:rFonts w:ascii="Arial" w:hAnsi="Arial" w:hint="default"/>
      </w:rPr>
    </w:lvl>
    <w:lvl w:ilvl="2" w:tplc="932EC70C" w:tentative="1">
      <w:start w:val="1"/>
      <w:numFmt w:val="bullet"/>
      <w:lvlText w:val="•"/>
      <w:lvlJc w:val="left"/>
      <w:pPr>
        <w:tabs>
          <w:tab w:val="num" w:pos="2160"/>
        </w:tabs>
        <w:ind w:left="2160" w:hanging="360"/>
      </w:pPr>
      <w:rPr>
        <w:rFonts w:ascii="Arial" w:hAnsi="Arial" w:hint="default"/>
      </w:rPr>
    </w:lvl>
    <w:lvl w:ilvl="3" w:tplc="CABAC642" w:tentative="1">
      <w:start w:val="1"/>
      <w:numFmt w:val="bullet"/>
      <w:lvlText w:val="•"/>
      <w:lvlJc w:val="left"/>
      <w:pPr>
        <w:tabs>
          <w:tab w:val="num" w:pos="2880"/>
        </w:tabs>
        <w:ind w:left="2880" w:hanging="360"/>
      </w:pPr>
      <w:rPr>
        <w:rFonts w:ascii="Arial" w:hAnsi="Arial" w:hint="default"/>
      </w:rPr>
    </w:lvl>
    <w:lvl w:ilvl="4" w:tplc="4A228412" w:tentative="1">
      <w:start w:val="1"/>
      <w:numFmt w:val="bullet"/>
      <w:lvlText w:val="•"/>
      <w:lvlJc w:val="left"/>
      <w:pPr>
        <w:tabs>
          <w:tab w:val="num" w:pos="3600"/>
        </w:tabs>
        <w:ind w:left="3600" w:hanging="360"/>
      </w:pPr>
      <w:rPr>
        <w:rFonts w:ascii="Arial" w:hAnsi="Arial" w:hint="default"/>
      </w:rPr>
    </w:lvl>
    <w:lvl w:ilvl="5" w:tplc="1B469F60" w:tentative="1">
      <w:start w:val="1"/>
      <w:numFmt w:val="bullet"/>
      <w:lvlText w:val="•"/>
      <w:lvlJc w:val="left"/>
      <w:pPr>
        <w:tabs>
          <w:tab w:val="num" w:pos="4320"/>
        </w:tabs>
        <w:ind w:left="4320" w:hanging="360"/>
      </w:pPr>
      <w:rPr>
        <w:rFonts w:ascii="Arial" w:hAnsi="Arial" w:hint="default"/>
      </w:rPr>
    </w:lvl>
    <w:lvl w:ilvl="6" w:tplc="9828C3A6" w:tentative="1">
      <w:start w:val="1"/>
      <w:numFmt w:val="bullet"/>
      <w:lvlText w:val="•"/>
      <w:lvlJc w:val="left"/>
      <w:pPr>
        <w:tabs>
          <w:tab w:val="num" w:pos="5040"/>
        </w:tabs>
        <w:ind w:left="5040" w:hanging="360"/>
      </w:pPr>
      <w:rPr>
        <w:rFonts w:ascii="Arial" w:hAnsi="Arial" w:hint="default"/>
      </w:rPr>
    </w:lvl>
    <w:lvl w:ilvl="7" w:tplc="4894AC8C" w:tentative="1">
      <w:start w:val="1"/>
      <w:numFmt w:val="bullet"/>
      <w:lvlText w:val="•"/>
      <w:lvlJc w:val="left"/>
      <w:pPr>
        <w:tabs>
          <w:tab w:val="num" w:pos="5760"/>
        </w:tabs>
        <w:ind w:left="5760" w:hanging="360"/>
      </w:pPr>
      <w:rPr>
        <w:rFonts w:ascii="Arial" w:hAnsi="Arial" w:hint="default"/>
      </w:rPr>
    </w:lvl>
    <w:lvl w:ilvl="8" w:tplc="0436EC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144869"/>
    <w:multiLevelType w:val="hybridMultilevel"/>
    <w:tmpl w:val="711A6C56"/>
    <w:lvl w:ilvl="0" w:tplc="75D848FE">
      <w:start w:val="1"/>
      <w:numFmt w:val="bullet"/>
      <w:lvlText w:val="–"/>
      <w:lvlJc w:val="left"/>
      <w:pPr>
        <w:tabs>
          <w:tab w:val="num" w:pos="720"/>
        </w:tabs>
        <w:ind w:left="720" w:hanging="360"/>
      </w:pPr>
      <w:rPr>
        <w:rFonts w:ascii="Arial" w:hAnsi="Arial" w:hint="default"/>
      </w:rPr>
    </w:lvl>
    <w:lvl w:ilvl="1" w:tplc="C9B48598">
      <w:start w:val="1"/>
      <w:numFmt w:val="bullet"/>
      <w:lvlText w:val="–"/>
      <w:lvlJc w:val="left"/>
      <w:pPr>
        <w:tabs>
          <w:tab w:val="num" w:pos="1440"/>
        </w:tabs>
        <w:ind w:left="1440" w:hanging="360"/>
      </w:pPr>
      <w:rPr>
        <w:rFonts w:ascii="Arial" w:hAnsi="Arial" w:hint="default"/>
      </w:rPr>
    </w:lvl>
    <w:lvl w:ilvl="2" w:tplc="76D66A6E" w:tentative="1">
      <w:start w:val="1"/>
      <w:numFmt w:val="bullet"/>
      <w:lvlText w:val="–"/>
      <w:lvlJc w:val="left"/>
      <w:pPr>
        <w:tabs>
          <w:tab w:val="num" w:pos="2160"/>
        </w:tabs>
        <w:ind w:left="2160" w:hanging="360"/>
      </w:pPr>
      <w:rPr>
        <w:rFonts w:ascii="Arial" w:hAnsi="Arial" w:hint="default"/>
      </w:rPr>
    </w:lvl>
    <w:lvl w:ilvl="3" w:tplc="554CBC18" w:tentative="1">
      <w:start w:val="1"/>
      <w:numFmt w:val="bullet"/>
      <w:lvlText w:val="–"/>
      <w:lvlJc w:val="left"/>
      <w:pPr>
        <w:tabs>
          <w:tab w:val="num" w:pos="2880"/>
        </w:tabs>
        <w:ind w:left="2880" w:hanging="360"/>
      </w:pPr>
      <w:rPr>
        <w:rFonts w:ascii="Arial" w:hAnsi="Arial" w:hint="default"/>
      </w:rPr>
    </w:lvl>
    <w:lvl w:ilvl="4" w:tplc="5E8EC8D6" w:tentative="1">
      <w:start w:val="1"/>
      <w:numFmt w:val="bullet"/>
      <w:lvlText w:val="–"/>
      <w:lvlJc w:val="left"/>
      <w:pPr>
        <w:tabs>
          <w:tab w:val="num" w:pos="3600"/>
        </w:tabs>
        <w:ind w:left="3600" w:hanging="360"/>
      </w:pPr>
      <w:rPr>
        <w:rFonts w:ascii="Arial" w:hAnsi="Arial" w:hint="default"/>
      </w:rPr>
    </w:lvl>
    <w:lvl w:ilvl="5" w:tplc="517A4FD2" w:tentative="1">
      <w:start w:val="1"/>
      <w:numFmt w:val="bullet"/>
      <w:lvlText w:val="–"/>
      <w:lvlJc w:val="left"/>
      <w:pPr>
        <w:tabs>
          <w:tab w:val="num" w:pos="4320"/>
        </w:tabs>
        <w:ind w:left="4320" w:hanging="360"/>
      </w:pPr>
      <w:rPr>
        <w:rFonts w:ascii="Arial" w:hAnsi="Arial" w:hint="default"/>
      </w:rPr>
    </w:lvl>
    <w:lvl w:ilvl="6" w:tplc="BEA8DC1E" w:tentative="1">
      <w:start w:val="1"/>
      <w:numFmt w:val="bullet"/>
      <w:lvlText w:val="–"/>
      <w:lvlJc w:val="left"/>
      <w:pPr>
        <w:tabs>
          <w:tab w:val="num" w:pos="5040"/>
        </w:tabs>
        <w:ind w:left="5040" w:hanging="360"/>
      </w:pPr>
      <w:rPr>
        <w:rFonts w:ascii="Arial" w:hAnsi="Arial" w:hint="default"/>
      </w:rPr>
    </w:lvl>
    <w:lvl w:ilvl="7" w:tplc="11B47986" w:tentative="1">
      <w:start w:val="1"/>
      <w:numFmt w:val="bullet"/>
      <w:lvlText w:val="–"/>
      <w:lvlJc w:val="left"/>
      <w:pPr>
        <w:tabs>
          <w:tab w:val="num" w:pos="5760"/>
        </w:tabs>
        <w:ind w:left="5760" w:hanging="360"/>
      </w:pPr>
      <w:rPr>
        <w:rFonts w:ascii="Arial" w:hAnsi="Arial" w:hint="default"/>
      </w:rPr>
    </w:lvl>
    <w:lvl w:ilvl="8" w:tplc="830CFD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063568"/>
    <w:multiLevelType w:val="hybridMultilevel"/>
    <w:tmpl w:val="40EAA7E2"/>
    <w:lvl w:ilvl="0" w:tplc="33D85064">
      <w:start w:val="1"/>
      <w:numFmt w:val="bullet"/>
      <w:lvlText w:val="–"/>
      <w:lvlJc w:val="left"/>
      <w:pPr>
        <w:tabs>
          <w:tab w:val="num" w:pos="720"/>
        </w:tabs>
        <w:ind w:left="720" w:hanging="360"/>
      </w:pPr>
      <w:rPr>
        <w:rFonts w:ascii="Arial" w:hAnsi="Arial" w:hint="default"/>
      </w:rPr>
    </w:lvl>
    <w:lvl w:ilvl="1" w:tplc="9DAEA724">
      <w:start w:val="1"/>
      <w:numFmt w:val="bullet"/>
      <w:lvlText w:val="–"/>
      <w:lvlJc w:val="left"/>
      <w:pPr>
        <w:tabs>
          <w:tab w:val="num" w:pos="1440"/>
        </w:tabs>
        <w:ind w:left="1440" w:hanging="360"/>
      </w:pPr>
      <w:rPr>
        <w:rFonts w:ascii="Arial" w:hAnsi="Arial" w:hint="default"/>
      </w:rPr>
    </w:lvl>
    <w:lvl w:ilvl="2" w:tplc="7C346FFC" w:tentative="1">
      <w:start w:val="1"/>
      <w:numFmt w:val="bullet"/>
      <w:lvlText w:val="–"/>
      <w:lvlJc w:val="left"/>
      <w:pPr>
        <w:tabs>
          <w:tab w:val="num" w:pos="2160"/>
        </w:tabs>
        <w:ind w:left="2160" w:hanging="360"/>
      </w:pPr>
      <w:rPr>
        <w:rFonts w:ascii="Arial" w:hAnsi="Arial" w:hint="default"/>
      </w:rPr>
    </w:lvl>
    <w:lvl w:ilvl="3" w:tplc="734239E2" w:tentative="1">
      <w:start w:val="1"/>
      <w:numFmt w:val="bullet"/>
      <w:lvlText w:val="–"/>
      <w:lvlJc w:val="left"/>
      <w:pPr>
        <w:tabs>
          <w:tab w:val="num" w:pos="2880"/>
        </w:tabs>
        <w:ind w:left="2880" w:hanging="360"/>
      </w:pPr>
      <w:rPr>
        <w:rFonts w:ascii="Arial" w:hAnsi="Arial" w:hint="default"/>
      </w:rPr>
    </w:lvl>
    <w:lvl w:ilvl="4" w:tplc="0C0A5C30" w:tentative="1">
      <w:start w:val="1"/>
      <w:numFmt w:val="bullet"/>
      <w:lvlText w:val="–"/>
      <w:lvlJc w:val="left"/>
      <w:pPr>
        <w:tabs>
          <w:tab w:val="num" w:pos="3600"/>
        </w:tabs>
        <w:ind w:left="3600" w:hanging="360"/>
      </w:pPr>
      <w:rPr>
        <w:rFonts w:ascii="Arial" w:hAnsi="Arial" w:hint="default"/>
      </w:rPr>
    </w:lvl>
    <w:lvl w:ilvl="5" w:tplc="1A5A3AA0" w:tentative="1">
      <w:start w:val="1"/>
      <w:numFmt w:val="bullet"/>
      <w:lvlText w:val="–"/>
      <w:lvlJc w:val="left"/>
      <w:pPr>
        <w:tabs>
          <w:tab w:val="num" w:pos="4320"/>
        </w:tabs>
        <w:ind w:left="4320" w:hanging="360"/>
      </w:pPr>
      <w:rPr>
        <w:rFonts w:ascii="Arial" w:hAnsi="Arial" w:hint="default"/>
      </w:rPr>
    </w:lvl>
    <w:lvl w:ilvl="6" w:tplc="5B2E463E" w:tentative="1">
      <w:start w:val="1"/>
      <w:numFmt w:val="bullet"/>
      <w:lvlText w:val="–"/>
      <w:lvlJc w:val="left"/>
      <w:pPr>
        <w:tabs>
          <w:tab w:val="num" w:pos="5040"/>
        </w:tabs>
        <w:ind w:left="5040" w:hanging="360"/>
      </w:pPr>
      <w:rPr>
        <w:rFonts w:ascii="Arial" w:hAnsi="Arial" w:hint="default"/>
      </w:rPr>
    </w:lvl>
    <w:lvl w:ilvl="7" w:tplc="1676FB7E" w:tentative="1">
      <w:start w:val="1"/>
      <w:numFmt w:val="bullet"/>
      <w:lvlText w:val="–"/>
      <w:lvlJc w:val="left"/>
      <w:pPr>
        <w:tabs>
          <w:tab w:val="num" w:pos="5760"/>
        </w:tabs>
        <w:ind w:left="5760" w:hanging="360"/>
      </w:pPr>
      <w:rPr>
        <w:rFonts w:ascii="Arial" w:hAnsi="Arial" w:hint="default"/>
      </w:rPr>
    </w:lvl>
    <w:lvl w:ilvl="8" w:tplc="AD5C57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7177E8"/>
    <w:multiLevelType w:val="hybridMultilevel"/>
    <w:tmpl w:val="C3A04BF6"/>
    <w:lvl w:ilvl="0" w:tplc="7EDA0B9C">
      <w:start w:val="1"/>
      <w:numFmt w:val="bullet"/>
      <w:lvlText w:val="–"/>
      <w:lvlJc w:val="left"/>
      <w:pPr>
        <w:tabs>
          <w:tab w:val="num" w:pos="720"/>
        </w:tabs>
        <w:ind w:left="720" w:hanging="360"/>
      </w:pPr>
      <w:rPr>
        <w:rFonts w:ascii="Arial" w:hAnsi="Arial" w:hint="default"/>
      </w:rPr>
    </w:lvl>
    <w:lvl w:ilvl="1" w:tplc="C3F07AC4">
      <w:start w:val="1"/>
      <w:numFmt w:val="bullet"/>
      <w:lvlText w:val="–"/>
      <w:lvlJc w:val="left"/>
      <w:pPr>
        <w:tabs>
          <w:tab w:val="num" w:pos="1440"/>
        </w:tabs>
        <w:ind w:left="1440" w:hanging="360"/>
      </w:pPr>
      <w:rPr>
        <w:rFonts w:ascii="Arial" w:hAnsi="Arial" w:hint="default"/>
      </w:rPr>
    </w:lvl>
    <w:lvl w:ilvl="2" w:tplc="53F4369A" w:tentative="1">
      <w:start w:val="1"/>
      <w:numFmt w:val="bullet"/>
      <w:lvlText w:val="–"/>
      <w:lvlJc w:val="left"/>
      <w:pPr>
        <w:tabs>
          <w:tab w:val="num" w:pos="2160"/>
        </w:tabs>
        <w:ind w:left="2160" w:hanging="360"/>
      </w:pPr>
      <w:rPr>
        <w:rFonts w:ascii="Arial" w:hAnsi="Arial" w:hint="default"/>
      </w:rPr>
    </w:lvl>
    <w:lvl w:ilvl="3" w:tplc="1C5C7C5A" w:tentative="1">
      <w:start w:val="1"/>
      <w:numFmt w:val="bullet"/>
      <w:lvlText w:val="–"/>
      <w:lvlJc w:val="left"/>
      <w:pPr>
        <w:tabs>
          <w:tab w:val="num" w:pos="2880"/>
        </w:tabs>
        <w:ind w:left="2880" w:hanging="360"/>
      </w:pPr>
      <w:rPr>
        <w:rFonts w:ascii="Arial" w:hAnsi="Arial" w:hint="default"/>
      </w:rPr>
    </w:lvl>
    <w:lvl w:ilvl="4" w:tplc="2A92A8FC" w:tentative="1">
      <w:start w:val="1"/>
      <w:numFmt w:val="bullet"/>
      <w:lvlText w:val="–"/>
      <w:lvlJc w:val="left"/>
      <w:pPr>
        <w:tabs>
          <w:tab w:val="num" w:pos="3600"/>
        </w:tabs>
        <w:ind w:left="3600" w:hanging="360"/>
      </w:pPr>
      <w:rPr>
        <w:rFonts w:ascii="Arial" w:hAnsi="Arial" w:hint="default"/>
      </w:rPr>
    </w:lvl>
    <w:lvl w:ilvl="5" w:tplc="682866DC" w:tentative="1">
      <w:start w:val="1"/>
      <w:numFmt w:val="bullet"/>
      <w:lvlText w:val="–"/>
      <w:lvlJc w:val="left"/>
      <w:pPr>
        <w:tabs>
          <w:tab w:val="num" w:pos="4320"/>
        </w:tabs>
        <w:ind w:left="4320" w:hanging="360"/>
      </w:pPr>
      <w:rPr>
        <w:rFonts w:ascii="Arial" w:hAnsi="Arial" w:hint="default"/>
      </w:rPr>
    </w:lvl>
    <w:lvl w:ilvl="6" w:tplc="7A70B862" w:tentative="1">
      <w:start w:val="1"/>
      <w:numFmt w:val="bullet"/>
      <w:lvlText w:val="–"/>
      <w:lvlJc w:val="left"/>
      <w:pPr>
        <w:tabs>
          <w:tab w:val="num" w:pos="5040"/>
        </w:tabs>
        <w:ind w:left="5040" w:hanging="360"/>
      </w:pPr>
      <w:rPr>
        <w:rFonts w:ascii="Arial" w:hAnsi="Arial" w:hint="default"/>
      </w:rPr>
    </w:lvl>
    <w:lvl w:ilvl="7" w:tplc="2B780612" w:tentative="1">
      <w:start w:val="1"/>
      <w:numFmt w:val="bullet"/>
      <w:lvlText w:val="–"/>
      <w:lvlJc w:val="left"/>
      <w:pPr>
        <w:tabs>
          <w:tab w:val="num" w:pos="5760"/>
        </w:tabs>
        <w:ind w:left="5760" w:hanging="360"/>
      </w:pPr>
      <w:rPr>
        <w:rFonts w:ascii="Arial" w:hAnsi="Arial" w:hint="default"/>
      </w:rPr>
    </w:lvl>
    <w:lvl w:ilvl="8" w:tplc="1AB4C9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4EB03A6"/>
    <w:multiLevelType w:val="hybridMultilevel"/>
    <w:tmpl w:val="5E149E60"/>
    <w:lvl w:ilvl="0" w:tplc="68367646">
      <w:start w:val="1"/>
      <w:numFmt w:val="bullet"/>
      <w:lvlText w:val="•"/>
      <w:lvlJc w:val="left"/>
      <w:pPr>
        <w:tabs>
          <w:tab w:val="num" w:pos="720"/>
        </w:tabs>
        <w:ind w:left="720" w:hanging="360"/>
      </w:pPr>
      <w:rPr>
        <w:rFonts w:ascii="Arial" w:hAnsi="Arial" w:hint="default"/>
      </w:rPr>
    </w:lvl>
    <w:lvl w:ilvl="1" w:tplc="F404E280" w:tentative="1">
      <w:start w:val="1"/>
      <w:numFmt w:val="bullet"/>
      <w:lvlText w:val="•"/>
      <w:lvlJc w:val="left"/>
      <w:pPr>
        <w:tabs>
          <w:tab w:val="num" w:pos="1440"/>
        </w:tabs>
        <w:ind w:left="1440" w:hanging="360"/>
      </w:pPr>
      <w:rPr>
        <w:rFonts w:ascii="Arial" w:hAnsi="Arial" w:hint="default"/>
      </w:rPr>
    </w:lvl>
    <w:lvl w:ilvl="2" w:tplc="C9044420" w:tentative="1">
      <w:start w:val="1"/>
      <w:numFmt w:val="bullet"/>
      <w:lvlText w:val="•"/>
      <w:lvlJc w:val="left"/>
      <w:pPr>
        <w:tabs>
          <w:tab w:val="num" w:pos="2160"/>
        </w:tabs>
        <w:ind w:left="2160" w:hanging="360"/>
      </w:pPr>
      <w:rPr>
        <w:rFonts w:ascii="Arial" w:hAnsi="Arial" w:hint="default"/>
      </w:rPr>
    </w:lvl>
    <w:lvl w:ilvl="3" w:tplc="DBEA6152" w:tentative="1">
      <w:start w:val="1"/>
      <w:numFmt w:val="bullet"/>
      <w:lvlText w:val="•"/>
      <w:lvlJc w:val="left"/>
      <w:pPr>
        <w:tabs>
          <w:tab w:val="num" w:pos="2880"/>
        </w:tabs>
        <w:ind w:left="2880" w:hanging="360"/>
      </w:pPr>
      <w:rPr>
        <w:rFonts w:ascii="Arial" w:hAnsi="Arial" w:hint="default"/>
      </w:rPr>
    </w:lvl>
    <w:lvl w:ilvl="4" w:tplc="DEBA0F66" w:tentative="1">
      <w:start w:val="1"/>
      <w:numFmt w:val="bullet"/>
      <w:lvlText w:val="•"/>
      <w:lvlJc w:val="left"/>
      <w:pPr>
        <w:tabs>
          <w:tab w:val="num" w:pos="3600"/>
        </w:tabs>
        <w:ind w:left="3600" w:hanging="360"/>
      </w:pPr>
      <w:rPr>
        <w:rFonts w:ascii="Arial" w:hAnsi="Arial" w:hint="default"/>
      </w:rPr>
    </w:lvl>
    <w:lvl w:ilvl="5" w:tplc="275EB48A" w:tentative="1">
      <w:start w:val="1"/>
      <w:numFmt w:val="bullet"/>
      <w:lvlText w:val="•"/>
      <w:lvlJc w:val="left"/>
      <w:pPr>
        <w:tabs>
          <w:tab w:val="num" w:pos="4320"/>
        </w:tabs>
        <w:ind w:left="4320" w:hanging="360"/>
      </w:pPr>
      <w:rPr>
        <w:rFonts w:ascii="Arial" w:hAnsi="Arial" w:hint="default"/>
      </w:rPr>
    </w:lvl>
    <w:lvl w:ilvl="6" w:tplc="B9C42A3E" w:tentative="1">
      <w:start w:val="1"/>
      <w:numFmt w:val="bullet"/>
      <w:lvlText w:val="•"/>
      <w:lvlJc w:val="left"/>
      <w:pPr>
        <w:tabs>
          <w:tab w:val="num" w:pos="5040"/>
        </w:tabs>
        <w:ind w:left="5040" w:hanging="360"/>
      </w:pPr>
      <w:rPr>
        <w:rFonts w:ascii="Arial" w:hAnsi="Arial" w:hint="default"/>
      </w:rPr>
    </w:lvl>
    <w:lvl w:ilvl="7" w:tplc="1276B954" w:tentative="1">
      <w:start w:val="1"/>
      <w:numFmt w:val="bullet"/>
      <w:lvlText w:val="•"/>
      <w:lvlJc w:val="left"/>
      <w:pPr>
        <w:tabs>
          <w:tab w:val="num" w:pos="5760"/>
        </w:tabs>
        <w:ind w:left="5760" w:hanging="360"/>
      </w:pPr>
      <w:rPr>
        <w:rFonts w:ascii="Arial" w:hAnsi="Arial" w:hint="default"/>
      </w:rPr>
    </w:lvl>
    <w:lvl w:ilvl="8" w:tplc="743815A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E90"/>
    <w:rsid w:val="00005EFA"/>
    <w:rsid w:val="00006385"/>
    <w:rsid w:val="0001152C"/>
    <w:rsid w:val="00015A04"/>
    <w:rsid w:val="00015D27"/>
    <w:rsid w:val="000168F8"/>
    <w:rsid w:val="000277F3"/>
    <w:rsid w:val="0003243F"/>
    <w:rsid w:val="0003486D"/>
    <w:rsid w:val="00035ECA"/>
    <w:rsid w:val="00037D03"/>
    <w:rsid w:val="0004072D"/>
    <w:rsid w:val="00045651"/>
    <w:rsid w:val="00045D10"/>
    <w:rsid w:val="00052288"/>
    <w:rsid w:val="00053049"/>
    <w:rsid w:val="00053B14"/>
    <w:rsid w:val="0005780C"/>
    <w:rsid w:val="0006033B"/>
    <w:rsid w:val="000839F5"/>
    <w:rsid w:val="000A5D08"/>
    <w:rsid w:val="000C063B"/>
    <w:rsid w:val="000C39DC"/>
    <w:rsid w:val="000E3375"/>
    <w:rsid w:val="000E70CF"/>
    <w:rsid w:val="000F13FF"/>
    <w:rsid w:val="00114C93"/>
    <w:rsid w:val="00134538"/>
    <w:rsid w:val="00136308"/>
    <w:rsid w:val="00161D83"/>
    <w:rsid w:val="001620A2"/>
    <w:rsid w:val="00184D90"/>
    <w:rsid w:val="001B2949"/>
    <w:rsid w:val="001B351B"/>
    <w:rsid w:val="001B4D9B"/>
    <w:rsid w:val="001C677E"/>
    <w:rsid w:val="001D19F8"/>
    <w:rsid w:val="0021309C"/>
    <w:rsid w:val="00214B6D"/>
    <w:rsid w:val="00216F50"/>
    <w:rsid w:val="0022792E"/>
    <w:rsid w:val="00230A62"/>
    <w:rsid w:val="00232F24"/>
    <w:rsid w:val="00241749"/>
    <w:rsid w:val="0025167A"/>
    <w:rsid w:val="002564CF"/>
    <w:rsid w:val="00257B5E"/>
    <w:rsid w:val="00271B2D"/>
    <w:rsid w:val="00274CDF"/>
    <w:rsid w:val="002772FC"/>
    <w:rsid w:val="00295B1F"/>
    <w:rsid w:val="002B080E"/>
    <w:rsid w:val="002B2E53"/>
    <w:rsid w:val="002B4F1B"/>
    <w:rsid w:val="002C3E08"/>
    <w:rsid w:val="002C487D"/>
    <w:rsid w:val="002D6292"/>
    <w:rsid w:val="002E6E27"/>
    <w:rsid w:val="002F1A58"/>
    <w:rsid w:val="002F24DD"/>
    <w:rsid w:val="002F3622"/>
    <w:rsid w:val="00310225"/>
    <w:rsid w:val="00310E59"/>
    <w:rsid w:val="0031122E"/>
    <w:rsid w:val="003123A7"/>
    <w:rsid w:val="00313F08"/>
    <w:rsid w:val="00332BA2"/>
    <w:rsid w:val="0033413A"/>
    <w:rsid w:val="00337E01"/>
    <w:rsid w:val="0035443B"/>
    <w:rsid w:val="003549ED"/>
    <w:rsid w:val="003665F6"/>
    <w:rsid w:val="0037588B"/>
    <w:rsid w:val="00391FDE"/>
    <w:rsid w:val="00395567"/>
    <w:rsid w:val="00396BBD"/>
    <w:rsid w:val="003B15D0"/>
    <w:rsid w:val="003B4181"/>
    <w:rsid w:val="003C4A94"/>
    <w:rsid w:val="003D50B2"/>
    <w:rsid w:val="003E0CF8"/>
    <w:rsid w:val="003E3E4D"/>
    <w:rsid w:val="003E669D"/>
    <w:rsid w:val="00402469"/>
    <w:rsid w:val="00405ECB"/>
    <w:rsid w:val="00412C0C"/>
    <w:rsid w:val="004245CD"/>
    <w:rsid w:val="00426635"/>
    <w:rsid w:val="00436372"/>
    <w:rsid w:val="0044019A"/>
    <w:rsid w:val="0044551E"/>
    <w:rsid w:val="004473FA"/>
    <w:rsid w:val="004510CB"/>
    <w:rsid w:val="0045220A"/>
    <w:rsid w:val="00481F9D"/>
    <w:rsid w:val="00482F12"/>
    <w:rsid w:val="00492F06"/>
    <w:rsid w:val="0049630C"/>
    <w:rsid w:val="004A24FC"/>
    <w:rsid w:val="004B1952"/>
    <w:rsid w:val="004C009E"/>
    <w:rsid w:val="004E5B50"/>
    <w:rsid w:val="004E7FFC"/>
    <w:rsid w:val="004F37E0"/>
    <w:rsid w:val="004F776B"/>
    <w:rsid w:val="00507D75"/>
    <w:rsid w:val="005243F0"/>
    <w:rsid w:val="0053143E"/>
    <w:rsid w:val="00531518"/>
    <w:rsid w:val="005342C8"/>
    <w:rsid w:val="005518A8"/>
    <w:rsid w:val="00551B0A"/>
    <w:rsid w:val="00555BC4"/>
    <w:rsid w:val="005606D7"/>
    <w:rsid w:val="00564098"/>
    <w:rsid w:val="005711C6"/>
    <w:rsid w:val="00572570"/>
    <w:rsid w:val="0057385C"/>
    <w:rsid w:val="0058582F"/>
    <w:rsid w:val="005861D4"/>
    <w:rsid w:val="005866B3"/>
    <w:rsid w:val="00587AA3"/>
    <w:rsid w:val="00593549"/>
    <w:rsid w:val="005945B8"/>
    <w:rsid w:val="005B02E6"/>
    <w:rsid w:val="005B7592"/>
    <w:rsid w:val="005C0BC6"/>
    <w:rsid w:val="005C297D"/>
    <w:rsid w:val="005C7EFA"/>
    <w:rsid w:val="005E0A81"/>
    <w:rsid w:val="005E206B"/>
    <w:rsid w:val="005E4610"/>
    <w:rsid w:val="005E501A"/>
    <w:rsid w:val="005E5745"/>
    <w:rsid w:val="005F5187"/>
    <w:rsid w:val="005F5980"/>
    <w:rsid w:val="00600B8C"/>
    <w:rsid w:val="00607BF5"/>
    <w:rsid w:val="006139A9"/>
    <w:rsid w:val="00637BB8"/>
    <w:rsid w:val="00643C2C"/>
    <w:rsid w:val="00643EC6"/>
    <w:rsid w:val="00644764"/>
    <w:rsid w:val="006457D8"/>
    <w:rsid w:val="00655DE1"/>
    <w:rsid w:val="006649EA"/>
    <w:rsid w:val="00667488"/>
    <w:rsid w:val="006765B2"/>
    <w:rsid w:val="00680167"/>
    <w:rsid w:val="006869B0"/>
    <w:rsid w:val="0069261E"/>
    <w:rsid w:val="00696207"/>
    <w:rsid w:val="006B3E14"/>
    <w:rsid w:val="006C0E6A"/>
    <w:rsid w:val="006C32D5"/>
    <w:rsid w:val="006C4133"/>
    <w:rsid w:val="006C6164"/>
    <w:rsid w:val="006D5418"/>
    <w:rsid w:val="006F35C1"/>
    <w:rsid w:val="006F431D"/>
    <w:rsid w:val="0070251B"/>
    <w:rsid w:val="00705475"/>
    <w:rsid w:val="007061E5"/>
    <w:rsid w:val="007124CC"/>
    <w:rsid w:val="00723164"/>
    <w:rsid w:val="0072428C"/>
    <w:rsid w:val="007252DE"/>
    <w:rsid w:val="00731F1C"/>
    <w:rsid w:val="00734EE7"/>
    <w:rsid w:val="007376D8"/>
    <w:rsid w:val="00741FD7"/>
    <w:rsid w:val="00744089"/>
    <w:rsid w:val="00744EB3"/>
    <w:rsid w:val="0076179E"/>
    <w:rsid w:val="00773532"/>
    <w:rsid w:val="0077476B"/>
    <w:rsid w:val="00780CA7"/>
    <w:rsid w:val="0078206E"/>
    <w:rsid w:val="007935C5"/>
    <w:rsid w:val="007940C9"/>
    <w:rsid w:val="007A10D8"/>
    <w:rsid w:val="007A4DAA"/>
    <w:rsid w:val="007B00D1"/>
    <w:rsid w:val="007C3412"/>
    <w:rsid w:val="007E667C"/>
    <w:rsid w:val="007F0867"/>
    <w:rsid w:val="007F2562"/>
    <w:rsid w:val="007F4AD4"/>
    <w:rsid w:val="007F50C4"/>
    <w:rsid w:val="007F5394"/>
    <w:rsid w:val="008040F7"/>
    <w:rsid w:val="00817194"/>
    <w:rsid w:val="00822502"/>
    <w:rsid w:val="00834941"/>
    <w:rsid w:val="00834CF6"/>
    <w:rsid w:val="008506EE"/>
    <w:rsid w:val="00850F36"/>
    <w:rsid w:val="00870327"/>
    <w:rsid w:val="00870570"/>
    <w:rsid w:val="008805B3"/>
    <w:rsid w:val="00885CF3"/>
    <w:rsid w:val="008878CF"/>
    <w:rsid w:val="00892FD1"/>
    <w:rsid w:val="00896FE7"/>
    <w:rsid w:val="008A5FE2"/>
    <w:rsid w:val="008B2389"/>
    <w:rsid w:val="008B4EAA"/>
    <w:rsid w:val="008C3384"/>
    <w:rsid w:val="008C3C57"/>
    <w:rsid w:val="008D29F1"/>
    <w:rsid w:val="008D59DC"/>
    <w:rsid w:val="008E6428"/>
    <w:rsid w:val="008E6E0E"/>
    <w:rsid w:val="008E752B"/>
    <w:rsid w:val="009006F4"/>
    <w:rsid w:val="00907A82"/>
    <w:rsid w:val="009103BC"/>
    <w:rsid w:val="00911780"/>
    <w:rsid w:val="009134B4"/>
    <w:rsid w:val="00914F2F"/>
    <w:rsid w:val="009260D8"/>
    <w:rsid w:val="00942853"/>
    <w:rsid w:val="009508C0"/>
    <w:rsid w:val="00954970"/>
    <w:rsid w:val="00973131"/>
    <w:rsid w:val="009A6C3F"/>
    <w:rsid w:val="009B65FE"/>
    <w:rsid w:val="009C1363"/>
    <w:rsid w:val="009C3584"/>
    <w:rsid w:val="009C4E17"/>
    <w:rsid w:val="009C68F8"/>
    <w:rsid w:val="009D0CAD"/>
    <w:rsid w:val="009D0F6A"/>
    <w:rsid w:val="009D4CB6"/>
    <w:rsid w:val="009E314D"/>
    <w:rsid w:val="009E4DB6"/>
    <w:rsid w:val="009F1696"/>
    <w:rsid w:val="009F44F3"/>
    <w:rsid w:val="00A0107D"/>
    <w:rsid w:val="00A14CCD"/>
    <w:rsid w:val="00A23880"/>
    <w:rsid w:val="00A24337"/>
    <w:rsid w:val="00A34EC8"/>
    <w:rsid w:val="00A3527B"/>
    <w:rsid w:val="00A4449E"/>
    <w:rsid w:val="00A538B7"/>
    <w:rsid w:val="00A54595"/>
    <w:rsid w:val="00A710F7"/>
    <w:rsid w:val="00A7185C"/>
    <w:rsid w:val="00A74523"/>
    <w:rsid w:val="00A81356"/>
    <w:rsid w:val="00A90A06"/>
    <w:rsid w:val="00A94DC8"/>
    <w:rsid w:val="00AA49FC"/>
    <w:rsid w:val="00AA76D4"/>
    <w:rsid w:val="00AB7C96"/>
    <w:rsid w:val="00AC0C21"/>
    <w:rsid w:val="00AC2662"/>
    <w:rsid w:val="00AC7A1C"/>
    <w:rsid w:val="00AD541B"/>
    <w:rsid w:val="00AE52CE"/>
    <w:rsid w:val="00AF02D7"/>
    <w:rsid w:val="00AF47CB"/>
    <w:rsid w:val="00AF6BB2"/>
    <w:rsid w:val="00B005FF"/>
    <w:rsid w:val="00B20816"/>
    <w:rsid w:val="00B301B7"/>
    <w:rsid w:val="00B42557"/>
    <w:rsid w:val="00B42C7B"/>
    <w:rsid w:val="00B51757"/>
    <w:rsid w:val="00B5256C"/>
    <w:rsid w:val="00B52E3F"/>
    <w:rsid w:val="00B87454"/>
    <w:rsid w:val="00B96181"/>
    <w:rsid w:val="00BA1351"/>
    <w:rsid w:val="00BC4822"/>
    <w:rsid w:val="00BC544E"/>
    <w:rsid w:val="00BC651D"/>
    <w:rsid w:val="00BD40FD"/>
    <w:rsid w:val="00BD6511"/>
    <w:rsid w:val="00BE0AA6"/>
    <w:rsid w:val="00BF463F"/>
    <w:rsid w:val="00BF6C41"/>
    <w:rsid w:val="00C02524"/>
    <w:rsid w:val="00C046E9"/>
    <w:rsid w:val="00C05C32"/>
    <w:rsid w:val="00C21841"/>
    <w:rsid w:val="00C30619"/>
    <w:rsid w:val="00C34F6B"/>
    <w:rsid w:val="00C43C85"/>
    <w:rsid w:val="00C54F68"/>
    <w:rsid w:val="00C63FAB"/>
    <w:rsid w:val="00C6769A"/>
    <w:rsid w:val="00C730B6"/>
    <w:rsid w:val="00C74E40"/>
    <w:rsid w:val="00C82795"/>
    <w:rsid w:val="00C96499"/>
    <w:rsid w:val="00C9798A"/>
    <w:rsid w:val="00CA1524"/>
    <w:rsid w:val="00CB15E3"/>
    <w:rsid w:val="00CB60A0"/>
    <w:rsid w:val="00CC0B3B"/>
    <w:rsid w:val="00CC54FD"/>
    <w:rsid w:val="00CD03F5"/>
    <w:rsid w:val="00CD28E7"/>
    <w:rsid w:val="00CD44F0"/>
    <w:rsid w:val="00CD4E0C"/>
    <w:rsid w:val="00CE7638"/>
    <w:rsid w:val="00CF2660"/>
    <w:rsid w:val="00CF7C7F"/>
    <w:rsid w:val="00D02BFF"/>
    <w:rsid w:val="00D1564F"/>
    <w:rsid w:val="00D22E7A"/>
    <w:rsid w:val="00D352F2"/>
    <w:rsid w:val="00D374BA"/>
    <w:rsid w:val="00D448F8"/>
    <w:rsid w:val="00D647DF"/>
    <w:rsid w:val="00D71A5F"/>
    <w:rsid w:val="00D73953"/>
    <w:rsid w:val="00D74F9F"/>
    <w:rsid w:val="00D820CC"/>
    <w:rsid w:val="00D9008C"/>
    <w:rsid w:val="00DA0FFE"/>
    <w:rsid w:val="00DA11D8"/>
    <w:rsid w:val="00DB0651"/>
    <w:rsid w:val="00DB4AB3"/>
    <w:rsid w:val="00DB6E77"/>
    <w:rsid w:val="00DC03D4"/>
    <w:rsid w:val="00DC5AEF"/>
    <w:rsid w:val="00DD325E"/>
    <w:rsid w:val="00DD5ECA"/>
    <w:rsid w:val="00DE1B72"/>
    <w:rsid w:val="00DE4366"/>
    <w:rsid w:val="00E04DC7"/>
    <w:rsid w:val="00E17E7C"/>
    <w:rsid w:val="00E252DD"/>
    <w:rsid w:val="00E344F2"/>
    <w:rsid w:val="00E34B11"/>
    <w:rsid w:val="00E3588A"/>
    <w:rsid w:val="00E55F1A"/>
    <w:rsid w:val="00E565A9"/>
    <w:rsid w:val="00E626A9"/>
    <w:rsid w:val="00E66A67"/>
    <w:rsid w:val="00E72DEB"/>
    <w:rsid w:val="00E81853"/>
    <w:rsid w:val="00E828D2"/>
    <w:rsid w:val="00E9073A"/>
    <w:rsid w:val="00E916B3"/>
    <w:rsid w:val="00E9283E"/>
    <w:rsid w:val="00E92F09"/>
    <w:rsid w:val="00E949D4"/>
    <w:rsid w:val="00E94F65"/>
    <w:rsid w:val="00E96455"/>
    <w:rsid w:val="00E96C81"/>
    <w:rsid w:val="00EA602B"/>
    <w:rsid w:val="00EB16CA"/>
    <w:rsid w:val="00EB1C87"/>
    <w:rsid w:val="00EB7A17"/>
    <w:rsid w:val="00EB7E90"/>
    <w:rsid w:val="00EC377C"/>
    <w:rsid w:val="00EC4DF4"/>
    <w:rsid w:val="00ED0408"/>
    <w:rsid w:val="00ED506F"/>
    <w:rsid w:val="00ED5D40"/>
    <w:rsid w:val="00ED6C3C"/>
    <w:rsid w:val="00EE0749"/>
    <w:rsid w:val="00EE12E0"/>
    <w:rsid w:val="00EE19CD"/>
    <w:rsid w:val="00EE516E"/>
    <w:rsid w:val="00EE6BCE"/>
    <w:rsid w:val="00EF152C"/>
    <w:rsid w:val="00EF2DDF"/>
    <w:rsid w:val="00EF6058"/>
    <w:rsid w:val="00EF6B98"/>
    <w:rsid w:val="00F0376E"/>
    <w:rsid w:val="00F07C31"/>
    <w:rsid w:val="00F11F40"/>
    <w:rsid w:val="00F15BDF"/>
    <w:rsid w:val="00F1657D"/>
    <w:rsid w:val="00F238AD"/>
    <w:rsid w:val="00F274FF"/>
    <w:rsid w:val="00F2797E"/>
    <w:rsid w:val="00F3035C"/>
    <w:rsid w:val="00F3572F"/>
    <w:rsid w:val="00F36972"/>
    <w:rsid w:val="00F4129B"/>
    <w:rsid w:val="00F45042"/>
    <w:rsid w:val="00F549E5"/>
    <w:rsid w:val="00F62501"/>
    <w:rsid w:val="00F62E5F"/>
    <w:rsid w:val="00F80B54"/>
    <w:rsid w:val="00F83A35"/>
    <w:rsid w:val="00F94F0C"/>
    <w:rsid w:val="00FA0BA9"/>
    <w:rsid w:val="00FB402A"/>
    <w:rsid w:val="00FB7EB0"/>
    <w:rsid w:val="00FC3AAB"/>
    <w:rsid w:val="00FD257C"/>
    <w:rsid w:val="00FD6553"/>
    <w:rsid w:val="00FD74BC"/>
    <w:rsid w:val="00FE4F64"/>
    <w:rsid w:val="00FE7B70"/>
    <w:rsid w:val="00FF2647"/>
    <w:rsid w:val="00FF57D6"/>
    <w:rsid w:val="00FF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8F3F0"/>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350105">
      <w:bodyDiv w:val="1"/>
      <w:marLeft w:val="0"/>
      <w:marRight w:val="0"/>
      <w:marTop w:val="0"/>
      <w:marBottom w:val="0"/>
      <w:divBdr>
        <w:top w:val="none" w:sz="0" w:space="0" w:color="auto"/>
        <w:left w:val="none" w:sz="0" w:space="0" w:color="auto"/>
        <w:bottom w:val="none" w:sz="0" w:space="0" w:color="auto"/>
        <w:right w:val="none" w:sz="0" w:space="0" w:color="auto"/>
      </w:divBdr>
      <w:divsChild>
        <w:div w:id="1971545763">
          <w:marLeft w:val="878"/>
          <w:marRight w:val="0"/>
          <w:marTop w:val="86"/>
          <w:marBottom w:val="0"/>
          <w:divBdr>
            <w:top w:val="none" w:sz="0" w:space="0" w:color="auto"/>
            <w:left w:val="none" w:sz="0" w:space="0" w:color="auto"/>
            <w:bottom w:val="none" w:sz="0" w:space="0" w:color="auto"/>
            <w:right w:val="none" w:sz="0" w:space="0" w:color="auto"/>
          </w:divBdr>
        </w:div>
      </w:divsChild>
    </w:div>
    <w:div w:id="324549631">
      <w:bodyDiv w:val="1"/>
      <w:marLeft w:val="0"/>
      <w:marRight w:val="0"/>
      <w:marTop w:val="0"/>
      <w:marBottom w:val="0"/>
      <w:divBdr>
        <w:top w:val="none" w:sz="0" w:space="0" w:color="auto"/>
        <w:left w:val="none" w:sz="0" w:space="0" w:color="auto"/>
        <w:bottom w:val="none" w:sz="0" w:space="0" w:color="auto"/>
        <w:right w:val="none" w:sz="0" w:space="0" w:color="auto"/>
      </w:divBdr>
      <w:divsChild>
        <w:div w:id="1527448216">
          <w:marLeft w:val="1354"/>
          <w:marRight w:val="0"/>
          <w:marTop w:val="67"/>
          <w:marBottom w:val="0"/>
          <w:divBdr>
            <w:top w:val="none" w:sz="0" w:space="0" w:color="auto"/>
            <w:left w:val="none" w:sz="0" w:space="0" w:color="auto"/>
            <w:bottom w:val="none" w:sz="0" w:space="0" w:color="auto"/>
            <w:right w:val="none" w:sz="0" w:space="0" w:color="auto"/>
          </w:divBdr>
        </w:div>
      </w:divsChild>
    </w:div>
    <w:div w:id="409498748">
      <w:bodyDiv w:val="1"/>
      <w:marLeft w:val="0"/>
      <w:marRight w:val="0"/>
      <w:marTop w:val="0"/>
      <w:marBottom w:val="0"/>
      <w:divBdr>
        <w:top w:val="none" w:sz="0" w:space="0" w:color="auto"/>
        <w:left w:val="none" w:sz="0" w:space="0" w:color="auto"/>
        <w:bottom w:val="none" w:sz="0" w:space="0" w:color="auto"/>
        <w:right w:val="none" w:sz="0" w:space="0" w:color="auto"/>
      </w:divBdr>
      <w:divsChild>
        <w:div w:id="518783700">
          <w:marLeft w:val="547"/>
          <w:marRight w:val="0"/>
          <w:marTop w:val="77"/>
          <w:marBottom w:val="0"/>
          <w:divBdr>
            <w:top w:val="none" w:sz="0" w:space="0" w:color="auto"/>
            <w:left w:val="none" w:sz="0" w:space="0" w:color="auto"/>
            <w:bottom w:val="none" w:sz="0" w:space="0" w:color="auto"/>
            <w:right w:val="none" w:sz="0" w:space="0" w:color="auto"/>
          </w:divBdr>
        </w:div>
      </w:divsChild>
    </w:div>
    <w:div w:id="439842952">
      <w:bodyDiv w:val="1"/>
      <w:marLeft w:val="0"/>
      <w:marRight w:val="0"/>
      <w:marTop w:val="0"/>
      <w:marBottom w:val="0"/>
      <w:divBdr>
        <w:top w:val="none" w:sz="0" w:space="0" w:color="auto"/>
        <w:left w:val="none" w:sz="0" w:space="0" w:color="auto"/>
        <w:bottom w:val="none" w:sz="0" w:space="0" w:color="auto"/>
        <w:right w:val="none" w:sz="0" w:space="0" w:color="auto"/>
      </w:divBdr>
      <w:divsChild>
        <w:div w:id="272708038">
          <w:marLeft w:val="878"/>
          <w:marRight w:val="0"/>
          <w:marTop w:val="86"/>
          <w:marBottom w:val="0"/>
          <w:divBdr>
            <w:top w:val="none" w:sz="0" w:space="0" w:color="auto"/>
            <w:left w:val="none" w:sz="0" w:space="0" w:color="auto"/>
            <w:bottom w:val="none" w:sz="0" w:space="0" w:color="auto"/>
            <w:right w:val="none" w:sz="0" w:space="0" w:color="auto"/>
          </w:divBdr>
        </w:div>
      </w:divsChild>
    </w:div>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674190859">
      <w:bodyDiv w:val="1"/>
      <w:marLeft w:val="0"/>
      <w:marRight w:val="0"/>
      <w:marTop w:val="0"/>
      <w:marBottom w:val="0"/>
      <w:divBdr>
        <w:top w:val="none" w:sz="0" w:space="0" w:color="auto"/>
        <w:left w:val="none" w:sz="0" w:space="0" w:color="auto"/>
        <w:bottom w:val="none" w:sz="0" w:space="0" w:color="auto"/>
        <w:right w:val="none" w:sz="0" w:space="0" w:color="auto"/>
      </w:divBdr>
      <w:divsChild>
        <w:div w:id="822509454">
          <w:marLeft w:val="878"/>
          <w:marRight w:val="0"/>
          <w:marTop w:val="86"/>
          <w:marBottom w:val="0"/>
          <w:divBdr>
            <w:top w:val="none" w:sz="0" w:space="0" w:color="auto"/>
            <w:left w:val="none" w:sz="0" w:space="0" w:color="auto"/>
            <w:bottom w:val="none" w:sz="0" w:space="0" w:color="auto"/>
            <w:right w:val="none" w:sz="0" w:space="0" w:color="auto"/>
          </w:divBdr>
        </w:div>
      </w:divsChild>
    </w:div>
    <w:div w:id="826166743">
      <w:bodyDiv w:val="1"/>
      <w:marLeft w:val="0"/>
      <w:marRight w:val="0"/>
      <w:marTop w:val="0"/>
      <w:marBottom w:val="0"/>
      <w:divBdr>
        <w:top w:val="none" w:sz="0" w:space="0" w:color="auto"/>
        <w:left w:val="none" w:sz="0" w:space="0" w:color="auto"/>
        <w:bottom w:val="none" w:sz="0" w:space="0" w:color="auto"/>
        <w:right w:val="none" w:sz="0" w:space="0" w:color="auto"/>
      </w:divBdr>
      <w:divsChild>
        <w:div w:id="1204294829">
          <w:marLeft w:val="547"/>
          <w:marRight w:val="0"/>
          <w:marTop w:val="77"/>
          <w:marBottom w:val="0"/>
          <w:divBdr>
            <w:top w:val="none" w:sz="0" w:space="0" w:color="auto"/>
            <w:left w:val="none" w:sz="0" w:space="0" w:color="auto"/>
            <w:bottom w:val="none" w:sz="0" w:space="0" w:color="auto"/>
            <w:right w:val="none" w:sz="0" w:space="0" w:color="auto"/>
          </w:divBdr>
        </w:div>
      </w:divsChild>
    </w:div>
    <w:div w:id="898596652">
      <w:bodyDiv w:val="1"/>
      <w:marLeft w:val="0"/>
      <w:marRight w:val="0"/>
      <w:marTop w:val="0"/>
      <w:marBottom w:val="0"/>
      <w:divBdr>
        <w:top w:val="none" w:sz="0" w:space="0" w:color="auto"/>
        <w:left w:val="none" w:sz="0" w:space="0" w:color="auto"/>
        <w:bottom w:val="none" w:sz="0" w:space="0" w:color="auto"/>
        <w:right w:val="none" w:sz="0" w:space="0" w:color="auto"/>
      </w:divBdr>
      <w:divsChild>
        <w:div w:id="652298019">
          <w:marLeft w:val="403"/>
          <w:marRight w:val="0"/>
          <w:marTop w:val="77"/>
          <w:marBottom w:val="0"/>
          <w:divBdr>
            <w:top w:val="none" w:sz="0" w:space="0" w:color="auto"/>
            <w:left w:val="none" w:sz="0" w:space="0" w:color="auto"/>
            <w:bottom w:val="none" w:sz="0" w:space="0" w:color="auto"/>
            <w:right w:val="none" w:sz="0" w:space="0" w:color="auto"/>
          </w:divBdr>
        </w:div>
      </w:divsChild>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 w:id="1243179290">
      <w:bodyDiv w:val="1"/>
      <w:marLeft w:val="0"/>
      <w:marRight w:val="0"/>
      <w:marTop w:val="0"/>
      <w:marBottom w:val="0"/>
      <w:divBdr>
        <w:top w:val="none" w:sz="0" w:space="0" w:color="auto"/>
        <w:left w:val="none" w:sz="0" w:space="0" w:color="auto"/>
        <w:bottom w:val="none" w:sz="0" w:space="0" w:color="auto"/>
        <w:right w:val="none" w:sz="0" w:space="0" w:color="auto"/>
      </w:divBdr>
      <w:divsChild>
        <w:div w:id="989941283">
          <w:marLeft w:val="547"/>
          <w:marRight w:val="0"/>
          <w:marTop w:val="77"/>
          <w:marBottom w:val="0"/>
          <w:divBdr>
            <w:top w:val="none" w:sz="0" w:space="0" w:color="auto"/>
            <w:left w:val="none" w:sz="0" w:space="0" w:color="auto"/>
            <w:bottom w:val="none" w:sz="0" w:space="0" w:color="auto"/>
            <w:right w:val="none" w:sz="0" w:space="0" w:color="auto"/>
          </w:divBdr>
        </w:div>
        <w:div w:id="435176866">
          <w:marLeft w:val="547"/>
          <w:marRight w:val="0"/>
          <w:marTop w:val="77"/>
          <w:marBottom w:val="0"/>
          <w:divBdr>
            <w:top w:val="none" w:sz="0" w:space="0" w:color="auto"/>
            <w:left w:val="none" w:sz="0" w:space="0" w:color="auto"/>
            <w:bottom w:val="none" w:sz="0" w:space="0" w:color="auto"/>
            <w:right w:val="none" w:sz="0" w:space="0" w:color="auto"/>
          </w:divBdr>
        </w:div>
        <w:div w:id="713889485">
          <w:marLeft w:val="547"/>
          <w:marRight w:val="0"/>
          <w:marTop w:val="77"/>
          <w:marBottom w:val="0"/>
          <w:divBdr>
            <w:top w:val="none" w:sz="0" w:space="0" w:color="auto"/>
            <w:left w:val="none" w:sz="0" w:space="0" w:color="auto"/>
            <w:bottom w:val="none" w:sz="0" w:space="0" w:color="auto"/>
            <w:right w:val="none" w:sz="0" w:space="0" w:color="auto"/>
          </w:divBdr>
        </w:div>
      </w:divsChild>
    </w:div>
    <w:div w:id="1313875541">
      <w:bodyDiv w:val="1"/>
      <w:marLeft w:val="0"/>
      <w:marRight w:val="0"/>
      <w:marTop w:val="0"/>
      <w:marBottom w:val="0"/>
      <w:divBdr>
        <w:top w:val="none" w:sz="0" w:space="0" w:color="auto"/>
        <w:left w:val="none" w:sz="0" w:space="0" w:color="auto"/>
        <w:bottom w:val="none" w:sz="0" w:space="0" w:color="auto"/>
        <w:right w:val="none" w:sz="0" w:space="0" w:color="auto"/>
      </w:divBdr>
      <w:divsChild>
        <w:div w:id="1762334373">
          <w:marLeft w:val="878"/>
          <w:marRight w:val="0"/>
          <w:marTop w:val="86"/>
          <w:marBottom w:val="0"/>
          <w:divBdr>
            <w:top w:val="none" w:sz="0" w:space="0" w:color="auto"/>
            <w:left w:val="none" w:sz="0" w:space="0" w:color="auto"/>
            <w:bottom w:val="none" w:sz="0" w:space="0" w:color="auto"/>
            <w:right w:val="none" w:sz="0" w:space="0" w:color="auto"/>
          </w:divBdr>
        </w:div>
      </w:divsChild>
    </w:div>
    <w:div w:id="1403406906">
      <w:bodyDiv w:val="1"/>
      <w:marLeft w:val="0"/>
      <w:marRight w:val="0"/>
      <w:marTop w:val="0"/>
      <w:marBottom w:val="0"/>
      <w:divBdr>
        <w:top w:val="none" w:sz="0" w:space="0" w:color="auto"/>
        <w:left w:val="none" w:sz="0" w:space="0" w:color="auto"/>
        <w:bottom w:val="none" w:sz="0" w:space="0" w:color="auto"/>
        <w:right w:val="none" w:sz="0" w:space="0" w:color="auto"/>
      </w:divBdr>
      <w:divsChild>
        <w:div w:id="289559023">
          <w:marLeft w:val="403"/>
          <w:marRight w:val="0"/>
          <w:marTop w:val="86"/>
          <w:marBottom w:val="0"/>
          <w:divBdr>
            <w:top w:val="none" w:sz="0" w:space="0" w:color="auto"/>
            <w:left w:val="none" w:sz="0" w:space="0" w:color="auto"/>
            <w:bottom w:val="none" w:sz="0" w:space="0" w:color="auto"/>
            <w:right w:val="none" w:sz="0" w:space="0" w:color="auto"/>
          </w:divBdr>
        </w:div>
      </w:divsChild>
    </w:div>
    <w:div w:id="1777141527">
      <w:bodyDiv w:val="1"/>
      <w:marLeft w:val="0"/>
      <w:marRight w:val="0"/>
      <w:marTop w:val="0"/>
      <w:marBottom w:val="0"/>
      <w:divBdr>
        <w:top w:val="none" w:sz="0" w:space="0" w:color="auto"/>
        <w:left w:val="none" w:sz="0" w:space="0" w:color="auto"/>
        <w:bottom w:val="none" w:sz="0" w:space="0" w:color="auto"/>
        <w:right w:val="none" w:sz="0" w:space="0" w:color="auto"/>
      </w:divBdr>
    </w:div>
    <w:div w:id="2092237894">
      <w:bodyDiv w:val="1"/>
      <w:marLeft w:val="0"/>
      <w:marRight w:val="0"/>
      <w:marTop w:val="0"/>
      <w:marBottom w:val="0"/>
      <w:divBdr>
        <w:top w:val="none" w:sz="0" w:space="0" w:color="auto"/>
        <w:left w:val="none" w:sz="0" w:space="0" w:color="auto"/>
        <w:bottom w:val="none" w:sz="0" w:space="0" w:color="auto"/>
        <w:right w:val="none" w:sz="0" w:space="0" w:color="auto"/>
      </w:divBdr>
      <w:divsChild>
        <w:div w:id="1042904869">
          <w:marLeft w:val="403"/>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87998-FA24-4DE3-9E1E-50898A3BA988}">
  <ds:schemaRefs>
    <ds:schemaRef ds:uri="http://schemas.microsoft.com/sharepoint/v3/contenttype/forms"/>
  </ds:schemaRefs>
</ds:datastoreItem>
</file>

<file path=customXml/itemProps2.xml><?xml version="1.0" encoding="utf-8"?>
<ds:datastoreItem xmlns:ds="http://schemas.openxmlformats.org/officeDocument/2006/customXml" ds:itemID="{635827DA-DF5E-4159-B2B6-B2AF209F9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C18025-7D0E-4E06-A4FE-A61EA13FF7D7}">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CED23AED-649E-4781-9BEC-038E9F236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Ayson, Janice</cp:lastModifiedBy>
  <cp:revision>3</cp:revision>
  <dcterms:created xsi:type="dcterms:W3CDTF">2021-07-12T13:56:00Z</dcterms:created>
  <dcterms:modified xsi:type="dcterms:W3CDTF">2021-07-12T13:56:00Z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