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11" w:rsidRDefault="00ED0B11" w:rsidP="00ED0B11">
      <w:pPr>
        <w:numPr>
          <w:ilvl w:val="0"/>
          <w:numId w:val="1"/>
        </w:numPr>
        <w:contextualSpacing/>
        <w:rPr>
          <w:rFonts w:eastAsia="Times New Roman"/>
        </w:rPr>
      </w:pPr>
      <w:r>
        <w:rPr>
          <w:rFonts w:eastAsia="Times New Roman"/>
        </w:rPr>
        <w:t xml:space="preserve">Energy pricing impacts </w:t>
      </w:r>
    </w:p>
    <w:p w:rsidR="00ED0B11" w:rsidRDefault="00ED0B11" w:rsidP="00ED0B11">
      <w:pPr>
        <w:numPr>
          <w:ilvl w:val="1"/>
          <w:numId w:val="1"/>
        </w:numPr>
        <w:contextualSpacing/>
        <w:rPr>
          <w:rFonts w:eastAsia="Times New Roman"/>
        </w:rPr>
      </w:pPr>
      <w:r>
        <w:rPr>
          <w:rFonts w:eastAsia="Times New Roman"/>
        </w:rPr>
        <w:t>Should offline NSRS be deployed before SCED could get to market based offers from QSGR not providing NSRS?</w:t>
      </w:r>
    </w:p>
    <w:p w:rsidR="00ED0B11" w:rsidRDefault="00ED0B11" w:rsidP="00ED0B11">
      <w:pPr>
        <w:numPr>
          <w:ilvl w:val="1"/>
          <w:numId w:val="1"/>
        </w:numPr>
        <w:contextualSpacing/>
        <w:rPr>
          <w:rFonts w:eastAsia="Times New Roman"/>
        </w:rPr>
      </w:pPr>
      <w:r>
        <w:rPr>
          <w:rFonts w:eastAsia="Times New Roman"/>
        </w:rPr>
        <w:t>Should Online reserves be below certain level in addition to PRC &lt;3200 before offline NSRS is deployed?</w:t>
      </w:r>
    </w:p>
    <w:p w:rsidR="00ED0B11" w:rsidRDefault="00ED0B11" w:rsidP="00ED0B11">
      <w:pPr>
        <w:numPr>
          <w:ilvl w:val="1"/>
          <w:numId w:val="1"/>
        </w:numPr>
        <w:contextualSpacing/>
        <w:rPr>
          <w:rFonts w:eastAsia="Times New Roman"/>
        </w:rPr>
      </w:pPr>
      <w:r>
        <w:rPr>
          <w:rFonts w:eastAsia="Times New Roman"/>
        </w:rPr>
        <w:t>Should offline NSRS be deployed in chucks?</w:t>
      </w:r>
    </w:p>
    <w:p w:rsidR="00ED0B11" w:rsidRDefault="00ED0B11" w:rsidP="00ED0B11">
      <w:pPr>
        <w:numPr>
          <w:ilvl w:val="1"/>
          <w:numId w:val="1"/>
        </w:numPr>
        <w:contextualSpacing/>
        <w:rPr>
          <w:rFonts w:eastAsia="Times New Roman"/>
        </w:rPr>
      </w:pPr>
      <w:r>
        <w:rPr>
          <w:rFonts w:eastAsia="Times New Roman"/>
        </w:rPr>
        <w:t>Should $75/MWh offer floor language for online reserves be extended to offline reserves?</w:t>
      </w:r>
    </w:p>
    <w:p w:rsidR="00ED0B11" w:rsidRDefault="00ED0B11" w:rsidP="00ED0B11">
      <w:pPr>
        <w:numPr>
          <w:ilvl w:val="1"/>
          <w:numId w:val="1"/>
        </w:numPr>
        <w:contextualSpacing/>
        <w:rPr>
          <w:rFonts w:eastAsia="Times New Roman"/>
        </w:rPr>
      </w:pPr>
      <w:r>
        <w:rPr>
          <w:rFonts w:eastAsia="Times New Roman"/>
        </w:rPr>
        <w:t>Should 0-lsl of offline NSRS be relaxed in pricing run?</w:t>
      </w:r>
    </w:p>
    <w:p w:rsidR="00ED0B11" w:rsidRDefault="00ED0B11" w:rsidP="00ED0B11">
      <w:pPr>
        <w:numPr>
          <w:ilvl w:val="0"/>
          <w:numId w:val="1"/>
        </w:numPr>
        <w:contextualSpacing/>
        <w:rPr>
          <w:rFonts w:eastAsia="Times New Roman"/>
        </w:rPr>
      </w:pPr>
      <w:r>
        <w:rPr>
          <w:rFonts w:eastAsia="Times New Roman"/>
        </w:rPr>
        <w:t xml:space="preserve">Review impact to retailers on procuring additional reserves </w:t>
      </w:r>
    </w:p>
    <w:p w:rsidR="00ED0B11" w:rsidRDefault="00ED0B11" w:rsidP="00ED0B11">
      <w:pPr>
        <w:numPr>
          <w:ilvl w:val="1"/>
          <w:numId w:val="1"/>
        </w:numPr>
        <w:contextualSpacing/>
        <w:rPr>
          <w:rFonts w:eastAsia="Times New Roman"/>
        </w:rPr>
      </w:pPr>
      <w:r>
        <w:rPr>
          <w:rFonts w:eastAsia="Times New Roman"/>
        </w:rPr>
        <w:t xml:space="preserve">How much advance notice can be provided to enable hedging for forward month? </w:t>
      </w:r>
    </w:p>
    <w:p w:rsidR="00ED0B11" w:rsidRDefault="00ED0B11" w:rsidP="00ED0B11">
      <w:pPr>
        <w:numPr>
          <w:ilvl w:val="1"/>
          <w:numId w:val="1"/>
        </w:numPr>
        <w:contextualSpacing/>
        <w:rPr>
          <w:rFonts w:eastAsia="Times New Roman"/>
        </w:rPr>
      </w:pPr>
      <w:r>
        <w:rPr>
          <w:rFonts w:eastAsia="Times New Roman"/>
        </w:rPr>
        <w:t>Should self-arrangements be opened up further to increase liquidity &amp; enable hedging?</w:t>
      </w:r>
    </w:p>
    <w:p w:rsidR="00ED0B11" w:rsidRDefault="00ED0B11" w:rsidP="00ED0B11">
      <w:pPr>
        <w:numPr>
          <w:ilvl w:val="1"/>
          <w:numId w:val="1"/>
        </w:numPr>
        <w:contextualSpacing/>
        <w:rPr>
          <w:rFonts w:eastAsia="Times New Roman"/>
        </w:rPr>
      </w:pPr>
      <w:r>
        <w:rPr>
          <w:rFonts w:eastAsia="Times New Roman"/>
        </w:rPr>
        <w:t xml:space="preserve">Provide update on aggregate capacity qualified to provide AS </w:t>
      </w:r>
    </w:p>
    <w:p w:rsidR="00ED0B11" w:rsidRDefault="00ED0B11" w:rsidP="00ED0B11">
      <w:pPr>
        <w:numPr>
          <w:ilvl w:val="1"/>
          <w:numId w:val="1"/>
        </w:numPr>
        <w:contextualSpacing/>
        <w:rPr>
          <w:rFonts w:eastAsia="Times New Roman"/>
        </w:rPr>
      </w:pPr>
      <w:r>
        <w:rPr>
          <w:rFonts w:eastAsia="Times New Roman"/>
        </w:rPr>
        <w:t>Should NCLR be allowed to provide Non-Spin?</w:t>
      </w:r>
    </w:p>
    <w:p w:rsidR="00ED0B11" w:rsidRDefault="00ED0B11" w:rsidP="00ED0B11">
      <w:pPr>
        <w:numPr>
          <w:ilvl w:val="1"/>
          <w:numId w:val="1"/>
        </w:numPr>
        <w:contextualSpacing/>
        <w:rPr>
          <w:rFonts w:eastAsia="Times New Roman"/>
        </w:rPr>
      </w:pPr>
      <w:r>
        <w:rPr>
          <w:rFonts w:eastAsia="Times New Roman"/>
        </w:rPr>
        <w:t>Should higher RRS or ECRS be procured?</w:t>
      </w:r>
    </w:p>
    <w:p w:rsidR="00ED0B11" w:rsidRDefault="00ED0B11" w:rsidP="00ED0B11">
      <w:pPr>
        <w:numPr>
          <w:ilvl w:val="1"/>
          <w:numId w:val="1"/>
        </w:numPr>
        <w:contextualSpacing/>
        <w:rPr>
          <w:rFonts w:eastAsia="Times New Roman"/>
        </w:rPr>
      </w:pPr>
      <w:r>
        <w:rPr>
          <w:rFonts w:eastAsia="Times New Roman"/>
        </w:rPr>
        <w:t>Do we need to procure 6500 or 7500 during off peak hours</w:t>
      </w:r>
      <w:bookmarkStart w:id="0" w:name="_GoBack"/>
      <w:bookmarkEnd w:id="0"/>
      <w:r>
        <w:rPr>
          <w:rFonts w:eastAsia="Times New Roman"/>
        </w:rPr>
        <w:t>?</w:t>
      </w:r>
    </w:p>
    <w:p w:rsidR="00ED0B11" w:rsidRDefault="00ED0B11" w:rsidP="00ED0B11">
      <w:pPr>
        <w:numPr>
          <w:ilvl w:val="0"/>
          <w:numId w:val="1"/>
        </w:numPr>
        <w:contextualSpacing/>
        <w:rPr>
          <w:rFonts w:eastAsia="Times New Roman"/>
        </w:rPr>
      </w:pPr>
      <w:r>
        <w:rPr>
          <w:rFonts w:eastAsia="Times New Roman"/>
        </w:rPr>
        <w:t>IMM to discuss need for Market power analysis on NSRS</w:t>
      </w:r>
    </w:p>
    <w:p w:rsidR="00ED0B11" w:rsidRDefault="00ED0B11" w:rsidP="00ED0B11">
      <w:pPr>
        <w:numPr>
          <w:ilvl w:val="1"/>
          <w:numId w:val="1"/>
        </w:numPr>
        <w:contextualSpacing/>
        <w:rPr>
          <w:rFonts w:eastAsia="Times New Roman"/>
        </w:rPr>
      </w:pPr>
      <w:r>
        <w:rPr>
          <w:rFonts w:eastAsia="Times New Roman"/>
        </w:rPr>
        <w:t>Is there a need for mitigation of AS offers?</w:t>
      </w:r>
    </w:p>
    <w:p w:rsidR="00ED0B11" w:rsidRDefault="00ED0B11" w:rsidP="00ED0B11">
      <w:pPr>
        <w:numPr>
          <w:ilvl w:val="1"/>
          <w:numId w:val="1"/>
        </w:numPr>
        <w:contextualSpacing/>
        <w:rPr>
          <w:rFonts w:eastAsia="Times New Roman"/>
        </w:rPr>
      </w:pPr>
      <w:r>
        <w:rPr>
          <w:rFonts w:eastAsia="Times New Roman"/>
        </w:rPr>
        <w:t>Should there be Non-spin offer cap?</w:t>
      </w:r>
    </w:p>
    <w:p w:rsidR="00ED0B11" w:rsidRDefault="00ED0B11" w:rsidP="00ED0B11">
      <w:pPr>
        <w:numPr>
          <w:ilvl w:val="1"/>
          <w:numId w:val="1"/>
        </w:numPr>
        <w:contextualSpacing/>
        <w:rPr>
          <w:rFonts w:eastAsia="Times New Roman"/>
        </w:rPr>
      </w:pPr>
      <w:r>
        <w:rPr>
          <w:rFonts w:eastAsia="Times New Roman"/>
        </w:rPr>
        <w:t>Should VMP be extend to DAM offers – Not WMWG discussion - discussion between IMM Vs Entity Vs PUC</w:t>
      </w:r>
    </w:p>
    <w:p w:rsidR="00ED0B11" w:rsidRDefault="00ED0B11" w:rsidP="00ED0B11">
      <w:pPr>
        <w:numPr>
          <w:ilvl w:val="0"/>
          <w:numId w:val="1"/>
        </w:numPr>
        <w:contextualSpacing/>
        <w:rPr>
          <w:rFonts w:eastAsia="Times New Roman"/>
        </w:rPr>
      </w:pPr>
      <w:r>
        <w:rPr>
          <w:rFonts w:eastAsia="Times New Roman"/>
        </w:rPr>
        <w:t>Review the impact to cycling resource before it is really needed in peak summer</w:t>
      </w:r>
    </w:p>
    <w:p w:rsidR="00ED0B11" w:rsidRDefault="00ED0B11" w:rsidP="00ED0B11">
      <w:pPr>
        <w:numPr>
          <w:ilvl w:val="0"/>
          <w:numId w:val="1"/>
        </w:numPr>
        <w:contextualSpacing/>
        <w:rPr>
          <w:rFonts w:eastAsia="Times New Roman"/>
        </w:rPr>
      </w:pPr>
      <w:r>
        <w:rPr>
          <w:rFonts w:eastAsia="Times New Roman"/>
        </w:rPr>
        <w:t>Should advance RUCing be delayed based on start time to give enough time for ERCOT to have capacity in time and at the same time allow Market to respond to self-commit</w:t>
      </w:r>
    </w:p>
    <w:p w:rsidR="00ED0B11" w:rsidRDefault="00ED0B11" w:rsidP="00ED0B11">
      <w:pPr>
        <w:numPr>
          <w:ilvl w:val="0"/>
          <w:numId w:val="1"/>
        </w:numPr>
        <w:contextualSpacing/>
        <w:rPr>
          <w:rFonts w:eastAsia="Times New Roman"/>
        </w:rPr>
      </w:pPr>
      <w:r>
        <w:rPr>
          <w:rFonts w:eastAsia="Times New Roman"/>
        </w:rPr>
        <w:t xml:space="preserve">Review accuracy of forecast variability that is used to determine the additional AS requirement </w:t>
      </w:r>
    </w:p>
    <w:p w:rsidR="005439BE" w:rsidRDefault="00ED0B11" w:rsidP="00ED0B11">
      <w:pPr>
        <w:numPr>
          <w:ilvl w:val="0"/>
          <w:numId w:val="1"/>
        </w:numPr>
        <w:contextualSpacing/>
        <w:rPr>
          <w:rFonts w:eastAsia="Times New Roman"/>
        </w:rPr>
      </w:pPr>
      <w:r>
        <w:rPr>
          <w:rFonts w:eastAsia="Times New Roman"/>
        </w:rPr>
        <w:t xml:space="preserve">Address concerns raised for NPRR1080 </w:t>
      </w:r>
    </w:p>
    <w:p w:rsidR="00ED0B11" w:rsidRDefault="00ED0B11" w:rsidP="000B10B2">
      <w:pPr>
        <w:numPr>
          <w:ilvl w:val="1"/>
          <w:numId w:val="1"/>
        </w:numPr>
        <w:contextualSpacing/>
        <w:rPr>
          <w:rFonts w:eastAsia="Times New Roman"/>
        </w:rPr>
      </w:pPr>
      <w:r>
        <w:rPr>
          <w:rFonts w:eastAsia="Times New Roman"/>
        </w:rPr>
        <w:t>related to payment for resources that are assigned AS in RT</w:t>
      </w:r>
    </w:p>
    <w:p w:rsidR="005439BE" w:rsidRDefault="005439BE" w:rsidP="000B10B2">
      <w:pPr>
        <w:numPr>
          <w:ilvl w:val="1"/>
          <w:numId w:val="1"/>
        </w:numPr>
        <w:contextualSpacing/>
        <w:rPr>
          <w:rFonts w:eastAsia="Times New Roman"/>
        </w:rPr>
      </w:pPr>
      <w:r>
        <w:rPr>
          <w:rFonts w:eastAsia="Times New Roman"/>
        </w:rPr>
        <w:t>related to procurement for AS in reference to AS penalty factor</w:t>
      </w:r>
    </w:p>
    <w:p w:rsidR="003F0659" w:rsidRDefault="003F0659"/>
    <w:sectPr w:rsidR="003F06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13" w:rsidRDefault="00683B13" w:rsidP="005439BE">
      <w:r>
        <w:separator/>
      </w:r>
    </w:p>
  </w:endnote>
  <w:endnote w:type="continuationSeparator" w:id="0">
    <w:p w:rsidR="00683B13" w:rsidRDefault="00683B13" w:rsidP="0054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13" w:rsidRDefault="00683B13" w:rsidP="005439BE">
      <w:r>
        <w:separator/>
      </w:r>
    </w:p>
  </w:footnote>
  <w:footnote w:type="continuationSeparator" w:id="0">
    <w:p w:rsidR="00683B13" w:rsidRDefault="00683B13" w:rsidP="0054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9BE" w:rsidRDefault="000B10B2">
    <w:pPr>
      <w:pStyle w:val="Header"/>
    </w:pPr>
    <w:r>
      <w:t>July 7, 2021 WMS - f</w:t>
    </w:r>
    <w:r w:rsidR="005439BE">
      <w:t>or Evaluation at WMWG: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42FA"/>
    <w:multiLevelType w:val="hybridMultilevel"/>
    <w:tmpl w:val="36DAC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11"/>
    <w:rsid w:val="000B10B2"/>
    <w:rsid w:val="003F0659"/>
    <w:rsid w:val="005439BE"/>
    <w:rsid w:val="005E0351"/>
    <w:rsid w:val="00683B13"/>
    <w:rsid w:val="00ED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5534F-9E62-4FBF-A350-5EE94BE2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9BE"/>
    <w:pPr>
      <w:tabs>
        <w:tab w:val="center" w:pos="4680"/>
        <w:tab w:val="right" w:pos="9360"/>
      </w:tabs>
    </w:pPr>
  </w:style>
  <w:style w:type="character" w:customStyle="1" w:styleId="HeaderChar">
    <w:name w:val="Header Char"/>
    <w:basedOn w:val="DefaultParagraphFont"/>
    <w:link w:val="Header"/>
    <w:uiPriority w:val="99"/>
    <w:rsid w:val="005439BE"/>
    <w:rPr>
      <w:rFonts w:ascii="Calibri" w:hAnsi="Calibri" w:cs="Calibri"/>
    </w:rPr>
  </w:style>
  <w:style w:type="paragraph" w:styleId="Footer">
    <w:name w:val="footer"/>
    <w:basedOn w:val="Normal"/>
    <w:link w:val="FooterChar"/>
    <w:uiPriority w:val="99"/>
    <w:unhideWhenUsed/>
    <w:rsid w:val="005439BE"/>
    <w:pPr>
      <w:tabs>
        <w:tab w:val="center" w:pos="4680"/>
        <w:tab w:val="right" w:pos="9360"/>
      </w:tabs>
    </w:pPr>
  </w:style>
  <w:style w:type="character" w:customStyle="1" w:styleId="FooterChar">
    <w:name w:val="Footer Char"/>
    <w:basedOn w:val="DefaultParagraphFont"/>
    <w:link w:val="Footer"/>
    <w:uiPriority w:val="99"/>
    <w:rsid w:val="005439BE"/>
    <w:rPr>
      <w:rFonts w:ascii="Calibri" w:hAnsi="Calibri" w:cs="Calibri"/>
    </w:rPr>
  </w:style>
  <w:style w:type="paragraph" w:styleId="BalloonText">
    <w:name w:val="Balloon Text"/>
    <w:basedOn w:val="Normal"/>
    <w:link w:val="BalloonTextChar"/>
    <w:uiPriority w:val="99"/>
    <w:semiHidden/>
    <w:unhideWhenUsed/>
    <w:rsid w:val="00543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4F53-3C56-42B6-B1E2-C10EF7F0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dc:creator>
  <cp:keywords/>
  <dc:description/>
  <cp:lastModifiedBy>WMS 070721</cp:lastModifiedBy>
  <cp:revision>2</cp:revision>
  <dcterms:created xsi:type="dcterms:W3CDTF">2021-07-07T17:55:00Z</dcterms:created>
  <dcterms:modified xsi:type="dcterms:W3CDTF">2021-07-07T17:55:00Z</dcterms:modified>
</cp:coreProperties>
</file>