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3" w:type="dxa"/>
        <w:tblInd w:w="-3" w:type="dxa"/>
        <w:tblCellMar>
          <w:left w:w="0" w:type="dxa"/>
          <w:right w:w="0" w:type="dxa"/>
        </w:tblCellMar>
        <w:tblLook w:val="04A0" w:firstRow="1" w:lastRow="0" w:firstColumn="1" w:lastColumn="0" w:noHBand="0" w:noVBand="1"/>
      </w:tblPr>
      <w:tblGrid>
        <w:gridCol w:w="1303"/>
        <w:gridCol w:w="5245"/>
        <w:gridCol w:w="915"/>
        <w:gridCol w:w="3420"/>
      </w:tblGrid>
      <w:tr w:rsidR="00E04FBE" w:rsidTr="00E04FBE">
        <w:tc>
          <w:tcPr>
            <w:tcW w:w="0" w:type="auto"/>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E04FBE" w:rsidRDefault="00E04FBE">
            <w:pPr>
              <w:rPr>
                <w:b/>
                <w:bCs/>
                <w:color w:val="FFFFFF"/>
                <w:sz w:val="20"/>
                <w:szCs w:val="20"/>
              </w:rPr>
            </w:pPr>
            <w:r>
              <w:rPr>
                <w:b/>
                <w:bCs/>
                <w:color w:val="FFFFFF"/>
                <w:sz w:val="20"/>
                <w:szCs w:val="20"/>
              </w:rPr>
              <w:t>REV REQ NO.</w:t>
            </w:r>
          </w:p>
        </w:tc>
        <w:tc>
          <w:tcPr>
            <w:tcW w:w="5245"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E04FBE" w:rsidRDefault="00E04FBE">
            <w:pPr>
              <w:rPr>
                <w:b/>
                <w:bCs/>
                <w:color w:val="FFFFFF"/>
                <w:sz w:val="20"/>
                <w:szCs w:val="20"/>
              </w:rPr>
            </w:pPr>
            <w:r>
              <w:rPr>
                <w:b/>
                <w:bCs/>
                <w:color w:val="FFFFFF"/>
                <w:sz w:val="20"/>
                <w:szCs w:val="20"/>
              </w:rPr>
              <w:t>DESCRIPTION</w:t>
            </w:r>
          </w:p>
        </w:tc>
        <w:tc>
          <w:tcPr>
            <w:tcW w:w="915"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E04FBE" w:rsidRDefault="00E04FBE">
            <w:pPr>
              <w:jc w:val="center"/>
              <w:rPr>
                <w:b/>
                <w:bCs/>
                <w:color w:val="FFFFFF"/>
                <w:sz w:val="20"/>
                <w:szCs w:val="20"/>
              </w:rPr>
            </w:pPr>
            <w:r>
              <w:rPr>
                <w:b/>
                <w:bCs/>
                <w:color w:val="FFFFFF"/>
                <w:sz w:val="20"/>
                <w:szCs w:val="20"/>
              </w:rPr>
              <w:t>URGENT</w:t>
            </w:r>
          </w:p>
        </w:tc>
        <w:tc>
          <w:tcPr>
            <w:tcW w:w="342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E04FBE" w:rsidRDefault="00E04FBE">
            <w:pPr>
              <w:rPr>
                <w:b/>
                <w:bCs/>
                <w:color w:val="FFFFFF"/>
                <w:sz w:val="20"/>
                <w:szCs w:val="20"/>
              </w:rPr>
            </w:pPr>
            <w:r>
              <w:rPr>
                <w:b/>
                <w:bCs/>
                <w:color w:val="FFFFFF"/>
                <w:sz w:val="20"/>
                <w:szCs w:val="20"/>
              </w:rPr>
              <w:t>ERCOT Opinion</w:t>
            </w:r>
          </w:p>
        </w:tc>
      </w:tr>
      <w:tr w:rsidR="00E04FBE" w:rsidTr="00E04FB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4FBE" w:rsidRDefault="00E04FBE">
            <w:pPr>
              <w:rPr>
                <w:b/>
                <w:bCs/>
                <w:color w:val="000000"/>
                <w:sz w:val="20"/>
                <w:szCs w:val="20"/>
              </w:rPr>
            </w:pPr>
            <w:r>
              <w:rPr>
                <w:b/>
                <w:bCs/>
                <w:color w:val="000000"/>
                <w:sz w:val="20"/>
                <w:szCs w:val="20"/>
              </w:rPr>
              <w:t>1078NPRR</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rPr>
                <w:b/>
                <w:bCs/>
                <w:color w:val="000000"/>
                <w:sz w:val="20"/>
                <w:szCs w:val="20"/>
              </w:rPr>
            </w:pPr>
            <w:r>
              <w:rPr>
                <w:b/>
                <w:bCs/>
                <w:color w:val="000000"/>
                <w:sz w:val="20"/>
                <w:szCs w:val="20"/>
              </w:rPr>
              <w:t xml:space="preserve">Clarification of Potential Uplift. </w:t>
            </w:r>
            <w:r>
              <w:rPr>
                <w:color w:val="000000"/>
                <w:sz w:val="20"/>
                <w:szCs w:val="20"/>
              </w:rPr>
              <w:t> This Nodal Protocol Revision Request (NPRR) clarifies the definition of potential uplift within the calculation of a Counter-Party’s “Total Potential Exposure Any” (TPEA).  [Reliant]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jc w:val="center"/>
              <w:rPr>
                <w:color w:val="000000"/>
                <w:sz w:val="20"/>
                <w:szCs w:val="20"/>
              </w:rPr>
            </w:pPr>
            <w:r>
              <w:rPr>
                <w:color w:val="000000"/>
                <w:sz w:val="20"/>
                <w:szCs w:val="20"/>
              </w:rPr>
              <w:t>Y</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rPr>
                <w:sz w:val="20"/>
                <w:szCs w:val="20"/>
              </w:rPr>
            </w:pPr>
            <w:r>
              <w:rPr>
                <w:sz w:val="20"/>
                <w:szCs w:val="20"/>
              </w:rPr>
              <w:t>ERCOT supports approval of NPRR1078</w:t>
            </w:r>
          </w:p>
        </w:tc>
      </w:tr>
      <w:tr w:rsidR="00E04FBE" w:rsidTr="00E04FB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4FBE" w:rsidRDefault="00E04FBE">
            <w:pPr>
              <w:rPr>
                <w:b/>
                <w:bCs/>
                <w:color w:val="000000"/>
                <w:sz w:val="20"/>
                <w:szCs w:val="20"/>
              </w:rPr>
            </w:pPr>
            <w:r>
              <w:rPr>
                <w:b/>
                <w:bCs/>
                <w:color w:val="000000"/>
                <w:sz w:val="20"/>
                <w:szCs w:val="20"/>
              </w:rPr>
              <w:t>1080NPRR</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rPr>
                <w:b/>
                <w:bCs/>
                <w:color w:val="000000"/>
                <w:sz w:val="20"/>
                <w:szCs w:val="20"/>
              </w:rPr>
            </w:pPr>
            <w:r>
              <w:rPr>
                <w:b/>
                <w:bCs/>
                <w:color w:val="000000"/>
                <w:sz w:val="20"/>
                <w:szCs w:val="20"/>
              </w:rPr>
              <w:t xml:space="preserve">Limiting Ancillary Service Price to System-Wide Offer Cap.  </w:t>
            </w:r>
            <w:r>
              <w:rPr>
                <w:color w:val="000000"/>
                <w:sz w:val="20"/>
                <w:szCs w:val="20"/>
              </w:rPr>
              <w:t>This Nodal Protocol Revision Request (NPRR) limits the Ancillary Service Market Clearing Prices for Capacity (MCPCs) to the effective SWCAP. This limitation will be achieved by reducing the Ancillary Service penalty factors (ASPFs) used in Day-Ahead Market (DAM) and Supplementary Ancillary Service Market (SASM) to values equal to or immediately below the SWCAP.  [ERCOT and IMM]</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jc w:val="center"/>
              <w:rPr>
                <w:color w:val="000000"/>
                <w:sz w:val="20"/>
                <w:szCs w:val="20"/>
              </w:rPr>
            </w:pPr>
            <w:r>
              <w:rPr>
                <w:color w:val="000000"/>
                <w:sz w:val="20"/>
                <w:szCs w:val="20"/>
              </w:rPr>
              <w:t>Y</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rPr>
                <w:sz w:val="20"/>
                <w:szCs w:val="20"/>
              </w:rPr>
            </w:pPr>
            <w:r>
              <w:rPr>
                <w:sz w:val="20"/>
                <w:szCs w:val="20"/>
              </w:rPr>
              <w:t>ERCOT supports approval of NPRR1080</w:t>
            </w:r>
          </w:p>
        </w:tc>
      </w:tr>
      <w:tr w:rsidR="00E04FBE" w:rsidTr="00E04FB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4FBE" w:rsidRDefault="00E04FBE">
            <w:pPr>
              <w:rPr>
                <w:b/>
                <w:bCs/>
                <w:color w:val="000000"/>
                <w:sz w:val="20"/>
                <w:szCs w:val="20"/>
              </w:rPr>
            </w:pPr>
            <w:r>
              <w:rPr>
                <w:b/>
                <w:bCs/>
                <w:color w:val="000000"/>
                <w:sz w:val="20"/>
                <w:szCs w:val="20"/>
              </w:rPr>
              <w:t>030OBDRR</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rPr>
                <w:b/>
                <w:bCs/>
                <w:color w:val="000000"/>
                <w:sz w:val="20"/>
                <w:szCs w:val="20"/>
              </w:rPr>
            </w:pPr>
            <w:r>
              <w:rPr>
                <w:b/>
                <w:bCs/>
                <w:color w:val="000000"/>
                <w:sz w:val="20"/>
                <w:szCs w:val="20"/>
              </w:rPr>
              <w:t xml:space="preserve">Related to NPRR1080, Ancillary Service Price Cap. </w:t>
            </w:r>
            <w:r>
              <w:rPr>
                <w:color w:val="000000"/>
                <w:sz w:val="20"/>
                <w:szCs w:val="20"/>
              </w:rPr>
              <w:t> This Other Binding Document Revision Request (OBDRR) changes the Ancillary Service penalty factors (ASPFs) to the effective System-Wide Offer Cap (SWCAP).  [ERCOT and IMM]</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jc w:val="center"/>
              <w:rPr>
                <w:color w:val="000000"/>
                <w:sz w:val="20"/>
                <w:szCs w:val="20"/>
              </w:rPr>
            </w:pPr>
            <w:r>
              <w:rPr>
                <w:color w:val="000000"/>
                <w:sz w:val="20"/>
                <w:szCs w:val="20"/>
              </w:rPr>
              <w:t>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rPr>
                <w:sz w:val="20"/>
                <w:szCs w:val="20"/>
              </w:rPr>
            </w:pPr>
            <w:r>
              <w:rPr>
                <w:sz w:val="20"/>
                <w:szCs w:val="20"/>
              </w:rPr>
              <w:t>ERCOT supports approval of OBDRR030</w:t>
            </w:r>
          </w:p>
        </w:tc>
      </w:tr>
      <w:tr w:rsidR="00E04FBE" w:rsidTr="00E04FB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4FBE" w:rsidRDefault="00E04FBE">
            <w:pPr>
              <w:rPr>
                <w:b/>
                <w:bCs/>
                <w:color w:val="000000"/>
                <w:sz w:val="20"/>
                <w:szCs w:val="20"/>
              </w:rPr>
            </w:pPr>
            <w:r>
              <w:rPr>
                <w:b/>
                <w:bCs/>
                <w:color w:val="000000"/>
                <w:sz w:val="20"/>
                <w:szCs w:val="20"/>
              </w:rPr>
              <w:t>1081NPRR</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rPr>
                <w:b/>
                <w:bCs/>
                <w:color w:val="000000"/>
                <w:sz w:val="20"/>
                <w:szCs w:val="20"/>
              </w:rPr>
            </w:pPr>
            <w:r>
              <w:rPr>
                <w:b/>
                <w:bCs/>
                <w:color w:val="000000"/>
                <w:sz w:val="20"/>
                <w:szCs w:val="20"/>
              </w:rPr>
              <w:t xml:space="preserve">Revisions to Real-Time Reliability Deployment Price Adder to Consider Firm Load Shed.  </w:t>
            </w:r>
            <w:r>
              <w:rPr>
                <w:color w:val="000000"/>
                <w:sz w:val="20"/>
                <w:szCs w:val="20"/>
              </w:rPr>
              <w:t>This Nodal Protocol Revision Request (NPRR) modifies the calculation of the Real-Time On-Line Reliability Deployment Price Adder so that the combination of System Lambda, the Real-Time On-Line Reserve Price Adder, and the Real-Time On-Line Reliability Deployment Price Adder will be equal to the Value of Lost Load (VOLL) when ERCOT is directing firm Load shed during Energy Emergency Alert (EEA) Level 3.  [ERCOT and IMM]</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jc w:val="center"/>
              <w:rPr>
                <w:color w:val="000000"/>
                <w:sz w:val="20"/>
                <w:szCs w:val="20"/>
              </w:rPr>
            </w:pPr>
            <w:r>
              <w:rPr>
                <w:color w:val="000000"/>
                <w:sz w:val="20"/>
                <w:szCs w:val="20"/>
              </w:rPr>
              <w:t>Y</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rPr>
                <w:sz w:val="20"/>
                <w:szCs w:val="20"/>
              </w:rPr>
            </w:pPr>
            <w:r>
              <w:rPr>
                <w:sz w:val="20"/>
                <w:szCs w:val="20"/>
              </w:rPr>
              <w:t>ERCOT supports approval of NPRR1081</w:t>
            </w:r>
          </w:p>
        </w:tc>
      </w:tr>
      <w:tr w:rsidR="00E04FBE" w:rsidTr="00E04FB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4FBE" w:rsidRDefault="00E04FBE">
            <w:pPr>
              <w:rPr>
                <w:b/>
                <w:bCs/>
                <w:color w:val="000000"/>
                <w:sz w:val="20"/>
                <w:szCs w:val="20"/>
              </w:rPr>
            </w:pPr>
            <w:r>
              <w:rPr>
                <w:b/>
                <w:bCs/>
                <w:color w:val="000000"/>
                <w:sz w:val="20"/>
                <w:szCs w:val="20"/>
              </w:rPr>
              <w:t>1005NPRR</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rPr>
                <w:b/>
                <w:bCs/>
                <w:color w:val="000000"/>
                <w:sz w:val="20"/>
                <w:szCs w:val="20"/>
              </w:rPr>
            </w:pPr>
            <w:r>
              <w:rPr>
                <w:b/>
                <w:bCs/>
                <w:color w:val="000000"/>
                <w:sz w:val="20"/>
                <w:szCs w:val="20"/>
              </w:rPr>
              <w:t xml:space="preserve">Clarify Definition of Point of Interconnection (POI) and Add Definition Point of Interconnection Bus (POIB).  </w:t>
            </w:r>
            <w:r>
              <w:rPr>
                <w:color w:val="000000"/>
                <w:sz w:val="20"/>
                <w:szCs w:val="20"/>
              </w:rPr>
              <w:t>This Nodal Protocol Revision Request (NPRR) revises the definition of "Point of Interconnection (POI)"; introduces the term “Point of Interconnection Bus (POIB)”; along with other clarifications.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jc w:val="center"/>
              <w:rPr>
                <w:color w:val="000000"/>
                <w:sz w:val="20"/>
                <w:szCs w:val="20"/>
              </w:rPr>
            </w:pPr>
            <w:r>
              <w:rPr>
                <w:color w:val="000000"/>
                <w:sz w:val="20"/>
                <w:szCs w:val="20"/>
              </w:rPr>
              <w:t>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rPr>
                <w:sz w:val="20"/>
                <w:szCs w:val="20"/>
              </w:rPr>
            </w:pPr>
            <w:r>
              <w:rPr>
                <w:sz w:val="20"/>
                <w:szCs w:val="20"/>
              </w:rPr>
              <w:t>ERCOT supports approval of NPRR1005</w:t>
            </w:r>
          </w:p>
        </w:tc>
      </w:tr>
      <w:tr w:rsidR="00E04FBE" w:rsidTr="00E04FB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4FBE" w:rsidRDefault="00E04FBE">
            <w:pPr>
              <w:rPr>
                <w:b/>
                <w:bCs/>
                <w:color w:val="000000"/>
                <w:sz w:val="20"/>
                <w:szCs w:val="20"/>
              </w:rPr>
            </w:pPr>
            <w:r>
              <w:rPr>
                <w:b/>
                <w:bCs/>
                <w:color w:val="000000"/>
                <w:sz w:val="20"/>
                <w:szCs w:val="20"/>
              </w:rPr>
              <w:t>1063NPRR</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rPr>
                <w:b/>
                <w:bCs/>
                <w:color w:val="000000"/>
                <w:sz w:val="20"/>
                <w:szCs w:val="20"/>
              </w:rPr>
            </w:pPr>
            <w:r>
              <w:rPr>
                <w:b/>
                <w:bCs/>
                <w:color w:val="000000"/>
                <w:sz w:val="20"/>
                <w:szCs w:val="20"/>
              </w:rPr>
              <w:t xml:space="preserve">Dynamic Rating Transparency.  </w:t>
            </w:r>
            <w:r>
              <w:rPr>
                <w:color w:val="000000"/>
                <w:sz w:val="20"/>
                <w:szCs w:val="20"/>
              </w:rPr>
              <w:t>This Nodal Protocol Revision Request (NPRR) requires ERCOT to post information related to Dynamic Rating requests and approvals to the Market Information System (MIS) Secure Area.  [DC Energy]</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jc w:val="center"/>
              <w:rPr>
                <w:color w:val="000000"/>
                <w:sz w:val="20"/>
                <w:szCs w:val="20"/>
              </w:rPr>
            </w:pPr>
            <w:r>
              <w:rPr>
                <w:color w:val="000000"/>
                <w:sz w:val="20"/>
                <w:szCs w:val="20"/>
              </w:rPr>
              <w:t>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rPr>
                <w:sz w:val="20"/>
                <w:szCs w:val="20"/>
              </w:rPr>
            </w:pPr>
            <w:r>
              <w:rPr>
                <w:sz w:val="20"/>
                <w:szCs w:val="20"/>
              </w:rPr>
              <w:t>ERCOT supports approval of NPRR1063</w:t>
            </w:r>
          </w:p>
        </w:tc>
      </w:tr>
      <w:tr w:rsidR="00E04FBE" w:rsidTr="00E04FB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4FBE" w:rsidRDefault="00E04FBE">
            <w:pPr>
              <w:rPr>
                <w:b/>
                <w:bCs/>
                <w:color w:val="000000"/>
                <w:sz w:val="20"/>
                <w:szCs w:val="20"/>
              </w:rPr>
            </w:pPr>
            <w:r>
              <w:rPr>
                <w:b/>
                <w:bCs/>
                <w:color w:val="000000"/>
                <w:sz w:val="20"/>
                <w:szCs w:val="20"/>
              </w:rPr>
              <w:t>995NPRR</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rPr>
                <w:b/>
                <w:bCs/>
                <w:color w:val="000000"/>
                <w:sz w:val="20"/>
                <w:szCs w:val="20"/>
              </w:rPr>
            </w:pPr>
            <w:r>
              <w:rPr>
                <w:b/>
                <w:bCs/>
                <w:color w:val="000000"/>
                <w:sz w:val="20"/>
                <w:szCs w:val="20"/>
              </w:rPr>
              <w:t xml:space="preserve">RTF-6 Create Definition and Terms for Settlement Only Energy Storage.  </w:t>
            </w:r>
            <w:r>
              <w:rPr>
                <w:color w:val="000000"/>
                <w:sz w:val="20"/>
                <w:szCs w:val="20"/>
              </w:rPr>
              <w:t>This Nodal Protocol Revision Request (NPRR) accomplishes objectives of the Resource Definition Task Force (RTF) undertaken at the direction of the Protocol Revision Subcommittee (PRS). Specifically, this NPRR provides a definition for the term Settlement Only Energy Storage (SOES) and further defines them as transmission-connected or distribution-connected; creates two definitions underneath Energy Storage Resource (ESR) to differentiate between those ESRs connected to the Distribution System and those ESRs connected to the transmission system; relocates the definition for Settlement Only Generator (SOG) from underneath Resource to stand alone as its own unrelated term; and incorporates the relevant SOES terms into the Market Information System (MIS) reporting created for SOGs via NPRR917, Nodal Pricing for Settlement Only Distribution Generators (SODGs) and Settlement Only Transmission Generators (SOTGs).  [Broad Reach Power]</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jc w:val="center"/>
              <w:rPr>
                <w:color w:val="000000"/>
                <w:sz w:val="20"/>
                <w:szCs w:val="20"/>
              </w:rPr>
            </w:pPr>
            <w:r>
              <w:rPr>
                <w:color w:val="000000"/>
                <w:sz w:val="20"/>
                <w:szCs w:val="20"/>
              </w:rPr>
              <w:t>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rPr>
                <w:sz w:val="20"/>
                <w:szCs w:val="20"/>
              </w:rPr>
            </w:pPr>
            <w:r>
              <w:rPr>
                <w:sz w:val="20"/>
                <w:szCs w:val="20"/>
              </w:rPr>
              <w:t>ERCOT supports approval of NPRR995</w:t>
            </w:r>
          </w:p>
        </w:tc>
      </w:tr>
      <w:tr w:rsidR="00E04FBE" w:rsidTr="00E04FB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4FBE" w:rsidRDefault="00E04FBE">
            <w:pPr>
              <w:rPr>
                <w:b/>
                <w:bCs/>
                <w:color w:val="000000"/>
                <w:sz w:val="20"/>
                <w:szCs w:val="20"/>
              </w:rPr>
            </w:pPr>
            <w:r>
              <w:rPr>
                <w:b/>
                <w:bCs/>
                <w:color w:val="000000"/>
                <w:sz w:val="20"/>
                <w:szCs w:val="20"/>
              </w:rPr>
              <w:lastRenderedPageBreak/>
              <w:t>089PGRR</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rPr>
                <w:b/>
                <w:bCs/>
                <w:color w:val="000000"/>
                <w:sz w:val="20"/>
                <w:szCs w:val="20"/>
              </w:rPr>
            </w:pPr>
            <w:r>
              <w:rPr>
                <w:b/>
                <w:bCs/>
                <w:color w:val="000000"/>
                <w:sz w:val="20"/>
                <w:szCs w:val="20"/>
              </w:rPr>
              <w:t xml:space="preserve">Planning Data and Information Updates for Planning Posting.  </w:t>
            </w:r>
            <w:r>
              <w:rPr>
                <w:color w:val="000000"/>
                <w:sz w:val="20"/>
                <w:szCs w:val="20"/>
              </w:rPr>
              <w:t>This Planning Guide Revision Request (PGRR) makes changes to the list of data sets posted to the Market Information System (MIS) in Planning Guide Section 7.1.  First, it removes the Planning Horizon Transmission Capability Methodology.  Second, it adds Long-Term System Assessment (LTSA) postings, Geomagnetic Disturbance (GMD) vulnerability assessments, and the monthly Generator Interconnection Status (GIS) Report to the list.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jc w:val="center"/>
              <w:rPr>
                <w:color w:val="000000"/>
                <w:sz w:val="20"/>
                <w:szCs w:val="20"/>
              </w:rPr>
            </w:pPr>
            <w:r>
              <w:rPr>
                <w:color w:val="000000"/>
                <w:sz w:val="20"/>
                <w:szCs w:val="20"/>
              </w:rPr>
              <w:t>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E04FBE" w:rsidRDefault="00E04FBE">
            <w:pPr>
              <w:rPr>
                <w:sz w:val="20"/>
                <w:szCs w:val="20"/>
              </w:rPr>
            </w:pPr>
            <w:r>
              <w:rPr>
                <w:sz w:val="20"/>
                <w:szCs w:val="20"/>
              </w:rPr>
              <w:t>ERCOT supports approval of PGRR089</w:t>
            </w:r>
          </w:p>
        </w:tc>
      </w:tr>
      <w:tr w:rsidR="00E04FBE" w:rsidTr="006B42AC">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E04FBE" w:rsidRDefault="00E04FBE">
            <w:pPr>
              <w:rPr>
                <w:b/>
                <w:bCs/>
                <w:color w:val="000000"/>
                <w:sz w:val="20"/>
                <w:szCs w:val="20"/>
              </w:rPr>
            </w:pPr>
            <w:r>
              <w:rPr>
                <w:b/>
                <w:bCs/>
                <w:color w:val="000000"/>
                <w:sz w:val="20"/>
                <w:szCs w:val="20"/>
              </w:rPr>
              <w:t>028RRGRR</w:t>
            </w:r>
          </w:p>
        </w:tc>
        <w:tc>
          <w:tcPr>
            <w:tcW w:w="5245" w:type="dxa"/>
            <w:tcBorders>
              <w:top w:val="nil"/>
              <w:left w:val="nil"/>
              <w:bottom w:val="nil"/>
              <w:right w:val="single" w:sz="8" w:space="0" w:color="auto"/>
            </w:tcBorders>
            <w:tcMar>
              <w:top w:w="0" w:type="dxa"/>
              <w:left w:w="108" w:type="dxa"/>
              <w:bottom w:w="0" w:type="dxa"/>
              <w:right w:w="108" w:type="dxa"/>
            </w:tcMar>
            <w:hideMark/>
          </w:tcPr>
          <w:p w:rsidR="00E04FBE" w:rsidRDefault="00E04FBE">
            <w:pPr>
              <w:rPr>
                <w:b/>
                <w:bCs/>
                <w:color w:val="000000"/>
                <w:sz w:val="20"/>
                <w:szCs w:val="20"/>
              </w:rPr>
            </w:pPr>
            <w:r>
              <w:rPr>
                <w:b/>
                <w:bCs/>
                <w:color w:val="000000"/>
                <w:sz w:val="20"/>
                <w:szCs w:val="20"/>
              </w:rPr>
              <w:t xml:space="preserve">Transformer Impedance Clarifications.  </w:t>
            </w:r>
            <w:r>
              <w:rPr>
                <w:color w:val="000000"/>
                <w:sz w:val="20"/>
                <w:szCs w:val="20"/>
              </w:rPr>
              <w:t xml:space="preserve">This Resource Registration Glossary Revision Request (RRGRR) adds transformer manufacturer test reports to the data collection requirements and clarifies the required transformer information.  [SPWG] </w:t>
            </w:r>
          </w:p>
        </w:tc>
        <w:tc>
          <w:tcPr>
            <w:tcW w:w="915" w:type="dxa"/>
            <w:tcBorders>
              <w:top w:val="nil"/>
              <w:left w:val="nil"/>
              <w:bottom w:val="nil"/>
              <w:right w:val="single" w:sz="8" w:space="0" w:color="auto"/>
            </w:tcBorders>
            <w:tcMar>
              <w:top w:w="0" w:type="dxa"/>
              <w:left w:w="108" w:type="dxa"/>
              <w:bottom w:w="0" w:type="dxa"/>
              <w:right w:w="108" w:type="dxa"/>
            </w:tcMar>
            <w:hideMark/>
          </w:tcPr>
          <w:p w:rsidR="00E04FBE" w:rsidRDefault="00E04FBE">
            <w:pPr>
              <w:jc w:val="center"/>
              <w:rPr>
                <w:color w:val="000000"/>
                <w:sz w:val="20"/>
                <w:szCs w:val="20"/>
              </w:rPr>
            </w:pPr>
            <w:r>
              <w:rPr>
                <w:color w:val="000000"/>
                <w:sz w:val="20"/>
                <w:szCs w:val="20"/>
              </w:rPr>
              <w:t>N</w:t>
            </w:r>
          </w:p>
        </w:tc>
        <w:tc>
          <w:tcPr>
            <w:tcW w:w="3420" w:type="dxa"/>
            <w:tcBorders>
              <w:top w:val="nil"/>
              <w:left w:val="nil"/>
              <w:bottom w:val="nil"/>
              <w:right w:val="single" w:sz="8" w:space="0" w:color="auto"/>
            </w:tcBorders>
            <w:tcMar>
              <w:top w:w="0" w:type="dxa"/>
              <w:left w:w="108" w:type="dxa"/>
              <w:bottom w:w="0" w:type="dxa"/>
              <w:right w:w="108" w:type="dxa"/>
            </w:tcMar>
            <w:hideMark/>
          </w:tcPr>
          <w:p w:rsidR="00E04FBE" w:rsidRDefault="00E04FBE">
            <w:pPr>
              <w:rPr>
                <w:sz w:val="20"/>
                <w:szCs w:val="20"/>
              </w:rPr>
            </w:pPr>
            <w:r>
              <w:rPr>
                <w:sz w:val="20"/>
                <w:szCs w:val="20"/>
              </w:rPr>
              <w:t>ERCOT supports approval of RRGRR028</w:t>
            </w:r>
          </w:p>
        </w:tc>
      </w:tr>
      <w:tr w:rsidR="006B42AC" w:rsidTr="006B42AC">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tcPr>
          <w:p w:rsidR="006B42AC" w:rsidRDefault="006B42AC">
            <w:pPr>
              <w:rPr>
                <w:b/>
                <w:bCs/>
                <w:color w:val="000000"/>
                <w:sz w:val="20"/>
                <w:szCs w:val="20"/>
              </w:rPr>
            </w:pPr>
          </w:p>
        </w:tc>
        <w:tc>
          <w:tcPr>
            <w:tcW w:w="5245" w:type="dxa"/>
            <w:tcBorders>
              <w:top w:val="nil"/>
              <w:left w:val="nil"/>
              <w:bottom w:val="single" w:sz="4" w:space="0" w:color="auto"/>
              <w:right w:val="single" w:sz="8" w:space="0" w:color="auto"/>
            </w:tcBorders>
            <w:tcMar>
              <w:top w:w="0" w:type="dxa"/>
              <w:left w:w="108" w:type="dxa"/>
              <w:bottom w:w="0" w:type="dxa"/>
              <w:right w:w="108" w:type="dxa"/>
            </w:tcMar>
          </w:tcPr>
          <w:p w:rsidR="006B42AC" w:rsidRDefault="006B42AC">
            <w:pPr>
              <w:rPr>
                <w:b/>
                <w:bCs/>
                <w:color w:val="000000"/>
                <w:sz w:val="20"/>
                <w:szCs w:val="20"/>
              </w:rPr>
            </w:pPr>
          </w:p>
        </w:tc>
        <w:tc>
          <w:tcPr>
            <w:tcW w:w="915" w:type="dxa"/>
            <w:tcBorders>
              <w:top w:val="nil"/>
              <w:left w:val="nil"/>
              <w:bottom w:val="single" w:sz="4" w:space="0" w:color="auto"/>
              <w:right w:val="single" w:sz="8" w:space="0" w:color="auto"/>
            </w:tcBorders>
            <w:tcMar>
              <w:top w:w="0" w:type="dxa"/>
              <w:left w:w="108" w:type="dxa"/>
              <w:bottom w:w="0" w:type="dxa"/>
              <w:right w:w="108" w:type="dxa"/>
            </w:tcMar>
          </w:tcPr>
          <w:p w:rsidR="006B42AC" w:rsidRDefault="006B42AC">
            <w:pPr>
              <w:jc w:val="center"/>
              <w:rPr>
                <w:color w:val="000000"/>
                <w:sz w:val="20"/>
                <w:szCs w:val="20"/>
              </w:rPr>
            </w:pPr>
          </w:p>
        </w:tc>
        <w:tc>
          <w:tcPr>
            <w:tcW w:w="3420" w:type="dxa"/>
            <w:tcBorders>
              <w:top w:val="nil"/>
              <w:left w:val="nil"/>
              <w:bottom w:val="single" w:sz="4" w:space="0" w:color="auto"/>
              <w:right w:val="single" w:sz="8" w:space="0" w:color="auto"/>
            </w:tcBorders>
            <w:tcMar>
              <w:top w:w="0" w:type="dxa"/>
              <w:left w:w="108" w:type="dxa"/>
              <w:bottom w:w="0" w:type="dxa"/>
              <w:right w:w="108" w:type="dxa"/>
            </w:tcMar>
          </w:tcPr>
          <w:p w:rsidR="006B42AC" w:rsidRDefault="006B42AC">
            <w:pPr>
              <w:rPr>
                <w:sz w:val="20"/>
                <w:szCs w:val="20"/>
              </w:rPr>
            </w:pPr>
          </w:p>
        </w:tc>
      </w:tr>
      <w:tr w:rsidR="006B42AC" w:rsidTr="006B42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2AC" w:rsidRDefault="006B42AC">
            <w:pPr>
              <w:rPr>
                <w:b/>
                <w:bCs/>
                <w:color w:val="000000"/>
                <w:sz w:val="20"/>
                <w:szCs w:val="20"/>
              </w:rPr>
            </w:pPr>
            <w:r>
              <w:rPr>
                <w:b/>
                <w:bCs/>
                <w:color w:val="000000"/>
                <w:sz w:val="20"/>
                <w:szCs w:val="20"/>
              </w:rPr>
              <w:t>210NOGRR</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2AC" w:rsidRDefault="006B42AC">
            <w:pPr>
              <w:rPr>
                <w:b/>
                <w:bCs/>
                <w:color w:val="000000"/>
                <w:sz w:val="20"/>
                <w:szCs w:val="20"/>
              </w:rPr>
            </w:pPr>
            <w:r w:rsidRPr="006B42AC">
              <w:rPr>
                <w:b/>
                <w:bCs/>
                <w:color w:val="000000"/>
                <w:sz w:val="20"/>
                <w:szCs w:val="20"/>
              </w:rPr>
              <w:t xml:space="preserve">Related to NPRR1005, Clarify Definition of Point of Interconnection (POI) and Add Definition Point of Interconnection Bus (POIB).  </w:t>
            </w:r>
            <w:r w:rsidRPr="006B42AC">
              <w:rPr>
                <w:bCs/>
                <w:color w:val="000000"/>
                <w:sz w:val="20"/>
                <w:szCs w:val="20"/>
              </w:rPr>
              <w:t>This Nodal Operating Guide Revision Request (NOGRR) clarifies language by use of revised defined term Point of Interconnection (POI) and new NPRR1005-proposed defined term Point of Interconnection Bus (POIB).  [ERCOT]</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2AC" w:rsidRDefault="006B42AC">
            <w:pPr>
              <w:jc w:val="center"/>
              <w:rPr>
                <w:color w:val="000000"/>
                <w:sz w:val="20"/>
                <w:szCs w:val="20"/>
              </w:rPr>
            </w:pPr>
            <w:r>
              <w:rPr>
                <w:color w:val="000000"/>
                <w:sz w:val="20"/>
                <w:szCs w:val="20"/>
              </w:rPr>
              <w:t>N</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2AC" w:rsidRDefault="006B42AC" w:rsidP="006B42AC">
            <w:pPr>
              <w:rPr>
                <w:sz w:val="20"/>
                <w:szCs w:val="20"/>
              </w:rPr>
            </w:pPr>
            <w:r>
              <w:rPr>
                <w:sz w:val="20"/>
                <w:szCs w:val="20"/>
              </w:rPr>
              <w:t>ERC</w:t>
            </w:r>
            <w:r>
              <w:rPr>
                <w:sz w:val="20"/>
                <w:szCs w:val="20"/>
              </w:rPr>
              <w:t>OT supports approval of NOGRR210</w:t>
            </w:r>
          </w:p>
        </w:tc>
      </w:tr>
      <w:tr w:rsidR="006B42AC" w:rsidTr="006B42A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2AC" w:rsidRDefault="006B42AC">
            <w:pPr>
              <w:rPr>
                <w:b/>
                <w:bCs/>
                <w:color w:val="000000"/>
                <w:sz w:val="20"/>
                <w:szCs w:val="20"/>
              </w:rPr>
            </w:pPr>
            <w:r>
              <w:rPr>
                <w:b/>
                <w:bCs/>
                <w:color w:val="000000"/>
                <w:sz w:val="20"/>
                <w:szCs w:val="20"/>
              </w:rPr>
              <w:t>025RRGRR</w:t>
            </w:r>
          </w:p>
        </w:tc>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2AC" w:rsidRPr="006B42AC" w:rsidRDefault="006B42AC">
            <w:pPr>
              <w:rPr>
                <w:b/>
                <w:bCs/>
                <w:color w:val="000000"/>
                <w:sz w:val="20"/>
                <w:szCs w:val="20"/>
              </w:rPr>
            </w:pPr>
            <w:r w:rsidRPr="006B42AC">
              <w:rPr>
                <w:b/>
                <w:bCs/>
                <w:color w:val="000000"/>
                <w:sz w:val="20"/>
                <w:szCs w:val="20"/>
              </w:rPr>
              <w:t>Related to NPRR1005, Clarify Definition of Point of Interconnection (POI) and Add Definition Point of Interconnection Bus (POI</w:t>
            </w:r>
            <w:bookmarkStart w:id="0" w:name="_GoBack"/>
            <w:bookmarkEnd w:id="0"/>
            <w:r w:rsidRPr="006B42AC">
              <w:rPr>
                <w:b/>
                <w:bCs/>
                <w:color w:val="000000"/>
                <w:sz w:val="20"/>
                <w:szCs w:val="20"/>
              </w:rPr>
              <w:t xml:space="preserve">B).  </w:t>
            </w:r>
            <w:r w:rsidRPr="006B42AC">
              <w:rPr>
                <w:bCs/>
                <w:color w:val="000000"/>
                <w:sz w:val="20"/>
                <w:szCs w:val="20"/>
              </w:rPr>
              <w:t>This Resource Registration Glossary Revision Request (RRGRR) clarifies language by use of new NPRR1005-proposed defined term Point of Interconnection Bus (POIB).  [ERCOT]</w:t>
            </w:r>
          </w:p>
        </w:tc>
        <w:tc>
          <w:tcPr>
            <w:tcW w:w="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2AC" w:rsidRDefault="006B42AC">
            <w:pPr>
              <w:jc w:val="center"/>
              <w:rPr>
                <w:color w:val="000000"/>
                <w:sz w:val="20"/>
                <w:szCs w:val="20"/>
              </w:rPr>
            </w:pPr>
            <w:r>
              <w:rPr>
                <w:color w:val="000000"/>
                <w:sz w:val="20"/>
                <w:szCs w:val="20"/>
              </w:rPr>
              <w:t>N</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B42AC" w:rsidRDefault="006B42AC">
            <w:pPr>
              <w:rPr>
                <w:sz w:val="20"/>
                <w:szCs w:val="20"/>
              </w:rPr>
            </w:pPr>
            <w:r>
              <w:rPr>
                <w:sz w:val="20"/>
                <w:szCs w:val="20"/>
              </w:rPr>
              <w:t>ERC</w:t>
            </w:r>
            <w:r>
              <w:rPr>
                <w:sz w:val="20"/>
                <w:szCs w:val="20"/>
              </w:rPr>
              <w:t>OT supports approval of RRGRR025</w:t>
            </w:r>
          </w:p>
        </w:tc>
      </w:tr>
    </w:tbl>
    <w:p w:rsidR="00E60BF8" w:rsidRPr="00DA2A46" w:rsidRDefault="00E60BF8" w:rsidP="00DA2A46"/>
    <w:sectPr w:rsidR="00E60BF8" w:rsidRPr="00DA2A46" w:rsidSect="00985FF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5C0" w:rsidRDefault="003215C0" w:rsidP="00985FF4">
      <w:r>
        <w:separator/>
      </w:r>
    </w:p>
  </w:endnote>
  <w:endnote w:type="continuationSeparator" w:id="0">
    <w:p w:rsidR="003215C0" w:rsidRDefault="003215C0"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5C0" w:rsidRDefault="003215C0" w:rsidP="00985FF4">
      <w:r>
        <w:separator/>
      </w:r>
    </w:p>
  </w:footnote>
  <w:footnote w:type="continuationSeparator" w:id="0">
    <w:p w:rsidR="003215C0" w:rsidRDefault="003215C0" w:rsidP="0098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F4" w:rsidRDefault="00985FF4" w:rsidP="00985FF4">
    <w:pPr>
      <w:pStyle w:val="Header"/>
      <w:jc w:val="center"/>
    </w:pPr>
    <w:r>
      <w:t xml:space="preserve">ERCOT Opinions for the </w:t>
    </w:r>
    <w:r w:rsidR="00991077">
      <w:t>6/23</w:t>
    </w:r>
    <w:r w:rsidR="003B12BD">
      <w:t>/21</w:t>
    </w:r>
    <w:r w:rsidR="00032EC2">
      <w:t xml:space="preserve"> TAC Meeting</w:t>
    </w:r>
  </w:p>
  <w:p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F4"/>
    <w:rsid w:val="00032EC2"/>
    <w:rsid w:val="000A7FEC"/>
    <w:rsid w:val="000F22EA"/>
    <w:rsid w:val="00101E68"/>
    <w:rsid w:val="0011791D"/>
    <w:rsid w:val="00124255"/>
    <w:rsid w:val="00131AD8"/>
    <w:rsid w:val="001A11D5"/>
    <w:rsid w:val="001F4319"/>
    <w:rsid w:val="00231C14"/>
    <w:rsid w:val="002378E5"/>
    <w:rsid w:val="00320D47"/>
    <w:rsid w:val="003215C0"/>
    <w:rsid w:val="003504F7"/>
    <w:rsid w:val="003A2191"/>
    <w:rsid w:val="003B12BD"/>
    <w:rsid w:val="003F25EE"/>
    <w:rsid w:val="0044443B"/>
    <w:rsid w:val="004447B8"/>
    <w:rsid w:val="004E1095"/>
    <w:rsid w:val="00502C7D"/>
    <w:rsid w:val="00566AFF"/>
    <w:rsid w:val="005A278D"/>
    <w:rsid w:val="005E147E"/>
    <w:rsid w:val="006256A5"/>
    <w:rsid w:val="0063436F"/>
    <w:rsid w:val="00672B98"/>
    <w:rsid w:val="006B11F5"/>
    <w:rsid w:val="006B42AC"/>
    <w:rsid w:val="006F1E45"/>
    <w:rsid w:val="00715A89"/>
    <w:rsid w:val="00805A86"/>
    <w:rsid w:val="00825E43"/>
    <w:rsid w:val="008874B6"/>
    <w:rsid w:val="008F1FF2"/>
    <w:rsid w:val="0096024F"/>
    <w:rsid w:val="00981A1E"/>
    <w:rsid w:val="00985FF4"/>
    <w:rsid w:val="00991077"/>
    <w:rsid w:val="00993006"/>
    <w:rsid w:val="009B27B4"/>
    <w:rsid w:val="009B474D"/>
    <w:rsid w:val="009C5427"/>
    <w:rsid w:val="00A94986"/>
    <w:rsid w:val="00AA0971"/>
    <w:rsid w:val="00AA5D58"/>
    <w:rsid w:val="00AC0725"/>
    <w:rsid w:val="00AD50EB"/>
    <w:rsid w:val="00B87C79"/>
    <w:rsid w:val="00BD2E29"/>
    <w:rsid w:val="00BD6400"/>
    <w:rsid w:val="00BE7782"/>
    <w:rsid w:val="00BF2584"/>
    <w:rsid w:val="00C174FF"/>
    <w:rsid w:val="00C67F93"/>
    <w:rsid w:val="00C80DBA"/>
    <w:rsid w:val="00C94AFF"/>
    <w:rsid w:val="00CC25B3"/>
    <w:rsid w:val="00CE3591"/>
    <w:rsid w:val="00D26039"/>
    <w:rsid w:val="00D807DF"/>
    <w:rsid w:val="00DA2A46"/>
    <w:rsid w:val="00E04FBE"/>
    <w:rsid w:val="00E238B8"/>
    <w:rsid w:val="00E53E2D"/>
    <w:rsid w:val="00E60BF8"/>
    <w:rsid w:val="00E666FF"/>
    <w:rsid w:val="00E950DB"/>
    <w:rsid w:val="00EA187D"/>
    <w:rsid w:val="00F73D35"/>
    <w:rsid w:val="00FA2B06"/>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275">
      <w:bodyDiv w:val="1"/>
      <w:marLeft w:val="0"/>
      <w:marRight w:val="0"/>
      <w:marTop w:val="0"/>
      <w:marBottom w:val="0"/>
      <w:divBdr>
        <w:top w:val="none" w:sz="0" w:space="0" w:color="auto"/>
        <w:left w:val="none" w:sz="0" w:space="0" w:color="auto"/>
        <w:bottom w:val="none" w:sz="0" w:space="0" w:color="auto"/>
        <w:right w:val="none" w:sz="0" w:space="0" w:color="auto"/>
      </w:divBdr>
    </w:div>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117261542">
      <w:bodyDiv w:val="1"/>
      <w:marLeft w:val="0"/>
      <w:marRight w:val="0"/>
      <w:marTop w:val="0"/>
      <w:marBottom w:val="0"/>
      <w:divBdr>
        <w:top w:val="none" w:sz="0" w:space="0" w:color="auto"/>
        <w:left w:val="none" w:sz="0" w:space="0" w:color="auto"/>
        <w:bottom w:val="none" w:sz="0" w:space="0" w:color="auto"/>
        <w:right w:val="none" w:sz="0" w:space="0" w:color="auto"/>
      </w:divBdr>
    </w:div>
    <w:div w:id="128789716">
      <w:bodyDiv w:val="1"/>
      <w:marLeft w:val="0"/>
      <w:marRight w:val="0"/>
      <w:marTop w:val="0"/>
      <w:marBottom w:val="0"/>
      <w:divBdr>
        <w:top w:val="none" w:sz="0" w:space="0" w:color="auto"/>
        <w:left w:val="none" w:sz="0" w:space="0" w:color="auto"/>
        <w:bottom w:val="none" w:sz="0" w:space="0" w:color="auto"/>
        <w:right w:val="none" w:sz="0" w:space="0" w:color="auto"/>
      </w:divBdr>
    </w:div>
    <w:div w:id="252594840">
      <w:bodyDiv w:val="1"/>
      <w:marLeft w:val="0"/>
      <w:marRight w:val="0"/>
      <w:marTop w:val="0"/>
      <w:marBottom w:val="0"/>
      <w:divBdr>
        <w:top w:val="none" w:sz="0" w:space="0" w:color="auto"/>
        <w:left w:val="none" w:sz="0" w:space="0" w:color="auto"/>
        <w:bottom w:val="none" w:sz="0" w:space="0" w:color="auto"/>
        <w:right w:val="none" w:sz="0" w:space="0" w:color="auto"/>
      </w:divBdr>
    </w:div>
    <w:div w:id="277222086">
      <w:bodyDiv w:val="1"/>
      <w:marLeft w:val="0"/>
      <w:marRight w:val="0"/>
      <w:marTop w:val="0"/>
      <w:marBottom w:val="0"/>
      <w:divBdr>
        <w:top w:val="none" w:sz="0" w:space="0" w:color="auto"/>
        <w:left w:val="none" w:sz="0" w:space="0" w:color="auto"/>
        <w:bottom w:val="none" w:sz="0" w:space="0" w:color="auto"/>
        <w:right w:val="none" w:sz="0" w:space="0" w:color="auto"/>
      </w:divBdr>
    </w:div>
    <w:div w:id="320355680">
      <w:bodyDiv w:val="1"/>
      <w:marLeft w:val="0"/>
      <w:marRight w:val="0"/>
      <w:marTop w:val="0"/>
      <w:marBottom w:val="0"/>
      <w:divBdr>
        <w:top w:val="none" w:sz="0" w:space="0" w:color="auto"/>
        <w:left w:val="none" w:sz="0" w:space="0" w:color="auto"/>
        <w:bottom w:val="none" w:sz="0" w:space="0" w:color="auto"/>
        <w:right w:val="none" w:sz="0" w:space="0" w:color="auto"/>
      </w:divBdr>
    </w:div>
    <w:div w:id="374476658">
      <w:bodyDiv w:val="1"/>
      <w:marLeft w:val="0"/>
      <w:marRight w:val="0"/>
      <w:marTop w:val="0"/>
      <w:marBottom w:val="0"/>
      <w:divBdr>
        <w:top w:val="none" w:sz="0" w:space="0" w:color="auto"/>
        <w:left w:val="none" w:sz="0" w:space="0" w:color="auto"/>
        <w:bottom w:val="none" w:sz="0" w:space="0" w:color="auto"/>
        <w:right w:val="none" w:sz="0" w:space="0" w:color="auto"/>
      </w:divBdr>
    </w:div>
    <w:div w:id="387534336">
      <w:bodyDiv w:val="1"/>
      <w:marLeft w:val="0"/>
      <w:marRight w:val="0"/>
      <w:marTop w:val="0"/>
      <w:marBottom w:val="0"/>
      <w:divBdr>
        <w:top w:val="none" w:sz="0" w:space="0" w:color="auto"/>
        <w:left w:val="none" w:sz="0" w:space="0" w:color="auto"/>
        <w:bottom w:val="none" w:sz="0" w:space="0" w:color="auto"/>
        <w:right w:val="none" w:sz="0" w:space="0" w:color="auto"/>
      </w:divBdr>
    </w:div>
    <w:div w:id="399668657">
      <w:bodyDiv w:val="1"/>
      <w:marLeft w:val="0"/>
      <w:marRight w:val="0"/>
      <w:marTop w:val="0"/>
      <w:marBottom w:val="0"/>
      <w:divBdr>
        <w:top w:val="none" w:sz="0" w:space="0" w:color="auto"/>
        <w:left w:val="none" w:sz="0" w:space="0" w:color="auto"/>
        <w:bottom w:val="none" w:sz="0" w:space="0" w:color="auto"/>
        <w:right w:val="none" w:sz="0" w:space="0" w:color="auto"/>
      </w:divBdr>
    </w:div>
    <w:div w:id="569391016">
      <w:bodyDiv w:val="1"/>
      <w:marLeft w:val="0"/>
      <w:marRight w:val="0"/>
      <w:marTop w:val="0"/>
      <w:marBottom w:val="0"/>
      <w:divBdr>
        <w:top w:val="none" w:sz="0" w:space="0" w:color="auto"/>
        <w:left w:val="none" w:sz="0" w:space="0" w:color="auto"/>
        <w:bottom w:val="none" w:sz="0" w:space="0" w:color="auto"/>
        <w:right w:val="none" w:sz="0" w:space="0" w:color="auto"/>
      </w:divBdr>
    </w:div>
    <w:div w:id="634944373">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799686778">
      <w:bodyDiv w:val="1"/>
      <w:marLeft w:val="0"/>
      <w:marRight w:val="0"/>
      <w:marTop w:val="0"/>
      <w:marBottom w:val="0"/>
      <w:divBdr>
        <w:top w:val="none" w:sz="0" w:space="0" w:color="auto"/>
        <w:left w:val="none" w:sz="0" w:space="0" w:color="auto"/>
        <w:bottom w:val="none" w:sz="0" w:space="0" w:color="auto"/>
        <w:right w:val="none" w:sz="0" w:space="0" w:color="auto"/>
      </w:divBdr>
    </w:div>
    <w:div w:id="866137790">
      <w:bodyDiv w:val="1"/>
      <w:marLeft w:val="0"/>
      <w:marRight w:val="0"/>
      <w:marTop w:val="0"/>
      <w:marBottom w:val="0"/>
      <w:divBdr>
        <w:top w:val="none" w:sz="0" w:space="0" w:color="auto"/>
        <w:left w:val="none" w:sz="0" w:space="0" w:color="auto"/>
        <w:bottom w:val="none" w:sz="0" w:space="0" w:color="auto"/>
        <w:right w:val="none" w:sz="0" w:space="0" w:color="auto"/>
      </w:divBdr>
    </w:div>
    <w:div w:id="881475590">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938179406">
      <w:bodyDiv w:val="1"/>
      <w:marLeft w:val="0"/>
      <w:marRight w:val="0"/>
      <w:marTop w:val="0"/>
      <w:marBottom w:val="0"/>
      <w:divBdr>
        <w:top w:val="none" w:sz="0" w:space="0" w:color="auto"/>
        <w:left w:val="none" w:sz="0" w:space="0" w:color="auto"/>
        <w:bottom w:val="none" w:sz="0" w:space="0" w:color="auto"/>
        <w:right w:val="none" w:sz="0" w:space="0" w:color="auto"/>
      </w:divBdr>
    </w:div>
    <w:div w:id="1044254074">
      <w:bodyDiv w:val="1"/>
      <w:marLeft w:val="0"/>
      <w:marRight w:val="0"/>
      <w:marTop w:val="0"/>
      <w:marBottom w:val="0"/>
      <w:divBdr>
        <w:top w:val="none" w:sz="0" w:space="0" w:color="auto"/>
        <w:left w:val="none" w:sz="0" w:space="0" w:color="auto"/>
        <w:bottom w:val="none" w:sz="0" w:space="0" w:color="auto"/>
        <w:right w:val="none" w:sz="0" w:space="0" w:color="auto"/>
      </w:divBdr>
    </w:div>
    <w:div w:id="1076709242">
      <w:bodyDiv w:val="1"/>
      <w:marLeft w:val="0"/>
      <w:marRight w:val="0"/>
      <w:marTop w:val="0"/>
      <w:marBottom w:val="0"/>
      <w:divBdr>
        <w:top w:val="none" w:sz="0" w:space="0" w:color="auto"/>
        <w:left w:val="none" w:sz="0" w:space="0" w:color="auto"/>
        <w:bottom w:val="none" w:sz="0" w:space="0" w:color="auto"/>
        <w:right w:val="none" w:sz="0" w:space="0" w:color="auto"/>
      </w:divBdr>
    </w:div>
    <w:div w:id="1356153769">
      <w:bodyDiv w:val="1"/>
      <w:marLeft w:val="0"/>
      <w:marRight w:val="0"/>
      <w:marTop w:val="0"/>
      <w:marBottom w:val="0"/>
      <w:divBdr>
        <w:top w:val="none" w:sz="0" w:space="0" w:color="auto"/>
        <w:left w:val="none" w:sz="0" w:space="0" w:color="auto"/>
        <w:bottom w:val="none" w:sz="0" w:space="0" w:color="auto"/>
        <w:right w:val="none" w:sz="0" w:space="0" w:color="auto"/>
      </w:divBdr>
    </w:div>
    <w:div w:id="1400716356">
      <w:bodyDiv w:val="1"/>
      <w:marLeft w:val="0"/>
      <w:marRight w:val="0"/>
      <w:marTop w:val="0"/>
      <w:marBottom w:val="0"/>
      <w:divBdr>
        <w:top w:val="none" w:sz="0" w:space="0" w:color="auto"/>
        <w:left w:val="none" w:sz="0" w:space="0" w:color="auto"/>
        <w:bottom w:val="none" w:sz="0" w:space="0" w:color="auto"/>
        <w:right w:val="none" w:sz="0" w:space="0" w:color="auto"/>
      </w:divBdr>
    </w:div>
    <w:div w:id="1443721862">
      <w:bodyDiv w:val="1"/>
      <w:marLeft w:val="0"/>
      <w:marRight w:val="0"/>
      <w:marTop w:val="0"/>
      <w:marBottom w:val="0"/>
      <w:divBdr>
        <w:top w:val="none" w:sz="0" w:space="0" w:color="auto"/>
        <w:left w:val="none" w:sz="0" w:space="0" w:color="auto"/>
        <w:bottom w:val="none" w:sz="0" w:space="0" w:color="auto"/>
        <w:right w:val="none" w:sz="0" w:space="0" w:color="auto"/>
      </w:divBdr>
    </w:div>
    <w:div w:id="1563639872">
      <w:bodyDiv w:val="1"/>
      <w:marLeft w:val="0"/>
      <w:marRight w:val="0"/>
      <w:marTop w:val="0"/>
      <w:marBottom w:val="0"/>
      <w:divBdr>
        <w:top w:val="none" w:sz="0" w:space="0" w:color="auto"/>
        <w:left w:val="none" w:sz="0" w:space="0" w:color="auto"/>
        <w:bottom w:val="none" w:sz="0" w:space="0" w:color="auto"/>
        <w:right w:val="none" w:sz="0" w:space="0" w:color="auto"/>
      </w:divBdr>
    </w:div>
    <w:div w:id="1601722405">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55206703">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792288186">
      <w:bodyDiv w:val="1"/>
      <w:marLeft w:val="0"/>
      <w:marRight w:val="0"/>
      <w:marTop w:val="0"/>
      <w:marBottom w:val="0"/>
      <w:divBdr>
        <w:top w:val="none" w:sz="0" w:space="0" w:color="auto"/>
        <w:left w:val="none" w:sz="0" w:space="0" w:color="auto"/>
        <w:bottom w:val="none" w:sz="0" w:space="0" w:color="auto"/>
        <w:right w:val="none" w:sz="0" w:space="0" w:color="auto"/>
      </w:divBdr>
    </w:div>
    <w:div w:id="1929121916">
      <w:bodyDiv w:val="1"/>
      <w:marLeft w:val="0"/>
      <w:marRight w:val="0"/>
      <w:marTop w:val="0"/>
      <w:marBottom w:val="0"/>
      <w:divBdr>
        <w:top w:val="none" w:sz="0" w:space="0" w:color="auto"/>
        <w:left w:val="none" w:sz="0" w:space="0" w:color="auto"/>
        <w:bottom w:val="none" w:sz="0" w:space="0" w:color="auto"/>
        <w:right w:val="none" w:sz="0" w:space="0" w:color="auto"/>
      </w:divBdr>
    </w:div>
    <w:div w:id="1937984053">
      <w:bodyDiv w:val="1"/>
      <w:marLeft w:val="0"/>
      <w:marRight w:val="0"/>
      <w:marTop w:val="0"/>
      <w:marBottom w:val="0"/>
      <w:divBdr>
        <w:top w:val="none" w:sz="0" w:space="0" w:color="auto"/>
        <w:left w:val="none" w:sz="0" w:space="0" w:color="auto"/>
        <w:bottom w:val="none" w:sz="0" w:space="0" w:color="auto"/>
        <w:right w:val="none" w:sz="0" w:space="0" w:color="auto"/>
      </w:divBdr>
    </w:div>
    <w:div w:id="1987589995">
      <w:bodyDiv w:val="1"/>
      <w:marLeft w:val="0"/>
      <w:marRight w:val="0"/>
      <w:marTop w:val="0"/>
      <w:marBottom w:val="0"/>
      <w:divBdr>
        <w:top w:val="none" w:sz="0" w:space="0" w:color="auto"/>
        <w:left w:val="none" w:sz="0" w:space="0" w:color="auto"/>
        <w:bottom w:val="none" w:sz="0" w:space="0" w:color="auto"/>
        <w:right w:val="none" w:sz="0" w:space="0" w:color="auto"/>
      </w:divBdr>
    </w:div>
    <w:div w:id="2014186863">
      <w:bodyDiv w:val="1"/>
      <w:marLeft w:val="0"/>
      <w:marRight w:val="0"/>
      <w:marTop w:val="0"/>
      <w:marBottom w:val="0"/>
      <w:divBdr>
        <w:top w:val="none" w:sz="0" w:space="0" w:color="auto"/>
        <w:left w:val="none" w:sz="0" w:space="0" w:color="auto"/>
        <w:bottom w:val="none" w:sz="0" w:space="0" w:color="auto"/>
        <w:right w:val="none" w:sz="0" w:space="0" w:color="auto"/>
      </w:divBdr>
    </w:div>
    <w:div w:id="2054500067">
      <w:bodyDiv w:val="1"/>
      <w:marLeft w:val="0"/>
      <w:marRight w:val="0"/>
      <w:marTop w:val="0"/>
      <w:marBottom w:val="0"/>
      <w:divBdr>
        <w:top w:val="none" w:sz="0" w:space="0" w:color="auto"/>
        <w:left w:val="none" w:sz="0" w:space="0" w:color="auto"/>
        <w:bottom w:val="none" w:sz="0" w:space="0" w:color="auto"/>
        <w:right w:val="none" w:sz="0" w:space="0" w:color="auto"/>
      </w:divBdr>
    </w:div>
    <w:div w:id="2059626889">
      <w:bodyDiv w:val="1"/>
      <w:marLeft w:val="0"/>
      <w:marRight w:val="0"/>
      <w:marTop w:val="0"/>
      <w:marBottom w:val="0"/>
      <w:divBdr>
        <w:top w:val="none" w:sz="0" w:space="0" w:color="auto"/>
        <w:left w:val="none" w:sz="0" w:space="0" w:color="auto"/>
        <w:bottom w:val="none" w:sz="0" w:space="0" w:color="auto"/>
        <w:right w:val="none" w:sz="0" w:space="0" w:color="auto"/>
      </w:divBdr>
    </w:div>
    <w:div w:id="2071882014">
      <w:bodyDiv w:val="1"/>
      <w:marLeft w:val="0"/>
      <w:marRight w:val="0"/>
      <w:marTop w:val="0"/>
      <w:marBottom w:val="0"/>
      <w:divBdr>
        <w:top w:val="none" w:sz="0" w:space="0" w:color="auto"/>
        <w:left w:val="none" w:sz="0" w:space="0" w:color="auto"/>
        <w:bottom w:val="none" w:sz="0" w:space="0" w:color="auto"/>
        <w:right w:val="none" w:sz="0" w:space="0" w:color="auto"/>
      </w:divBdr>
    </w:div>
    <w:div w:id="21259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Boren, Ann</cp:lastModifiedBy>
  <cp:revision>4</cp:revision>
  <dcterms:created xsi:type="dcterms:W3CDTF">2021-06-16T20:01:00Z</dcterms:created>
  <dcterms:modified xsi:type="dcterms:W3CDTF">2021-06-23T14:07:00Z</dcterms:modified>
</cp:coreProperties>
</file>